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版本号：ZX2026-07-12.1B120260817001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电力电子虚实综合开发平台采购项目(二次)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ZX2026-07-12.1B1</w:t>
      </w:r>
      <w:r>
        <w:br/>
      </w:r>
      <w:r>
        <w:br/>
      </w:r>
      <w:r>
        <w:br/>
      </w:r>
    </w:p>
    <w:p>
      <w:pPr>
        <w:pStyle w:val="null3"/>
        <w:jc w:val="center"/>
        <w:outlineLvl w:val="2"/>
      </w:pPr>
      <w:r>
        <w:rPr>
          <w:rFonts w:ascii="仿宋_GB2312" w:hAnsi="仿宋_GB2312" w:cs="仿宋_GB2312" w:eastAsia="仿宋_GB2312"/>
          <w:sz w:val="28"/>
          <w:b/>
        </w:rPr>
        <w:t>宝鸡文理学院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宝鸡文理学院</w:t>
      </w:r>
      <w:r>
        <w:rPr>
          <w:rFonts w:ascii="仿宋_GB2312" w:hAnsi="仿宋_GB2312" w:cs="仿宋_GB2312" w:eastAsia="仿宋_GB2312"/>
        </w:rPr>
        <w:t>委托，拟对</w:t>
      </w:r>
      <w:r>
        <w:rPr>
          <w:rFonts w:ascii="仿宋_GB2312" w:hAnsi="仿宋_GB2312" w:cs="仿宋_GB2312" w:eastAsia="仿宋_GB2312"/>
        </w:rPr>
        <w:t>电力电子虚实综合开发平台采购项目(二次)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ZX2026-07-12.1B1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电力电子虚实综合开发平台采购项目(二次)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本项目拟建设一套电力电子虚实综合开发平台，为科研和教学提供有力支撑，支撑电气工程、自动化、电子、通信、机械工程等学科教师和学生开展跨领域探索与创新实践。具体采购内容详见招标文件第三章。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宝鸡文理学院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宝鸡市高新大道1号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0917-3566017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崔文 曹婷 马演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采购包1保证金金额：10,712.00元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应在收到中标(成交)通知书后，向采购人提交合同总价5%的履约保证金；2、设备到货并由采购人最终验收合格后，采购人在收到中标人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代理服务费收费标准：按中标金额的1.2%收取；若中标金额不足30万，则按30万的1.2%收取，由中标人支付代理服务费。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宝鸡文理学院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宝鸡文理学院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宝鸡文理学院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本项目拟建设一套电力电子虚实综合开发平台，为科研和教学提供有力支撑，支撑电气工程、自动化、电子、通信、机械工程等学科教师和学生开展跨领域探索与创新实践。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电力电子虚实综合开发平台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标的名称：电力电子虚实综合开发平台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Pr>
                <w:p>
                  <w:pPr>
                    <w:pStyle w:val="null3"/>
                    <w:jc w:val="both"/>
                  </w:pPr>
                  <w:r>
                    <w:rPr>
                      <w:rFonts w:ascii="仿宋_GB2312" w:hAnsi="仿宋_GB2312" w:cs="仿宋_GB2312" w:eastAsia="仿宋_GB2312"/>
                      <w:sz w:val="19"/>
                    </w:rPr>
                    <w:t>序号</w:t>
                  </w:r>
                </w:p>
              </w:tc>
              <w:tc>
                <w:tcPr>
                  <w:tcW w:type="dxa" w:w="1022"/>
                  <w:gridSpan w:val="2"/>
                </w:tcPr>
                <w:p>
                  <w:pPr>
                    <w:pStyle w:val="null3"/>
                    <w:jc w:val="both"/>
                  </w:pPr>
                  <w:r>
                    <w:rPr>
                      <w:rFonts w:ascii="仿宋_GB2312" w:hAnsi="仿宋_GB2312" w:cs="仿宋_GB2312" w:eastAsia="仿宋_GB2312"/>
                      <w:sz w:val="19"/>
                    </w:rPr>
                    <w:t>设备名称</w:t>
                  </w:r>
                </w:p>
              </w:tc>
              <w:tc>
                <w:tcPr>
                  <w:tcW w:type="dxa" w:w="511"/>
                </w:tcPr>
                <w:p>
                  <w:pPr>
                    <w:pStyle w:val="null3"/>
                    <w:jc w:val="both"/>
                  </w:pPr>
                  <w:r>
                    <w:rPr>
                      <w:rFonts w:ascii="仿宋_GB2312" w:hAnsi="仿宋_GB2312" w:cs="仿宋_GB2312" w:eastAsia="仿宋_GB2312"/>
                      <w:sz w:val="19"/>
                    </w:rPr>
                    <w:t>数量</w:t>
                  </w:r>
                </w:p>
              </w:tc>
              <w:tc>
                <w:tcPr>
                  <w:tcW w:type="dxa" w:w="511"/>
                </w:tcPr>
                <w:p>
                  <w:pPr>
                    <w:pStyle w:val="null3"/>
                    <w:jc w:val="both"/>
                  </w:pPr>
                  <w:r>
                    <w:rPr>
                      <w:rFonts w:ascii="仿宋_GB2312" w:hAnsi="仿宋_GB2312" w:cs="仿宋_GB2312" w:eastAsia="仿宋_GB2312"/>
                      <w:sz w:val="19"/>
                    </w:rPr>
                    <w:t>备注</w:t>
                  </w:r>
                </w:p>
              </w:tc>
            </w:tr>
            <w:tr>
              <w:tc>
                <w:tcPr>
                  <w:tcW w:type="dxa" w:w="511"/>
                  <w:vMerge w:val="restart"/>
                </w:tcPr>
                <w:p>
                  <w:pPr>
                    <w:pStyle w:val="null3"/>
                    <w:jc w:val="both"/>
                  </w:pPr>
                  <w:r>
                    <w:rPr>
                      <w:rFonts w:ascii="仿宋_GB2312" w:hAnsi="仿宋_GB2312" w:cs="仿宋_GB2312" w:eastAsia="仿宋_GB2312"/>
                      <w:sz w:val="19"/>
                    </w:rPr>
                    <w:t>1</w:t>
                  </w:r>
                </w:p>
              </w:tc>
              <w:tc>
                <w:tcPr>
                  <w:tcW w:type="dxa" w:w="511"/>
                  <w:vMerge w:val="restart"/>
                </w:tcPr>
                <w:p>
                  <w:pPr>
                    <w:pStyle w:val="null3"/>
                    <w:jc w:val="both"/>
                  </w:pPr>
                  <w:r>
                    <w:rPr>
                      <w:rFonts w:ascii="仿宋_GB2312" w:hAnsi="仿宋_GB2312" w:cs="仿宋_GB2312" w:eastAsia="仿宋_GB2312"/>
                      <w:sz w:val="19"/>
                    </w:rPr>
                    <w:t>电力电子虚实综合开发平台</w:t>
                  </w:r>
                </w:p>
              </w:tc>
              <w:tc>
                <w:tcPr>
                  <w:tcW w:type="dxa" w:w="511"/>
                </w:tcPr>
                <w:p>
                  <w:pPr>
                    <w:pStyle w:val="null3"/>
                    <w:jc w:val="both"/>
                  </w:pPr>
                  <w:r>
                    <w:rPr>
                      <w:rFonts w:ascii="仿宋_GB2312" w:hAnsi="仿宋_GB2312" w:cs="仿宋_GB2312" w:eastAsia="仿宋_GB2312"/>
                      <w:sz w:val="19"/>
                    </w:rPr>
                    <w:t>电力电子虚实综合开发平台</w:t>
                  </w:r>
                </w:p>
              </w:tc>
              <w:tc>
                <w:tcPr>
                  <w:tcW w:type="dxa" w:w="511"/>
                  <w:vMerge w:val="restart"/>
                </w:tcPr>
                <w:p>
                  <w:pPr>
                    <w:pStyle w:val="null3"/>
                    <w:jc w:val="both"/>
                  </w:pPr>
                  <w:r>
                    <w:rPr>
                      <w:rFonts w:ascii="仿宋_GB2312" w:hAnsi="仿宋_GB2312" w:cs="仿宋_GB2312" w:eastAsia="仿宋_GB2312"/>
                      <w:sz w:val="19"/>
                    </w:rPr>
                    <w:t>1套</w:t>
                  </w:r>
                </w:p>
              </w:tc>
              <w:tc>
                <w:tcPr>
                  <w:tcW w:type="dxa" w:w="511"/>
                </w:tcPr>
                <w:p>
                  <w:pPr>
                    <w:pStyle w:val="null3"/>
                    <w:jc w:val="both"/>
                  </w:pPr>
                  <w:r>
                    <w:rPr>
                      <w:rFonts w:ascii="仿宋_GB2312" w:hAnsi="仿宋_GB2312" w:cs="仿宋_GB2312" w:eastAsia="仿宋_GB2312"/>
                      <w:sz w:val="19"/>
                    </w:rPr>
                    <w:t>核心产品</w:t>
                  </w:r>
                </w:p>
              </w:tc>
            </w:tr>
            <w:tr>
              <w:tc>
                <w:tcPr>
                  <w:tcW w:type="dxa" w:w="511"/>
                  <w:vMerge/>
                </w:tcPr>
                <w:p/>
              </w:tc>
              <w:tc>
                <w:tcPr>
                  <w:tcW w:type="dxa" w:w="511"/>
                  <w:vMerge/>
                </w:tcPr>
                <w:p/>
              </w:tc>
              <w:tc>
                <w:tcPr>
                  <w:tcW w:type="dxa" w:w="511"/>
                </w:tcPr>
                <w:p>
                  <w:pPr>
                    <w:pStyle w:val="null3"/>
                    <w:jc w:val="both"/>
                  </w:pPr>
                  <w:r>
                    <w:rPr>
                      <w:rFonts w:ascii="仿宋_GB2312" w:hAnsi="仿宋_GB2312" w:cs="仿宋_GB2312" w:eastAsia="仿宋_GB2312"/>
                      <w:sz w:val="19"/>
                    </w:rPr>
                    <w:t>无刷直流电机</w:t>
                  </w:r>
                </w:p>
              </w:tc>
              <w:tc>
                <w:tcPr>
                  <w:tcW w:type="dxa" w:w="511"/>
                  <w:vMerge/>
                </w:tcPr>
                <w:p/>
              </w:tc>
              <w:tc>
                <w:tcPr>
                  <w:tcW w:type="dxa" w:w="511"/>
                </w:tcPr>
                <w:p>
                  <w:pPr>
                    <w:pStyle w:val="null3"/>
                    <w:jc w:val="both"/>
                  </w:pPr>
                  <w:r>
                    <w:rPr>
                      <w:rFonts w:ascii="仿宋_GB2312" w:hAnsi="仿宋_GB2312" w:cs="仿宋_GB2312" w:eastAsia="仿宋_GB2312"/>
                      <w:sz w:val="19"/>
                    </w:rPr>
                    <w:t xml:space="preserve"> </w:t>
                  </w:r>
                </w:p>
              </w:tc>
            </w:tr>
            <w:tr>
              <w:tc>
                <w:tcPr>
                  <w:tcW w:type="dxa" w:w="511"/>
                  <w:vMerge/>
                </w:tcPr>
                <w:p/>
              </w:tc>
              <w:tc>
                <w:tcPr>
                  <w:tcW w:type="dxa" w:w="511"/>
                  <w:vMerge/>
                </w:tcPr>
                <w:p/>
              </w:tc>
              <w:tc>
                <w:tcPr>
                  <w:tcW w:type="dxa" w:w="511"/>
                </w:tcPr>
                <w:p>
                  <w:pPr>
                    <w:pStyle w:val="null3"/>
                    <w:jc w:val="both"/>
                  </w:pPr>
                  <w:r>
                    <w:rPr>
                      <w:rFonts w:ascii="仿宋_GB2312" w:hAnsi="仿宋_GB2312" w:cs="仿宋_GB2312" w:eastAsia="仿宋_GB2312"/>
                      <w:sz w:val="19"/>
                    </w:rPr>
                    <w:t>双馈风力发电机对托机组</w:t>
                  </w:r>
                </w:p>
              </w:tc>
              <w:tc>
                <w:tcPr>
                  <w:tcW w:type="dxa" w:w="511"/>
                  <w:vMerge/>
                </w:tcPr>
                <w:p/>
              </w:tc>
              <w:tc>
                <w:tcPr>
                  <w:tcW w:type="dxa" w:w="511"/>
                </w:tcPr>
                <w:p>
                  <w:pPr>
                    <w:pStyle w:val="null3"/>
                    <w:jc w:val="both"/>
                  </w:pPr>
                  <w:r>
                    <w:rPr>
                      <w:rFonts w:ascii="仿宋_GB2312" w:hAnsi="仿宋_GB2312" w:cs="仿宋_GB2312" w:eastAsia="仿宋_GB2312"/>
                      <w:sz w:val="19"/>
                    </w:rPr>
                    <w:t xml:space="preserve"> </w:t>
                  </w:r>
                </w:p>
              </w:tc>
            </w:tr>
            <w:tr>
              <w:tc>
                <w:tcPr>
                  <w:tcW w:type="dxa" w:w="511"/>
                  <w:vMerge/>
                </w:tcPr>
                <w:p/>
              </w:tc>
              <w:tc>
                <w:tcPr>
                  <w:tcW w:type="dxa" w:w="511"/>
                  <w:vMerge/>
                </w:tcPr>
                <w:p/>
              </w:tc>
              <w:tc>
                <w:tcPr>
                  <w:tcW w:type="dxa" w:w="511"/>
                </w:tcPr>
                <w:p>
                  <w:pPr>
                    <w:pStyle w:val="null3"/>
                    <w:jc w:val="both"/>
                  </w:pPr>
                  <w:r>
                    <w:rPr>
                      <w:rFonts w:ascii="仿宋_GB2312" w:hAnsi="仿宋_GB2312" w:cs="仿宋_GB2312" w:eastAsia="仿宋_GB2312"/>
                      <w:sz w:val="19"/>
                    </w:rPr>
                    <w:t>直流调速</w:t>
                  </w:r>
                </w:p>
              </w:tc>
              <w:tc>
                <w:tcPr>
                  <w:tcW w:type="dxa" w:w="511"/>
                  <w:vMerge/>
                </w:tcPr>
                <w:p/>
              </w:tc>
              <w:tc>
                <w:tcPr>
                  <w:tcW w:type="dxa" w:w="511"/>
                </w:tcPr>
                <w:p>
                  <w:pPr>
                    <w:pStyle w:val="null3"/>
                    <w:jc w:val="both"/>
                  </w:pP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1.电力电子虚实综合开发平台 1套</w:t>
            </w:r>
          </w:p>
          <w:p>
            <w:pPr>
              <w:pStyle w:val="null3"/>
            </w:pPr>
            <w:r>
              <w:rPr>
                <w:rFonts w:ascii="仿宋_GB2312" w:hAnsi="仿宋_GB2312" w:cs="仿宋_GB2312" w:eastAsia="仿宋_GB2312"/>
              </w:rPr>
              <w:t>▲1.1处理器</w:t>
            </w:r>
          </w:p>
          <w:p>
            <w:pPr>
              <w:pStyle w:val="null3"/>
            </w:pPr>
            <w:r>
              <w:rPr>
                <w:rFonts w:ascii="仿宋_GB2312" w:hAnsi="仿宋_GB2312" w:cs="仿宋_GB2312" w:eastAsia="仿宋_GB2312"/>
              </w:rPr>
              <w:t>4核，主频不小于2.2GHz；配置不小于6MB三级缓存，满足高速运算与实时数据处理需求。</w:t>
            </w:r>
          </w:p>
          <w:p>
            <w:pPr>
              <w:pStyle w:val="null3"/>
            </w:pPr>
            <w:r>
              <w:rPr>
                <w:rFonts w:ascii="仿宋_GB2312" w:hAnsi="仿宋_GB2312" w:cs="仿宋_GB2312" w:eastAsia="仿宋_GB2312"/>
              </w:rPr>
              <w:t>▲1.2存储空间及启动时间</w:t>
            </w:r>
          </w:p>
          <w:p>
            <w:pPr>
              <w:pStyle w:val="null3"/>
            </w:pPr>
            <w:r>
              <w:rPr>
                <w:rFonts w:ascii="仿宋_GB2312" w:hAnsi="仿宋_GB2312" w:cs="仿宋_GB2312" w:eastAsia="仿宋_GB2312"/>
              </w:rPr>
              <w:t>设备搭载≥8 GB DRAM内存、可扩展Flash存储空间支持Flash自动启动模式，针对5 MB大小的应用程序，整体启动耗时≤5秒。</w:t>
            </w:r>
          </w:p>
          <w:p>
            <w:pPr>
              <w:pStyle w:val="null3"/>
            </w:pPr>
            <w:r>
              <w:rPr>
                <w:rFonts w:ascii="仿宋_GB2312" w:hAnsi="仿宋_GB2312" w:cs="仿宋_GB2312" w:eastAsia="仿宋_GB2312"/>
              </w:rPr>
              <w:t>▲1.3接口</w:t>
            </w:r>
          </w:p>
          <w:p>
            <w:pPr>
              <w:pStyle w:val="null3"/>
            </w:pPr>
            <w:r>
              <w:rPr>
                <w:rFonts w:ascii="仿宋_GB2312" w:hAnsi="仿宋_GB2312" w:cs="仿宋_GB2312" w:eastAsia="仿宋_GB2312"/>
              </w:rPr>
              <w:t>集成多类高速及通用接口，配置千兆以太网上位机接口；实时以太网接口不少于2通道，采用USB2.0接口用于数据记录和实时应用的存储；CAN接口不少于4通道，LIN接口不少于4通道，串行接口不少于2通道，支持RS232、RS422、RS485收发器；内置可编程FPGA，可实现灵活的逻辑编程与信号处理。</w:t>
            </w:r>
          </w:p>
          <w:p>
            <w:pPr>
              <w:pStyle w:val="null3"/>
            </w:pPr>
            <w:r>
              <w:rPr>
                <w:rFonts w:ascii="仿宋_GB2312" w:hAnsi="仿宋_GB2312" w:cs="仿宋_GB2312" w:eastAsia="仿宋_GB2312"/>
              </w:rPr>
              <w:t>1.4模拟输入输出参数</w:t>
            </w:r>
          </w:p>
          <w:p>
            <w:pPr>
              <w:pStyle w:val="null3"/>
            </w:pPr>
            <w:r>
              <w:rPr>
                <w:rFonts w:ascii="仿宋_GB2312" w:hAnsi="仿宋_GB2312" w:cs="仿宋_GB2312" w:eastAsia="仿宋_GB2312"/>
              </w:rPr>
              <w:t>▲1.4.1模拟输入配置：包含≥8通道14位、10 MSPS差分输入接口，同时配备≥24通道16位、1 MSPS差分输入接口，满足高精度、高速率模拟信号采集需求。</w:t>
            </w:r>
          </w:p>
          <w:p>
            <w:pPr>
              <w:pStyle w:val="null3"/>
            </w:pPr>
            <w:r>
              <w:rPr>
                <w:rFonts w:ascii="仿宋_GB2312" w:hAnsi="仿宋_GB2312" w:cs="仿宋_GB2312" w:eastAsia="仿宋_GB2312"/>
              </w:rPr>
              <w:t>▲1.4.2.模拟输出配置：配备≥16通道，≥16位、1 MSPS模拟输出接口，输出精度高、响应速度快。</w:t>
            </w:r>
          </w:p>
          <w:p>
            <w:pPr>
              <w:pStyle w:val="null3"/>
            </w:pPr>
            <w:r>
              <w:rPr>
                <w:rFonts w:ascii="仿宋_GB2312" w:hAnsi="仿宋_GB2312" w:cs="仿宋_GB2312" w:eastAsia="仿宋_GB2312"/>
              </w:rPr>
              <w:t>▲1.5数字输入输出参数</w:t>
            </w:r>
          </w:p>
          <w:p>
            <w:pPr>
              <w:pStyle w:val="null3"/>
            </w:pPr>
            <w:r>
              <w:rPr>
                <w:rFonts w:ascii="仿宋_GB2312" w:hAnsi="仿宋_GB2312" w:cs="仿宋_GB2312" w:eastAsia="仿宋_GB2312"/>
              </w:rPr>
              <w:t>配置≥48通道双向单端数字IO，兼容2.5 V、3.3 V、5 V电气规格；配备≥12通道双向差分数字IO，适配RS422/485类型传感器连接。IO通道支持开关量、频率量、电机控制等多种工作模式，适配多场景控制需求。</w:t>
            </w:r>
          </w:p>
          <w:p>
            <w:pPr>
              <w:pStyle w:val="null3"/>
            </w:pPr>
            <w:r>
              <w:rPr>
                <w:rFonts w:ascii="仿宋_GB2312" w:hAnsi="仿宋_GB2312" w:cs="仿宋_GB2312" w:eastAsia="仿宋_GB2312"/>
              </w:rPr>
              <w:t>▲1.6电机控制 IO功能</w:t>
            </w:r>
          </w:p>
          <w:p>
            <w:pPr>
              <w:pStyle w:val="null3"/>
            </w:pPr>
            <w:r>
              <w:rPr>
                <w:rFonts w:ascii="仿宋_GB2312" w:hAnsi="仿宋_GB2312" w:cs="仿宋_GB2312" w:eastAsia="仿宋_GB2312"/>
              </w:rPr>
              <w:t>集成专用电机控制接口，配备≥6个增量式编码器接口，支持差分编码器信号采集；配置≥2个三相霍尔传感器接口、≥2个旋变器接口、≥2个SSI接口、≥2个EnDat接口。设备支持多相PWM输出及方波调制PWM功能，可满足各类电机精准控制需求。</w:t>
            </w:r>
          </w:p>
          <w:p>
            <w:pPr>
              <w:pStyle w:val="null3"/>
            </w:pPr>
            <w:r>
              <w:rPr>
                <w:rFonts w:ascii="仿宋_GB2312" w:hAnsi="仿宋_GB2312" w:cs="仿宋_GB2312" w:eastAsia="仿宋_GB2312"/>
              </w:rPr>
              <w:t>1.7开源驱动器</w:t>
            </w:r>
          </w:p>
          <w:p>
            <w:pPr>
              <w:pStyle w:val="null3"/>
            </w:pPr>
            <w:r>
              <w:rPr>
                <w:rFonts w:ascii="仿宋_GB2312" w:hAnsi="仿宋_GB2312" w:cs="仿宋_GB2312" w:eastAsia="仿宋_GB2312"/>
              </w:rPr>
              <w:t>1.7.1额定输入电压AC380V/DC600V；</w:t>
            </w:r>
          </w:p>
          <w:p>
            <w:pPr>
              <w:pStyle w:val="null3"/>
            </w:pPr>
            <w:r>
              <w:rPr>
                <w:rFonts w:ascii="仿宋_GB2312" w:hAnsi="仿宋_GB2312" w:cs="仿宋_GB2312" w:eastAsia="仿宋_GB2312"/>
              </w:rPr>
              <w:t>1.7.2额定输出功率/电流3kw/100A；</w:t>
            </w:r>
          </w:p>
          <w:p>
            <w:pPr>
              <w:pStyle w:val="null3"/>
            </w:pPr>
            <w:r>
              <w:rPr>
                <w:rFonts w:ascii="仿宋_GB2312" w:hAnsi="仿宋_GB2312" w:cs="仿宋_GB2312" w:eastAsia="仿宋_GB2312"/>
              </w:rPr>
              <w:t>1.7.3采样信号调理模块包括：电压、电流、温度等；</w:t>
            </w:r>
          </w:p>
          <w:p>
            <w:pPr>
              <w:pStyle w:val="null3"/>
            </w:pPr>
            <w:r>
              <w:rPr>
                <w:rFonts w:ascii="仿宋_GB2312" w:hAnsi="仿宋_GB2312" w:cs="仿宋_GB2312" w:eastAsia="仿宋_GB2312"/>
              </w:rPr>
              <w:t>▲1.7.4电压采样模块(6路)：精度等同或优于0.5%，响应时间≤40us，频率≥200Hz；</w:t>
            </w:r>
          </w:p>
          <w:p>
            <w:pPr>
              <w:pStyle w:val="null3"/>
            </w:pPr>
            <w:r>
              <w:rPr>
                <w:rFonts w:ascii="仿宋_GB2312" w:hAnsi="仿宋_GB2312" w:cs="仿宋_GB2312" w:eastAsia="仿宋_GB2312"/>
              </w:rPr>
              <w:t>▲1.7.5电流采样模块(5路)：精度等同或优于0.5%，响应时间≤1us，频率≥100KHz；</w:t>
            </w:r>
          </w:p>
          <w:p>
            <w:pPr>
              <w:pStyle w:val="null3"/>
            </w:pPr>
            <w:r>
              <w:rPr>
                <w:rFonts w:ascii="仿宋_GB2312" w:hAnsi="仿宋_GB2312" w:cs="仿宋_GB2312" w:eastAsia="仿宋_GB2312"/>
              </w:rPr>
              <w:t>1.7.6数字输入输出DIDO模块各3路；</w:t>
            </w:r>
          </w:p>
          <w:p>
            <w:pPr>
              <w:pStyle w:val="null3"/>
            </w:pPr>
            <w:r>
              <w:rPr>
                <w:rFonts w:ascii="仿宋_GB2312" w:hAnsi="仿宋_GB2312" w:cs="仿宋_GB2312" w:eastAsia="仿宋_GB2312"/>
              </w:rPr>
              <w:t>▲1.7.7 IGBT开关频率≥20KHz；</w:t>
            </w:r>
          </w:p>
          <w:p>
            <w:pPr>
              <w:pStyle w:val="null3"/>
            </w:pPr>
            <w:r>
              <w:rPr>
                <w:rFonts w:ascii="仿宋_GB2312" w:hAnsi="仿宋_GB2312" w:cs="仿宋_GB2312" w:eastAsia="仿宋_GB2312"/>
              </w:rPr>
              <w:t>1.7.8编码器采样模块（支持5V电源的增量式差分信号）；</w:t>
            </w:r>
          </w:p>
          <w:p>
            <w:pPr>
              <w:pStyle w:val="null3"/>
            </w:pPr>
            <w:r>
              <w:rPr>
                <w:rFonts w:ascii="仿宋_GB2312" w:hAnsi="仿宋_GB2312" w:cs="仿宋_GB2312" w:eastAsia="仿宋_GB2312"/>
              </w:rPr>
              <w:t>1.7.9变频器要具有故障保护模块(过压过流过温)；</w:t>
            </w:r>
          </w:p>
          <w:p>
            <w:pPr>
              <w:pStyle w:val="null3"/>
            </w:pPr>
            <w:r>
              <w:rPr>
                <w:rFonts w:ascii="仿宋_GB2312" w:hAnsi="仿宋_GB2312" w:cs="仿宋_GB2312" w:eastAsia="仿宋_GB2312"/>
              </w:rPr>
              <w:t>1.7.10主电路拓扑结构为背靠背两电平三相全桥六桥臂；</w:t>
            </w:r>
          </w:p>
          <w:p>
            <w:pPr>
              <w:pStyle w:val="null3"/>
            </w:pPr>
            <w:r>
              <w:rPr>
                <w:rFonts w:ascii="仿宋_GB2312" w:hAnsi="仿宋_GB2312" w:cs="仿宋_GB2312" w:eastAsia="仿宋_GB2312"/>
              </w:rPr>
              <w:t>1.7.11过载能力最大支持3倍过载（过载时间1秒）；</w:t>
            </w:r>
          </w:p>
          <w:p>
            <w:pPr>
              <w:pStyle w:val="null3"/>
            </w:pPr>
            <w:r>
              <w:rPr>
                <w:rFonts w:ascii="仿宋_GB2312" w:hAnsi="仿宋_GB2312" w:cs="仿宋_GB2312" w:eastAsia="仿宋_GB2312"/>
              </w:rPr>
              <w:t>1.7.12直流母线电压最高支持720V（过压阈值）；</w:t>
            </w:r>
          </w:p>
          <w:p>
            <w:pPr>
              <w:pStyle w:val="null3"/>
            </w:pPr>
            <w:r>
              <w:rPr>
                <w:rFonts w:ascii="仿宋_GB2312" w:hAnsi="仿宋_GB2312" w:cs="仿宋_GB2312" w:eastAsia="仿宋_GB2312"/>
              </w:rPr>
              <w:t>1.7.13电路板全部采用≥6层板设计，具有抗干扰能力强，信号可靠性高、EMC电磁兼容功能强等特点。</w:t>
            </w:r>
          </w:p>
          <w:p>
            <w:pPr>
              <w:pStyle w:val="null3"/>
            </w:pPr>
            <w:r>
              <w:rPr>
                <w:rFonts w:ascii="仿宋_GB2312" w:hAnsi="仿宋_GB2312" w:cs="仿宋_GB2312" w:eastAsia="仿宋_GB2312"/>
              </w:rPr>
              <w:t>2无刷直流电机1台：额定功率200w、额定电压24V、转速3000r/min，适配配套驱动控制系统</w:t>
            </w:r>
          </w:p>
          <w:p>
            <w:pPr>
              <w:pStyle w:val="null3"/>
            </w:pPr>
            <w:r>
              <w:rPr>
                <w:rFonts w:ascii="仿宋_GB2312" w:hAnsi="仿宋_GB2312" w:cs="仿宋_GB2312" w:eastAsia="仿宋_GB2312"/>
              </w:rPr>
              <w:t>▲3.双馈风力发电机对托机组1套：额定功率3kw、电压380V、额定转速1200r/min、额定频率50Hz，满足风电模拟、发电控制试验需求。</w:t>
            </w:r>
          </w:p>
          <w:p>
            <w:pPr>
              <w:pStyle w:val="null3"/>
            </w:pPr>
            <w:r>
              <w:rPr>
                <w:rFonts w:ascii="仿宋_GB2312" w:hAnsi="仿宋_GB2312" w:cs="仿宋_GB2312" w:eastAsia="仿宋_GB2312"/>
              </w:rPr>
              <w:t>▲4.直流调速1套：电枢输入3AC 400V 50A 50/60Hz；输出 DC ±420V 60A；励磁输入2AC 400V 10A 50/60Hz、输出 DC ±325V 10A；冷却方式为自冷，可稳定实现直流电机调速控制。</w:t>
            </w:r>
          </w:p>
          <w:p>
            <w:pPr>
              <w:pStyle w:val="null3"/>
            </w:pPr>
            <w:r>
              <w:rPr>
                <w:rFonts w:ascii="仿宋_GB2312" w:hAnsi="仿宋_GB2312" w:cs="仿宋_GB2312" w:eastAsia="仿宋_GB2312"/>
              </w:rPr>
              <w:t>5.系统集成要求</w:t>
            </w:r>
          </w:p>
          <w:p>
            <w:pPr>
              <w:pStyle w:val="null3"/>
            </w:pPr>
            <w:r>
              <w:rPr>
                <w:rFonts w:ascii="仿宋_GB2312" w:hAnsi="仿宋_GB2312" w:cs="仿宋_GB2312" w:eastAsia="仿宋_GB2312"/>
              </w:rPr>
              <w:t>5.1系统集成有相关插件、太网连接器，可无缝适配Simulink环境，具备电压、电流、位置、温度等多信号的高速实时采集，并能以多种通信方式和上位机进行信号交互，具备大功率电机驱动控制能力，以及完善的自我保护功能。</w:t>
            </w:r>
          </w:p>
          <w:p>
            <w:pPr>
              <w:pStyle w:val="null3"/>
            </w:pPr>
            <w:r>
              <w:rPr>
                <w:rFonts w:ascii="仿宋_GB2312" w:hAnsi="仿宋_GB2312" w:cs="仿宋_GB2312" w:eastAsia="仿宋_GB2312"/>
              </w:rPr>
              <w:t>▲5.2系统集成直流、双馈、无刷电机专用变频器及直流母线电容，配套搭载各类电机变频器信号采集传感器，同时集成配套上位机台式设备及操作软件，可通过Simulink仿真模型下载，实现对双馈风力发电机组、无刷电机的精准控制。</w:t>
            </w:r>
          </w:p>
          <w:p>
            <w:pPr>
              <w:pStyle w:val="null3"/>
            </w:pPr>
            <w:r>
              <w:rPr>
                <w:rFonts w:ascii="仿宋_GB2312" w:hAnsi="仿宋_GB2312" w:cs="仿宋_GB2312" w:eastAsia="仿宋_GB2312"/>
              </w:rPr>
              <w:t>▲5.3系统调试完成后，双馈电机并网前、并网后的定子电压、定子电流、转子电压、转子电流等波形参数符合国家标准：GB/T 12325-2008《电能质量供电电压偏差》和GB/T 14549-1993《电能质量公用电网谐波》，即：电压允许偏差为额定值的 +7% 至 -10%，谐波畸变率≤5%。</w:t>
            </w:r>
          </w:p>
          <w:p>
            <w:pPr>
              <w:pStyle w:val="null3"/>
            </w:pPr>
            <w:r>
              <w:rPr>
                <w:rFonts w:ascii="仿宋_GB2312" w:hAnsi="仿宋_GB2312" w:cs="仿宋_GB2312" w:eastAsia="仿宋_GB2312"/>
              </w:rPr>
              <w:t>▲5.4系统应与现有的电压跌落发生器（远方 EMS61000-11C）、弱电网模拟装置（总感值23.14mH 6抽头）、阻抗测试负载箱（RT-380 220V-10KW）、调压器(天正 TSGC2-15KVA)等设备实现联合调试、协同运行。</w:t>
            </w:r>
          </w:p>
          <w:p>
            <w:pPr>
              <w:pStyle w:val="null3"/>
            </w:pPr>
            <w:r>
              <w:rPr>
                <w:rFonts w:ascii="仿宋_GB2312" w:hAnsi="仿宋_GB2312" w:cs="仿宋_GB2312" w:eastAsia="仿宋_GB2312"/>
              </w:rPr>
              <w:t>5.5系统控制器集成支持多种电机的控制（交直流直线电机、交流异步、同步电机、直流无刷电机）和微电网控制；支持多种编码器类型（光栅尺、霍尔、5V(或24V)单端/差分增量式、绝对式、旋变编码器）；支持编码器数字/模拟信号输出，支持高分辨率/精度的编码器（比如2500线/3600线/5000线等）。</w:t>
            </w:r>
          </w:p>
          <w:p>
            <w:pPr>
              <w:pStyle w:val="null3"/>
            </w:pPr>
            <w:r>
              <w:rPr>
                <w:rFonts w:ascii="仿宋_GB2312" w:hAnsi="仿宋_GB2312" w:cs="仿宋_GB2312" w:eastAsia="仿宋_GB2312"/>
              </w:rPr>
              <w:t>▲5.6系统集成有上位机及其软件，利用Simulink仿真模型的下载，实现对托双馈风力发电机组及无刷电机的按要求控制功能。</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电力电子虚实综合开发平台应无缝支持Simulink环境，具备电压、电流、位置、温度等多信号的高速实时采集，并能以多种通信方式和上位机进行信号交互，具备大功率电机驱动控制能力、智能算法训练与推理等综合功能，整体系统在Simulink支持下，需实现双馈风力发电机的发电、并网及无刷电机的控制，支持科研、教学及产学研应用场景。系统应保证安全、稳定、可扩展，符合国家相关标准及实验室长期运行需求。</w:t>
            </w:r>
          </w:p>
          <w:p>
            <w:pPr>
              <w:pStyle w:val="null3"/>
            </w:pPr>
            <w:r>
              <w:rPr>
                <w:rFonts w:ascii="仿宋_GB2312" w:hAnsi="仿宋_GB2312" w:cs="仿宋_GB2312" w:eastAsia="仿宋_GB2312"/>
              </w:rPr>
              <w:t>2.材料与结构要求：系统外壳与护罩需具备防尘、防静电、安全保护及防护能力，避免安全隐患；技术要求中所列核心设备以及关键部件应为原厂制造。</w:t>
            </w:r>
          </w:p>
          <w:p>
            <w:pPr>
              <w:pStyle w:val="null3"/>
            </w:pPr>
            <w:r>
              <w:rPr>
                <w:rFonts w:ascii="仿宋_GB2312" w:hAnsi="仿宋_GB2312" w:cs="仿宋_GB2312" w:eastAsia="仿宋_GB2312"/>
              </w:rPr>
              <w:t>3.安全与标准，系统需符合国家及行业相关电气安全标准，具备过压、过流、急停与过载保护机制。</w:t>
            </w:r>
          </w:p>
          <w:p>
            <w:pPr>
              <w:pStyle w:val="null3"/>
            </w:pPr>
            <w:r>
              <w:rPr>
                <w:rFonts w:ascii="仿宋_GB2312" w:hAnsi="仿宋_GB2312" w:cs="仿宋_GB2312" w:eastAsia="仿宋_GB2312"/>
              </w:rPr>
              <w:t>4.服务与保障，供应商负责整套系统的安装、调试及运行测试，保证设备按期交付并达到性能指标；提供教师与学生的操作培训。</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合同签订后2个月内完成设备安装、调试及交付。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所售产品元器件均为全新产品，按原厂技术规格与数据手册中的相关标准验收。按照招标文件、投标文件和合同文本执行。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自项目验收合格之日起算，控制器1年，变流器质保期 5 年，组件质保期 10 年。提供终身售后服务，已超过质保期期限时按照实时成本价格收取一定的器件费用和运输费。售后服务响应时间：12小时内响应。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本项目落实《国务院办公厅关于在政府采购中实施本国产品标准及相关政策的通知》-(国办发[2025]34号)政策:1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2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①标“▲”参数共计16项，投标人满足参数要求的每项得2分，不满足得0分，满分32分。“▲”指标必须提供有效佐证材料，否则视为负偏离。 ②非“▲”参数（以投标人的技术响应偏离表响应情况为准），得分=（投标人满足采购人要求的非“▲”参数数量/非“▲”参数总数量）×7分，满分7分。得分保留小数点后两位数，小数点后第三位四舍五入。 备注：标“▲”参数：佐证材料可为检测报告或功能截图或产品彩页或加盖厂家公章的技术说明书（针对5.4项可以提供加盖投标人公章的承诺函）。投标人提供的佐证材料与技术响应偏离表响应内容不一致的，以佐证材料为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上述4项内容，每提供1项内容计2分，每项内容存在一处瑕疵扣0.5分；本评分点满分8分。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投标人针对本项目所投产品质量保证进行说明，包括①产品选型、性能；②软硬件兼容与适配；③设备安全保证措施等。 上述3项内容，每提供1项内容计2分，每项内容存在一处瑕疵扣0.5分；本评分点满分6分。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质保期的基础上，投标人可根据自身情况延长质保年限，评标委员会根据各投标人响应的延长质保年限进行综合评定，以延长质保年限最长者为基准，计2分，其他投标人的延长质保年限分统一按照下列公式计算：延长质保期／基准)×2=响应得分。得分四舍五入保留小数点后两位。 仅满足招标文件要求的质保期不计分。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投标人提供所投产品的合法来源渠道证明文件（包括但不限于销售协议或代理协议或原厂授权等），提供齐全计3分，未提供或不齐全不计分。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投标人针对本项目提供培训方案，方案应至少包括但不限于①培训时间计划及培训人员安排；②培训内容设计安排（设备原理和技术性能、仪器操作、仪器维护、故障排除等）及确保培训效果措施。 上述2项内容，每提供1项内容计1分，每项内容存在一处瑕疵扣0.5分；本评分点满分2分。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①本地化服务能力说明、售后服务范围及保障措施；②各类问题响应解决时间、响应方式；③备品备件保障、软件升级维护；④定期回访计划安排等。 上述4项内容，每提供1项内容计1分，每项内容存在一处瑕疵扣0.5分；本评分点满分4分。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核心要素，否则不计为有效业绩。每提供1个有效业绩得1分，最高得5分。 备注： 1.投标文件中提供合同扫描件加盖公章。 2.同类项目是指合同中包含本包采购的核心产品。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ind w:firstLine="960"/>
      </w:pPr>
      <w:r>
        <w:rPr>
          <w:rFonts w:ascii="仿宋_GB2312" w:hAnsi="仿宋_GB2312" w:cs="仿宋_GB2312" w:eastAsia="仿宋_GB2312"/>
        </w:rPr>
        <w:t>详见附件：2分项价格表.docx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