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B73B8">
      <w:pPr>
        <w:pStyle w:val="4"/>
        <w:spacing w:line="336" w:lineRule="auto"/>
        <w:ind w:firstLine="560" w:firstLineChars="200"/>
        <w:jc w:val="center"/>
        <w:rPr>
          <w:rFonts w:hint="eastAsia" w:ascii="仿宋" w:hAnsi="仿宋" w:eastAsia="仿宋" w:cs="仿宋"/>
          <w:color w:val="auto"/>
          <w:sz w:val="28"/>
          <w:szCs w:val="28"/>
        </w:rPr>
      </w:pPr>
      <w:r>
        <w:rPr>
          <w:rFonts w:hint="eastAsia" w:ascii="仿宋" w:hAnsi="仿宋" w:eastAsia="仿宋" w:cs="仿宋"/>
          <w:color w:val="auto"/>
          <w:sz w:val="28"/>
          <w:szCs w:val="28"/>
        </w:rPr>
        <w:t>分项价格表</w:t>
      </w:r>
    </w:p>
    <w:p w14:paraId="7E8C9BCF">
      <w:pPr>
        <w:pStyle w:val="4"/>
        <w:spacing w:line="336"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sz w:val="28"/>
          <w:szCs w:val="28"/>
          <w:u w:val="single"/>
        </w:rPr>
        <w:t xml:space="preserve">                    </w:t>
      </w:r>
    </w:p>
    <w:p w14:paraId="20AF08C1">
      <w:pPr>
        <w:pStyle w:val="4"/>
        <w:spacing w:line="336" w:lineRule="auto"/>
        <w:ind w:firstLine="280" w:firstLineChars="100"/>
        <w:rPr>
          <w:rFonts w:hint="eastAsia" w:ascii="仿宋" w:hAnsi="仿宋" w:eastAsia="仿宋" w:cs="仿宋"/>
          <w:color w:val="auto"/>
          <w:sz w:val="28"/>
          <w:szCs w:val="28"/>
          <w:u w:val="single"/>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u w:val="single"/>
        </w:rPr>
        <w:t xml:space="preserve">                    </w:t>
      </w:r>
    </w:p>
    <w:p w14:paraId="48A427E0">
      <w:pPr>
        <w:pStyle w:val="4"/>
        <w:spacing w:line="336" w:lineRule="auto"/>
        <w:ind w:firstLine="280" w:firstLineChars="100"/>
        <w:rPr>
          <w:rFonts w:hint="eastAsia" w:ascii="仿宋" w:hAnsi="仿宋" w:eastAsia="仿宋" w:cs="仿宋"/>
          <w:color w:val="FF0000"/>
          <w:sz w:val="28"/>
          <w:szCs w:val="28"/>
        </w:rPr>
      </w:pPr>
      <w:r>
        <w:rPr>
          <w:rFonts w:hint="eastAsia" w:ascii="仿宋" w:hAnsi="仿宋" w:eastAsia="仿宋" w:cs="仿宋"/>
          <w:color w:val="auto"/>
          <w:sz w:val="28"/>
          <w:szCs w:val="28"/>
        </w:rPr>
        <w:t xml:space="preserve">货币：人民币      </w:t>
      </w:r>
      <w:r>
        <w:rPr>
          <w:rFonts w:hint="eastAsia" w:ascii="仿宋" w:hAnsi="仿宋" w:eastAsia="仿宋" w:cs="仿宋"/>
          <w:sz w:val="28"/>
          <w:szCs w:val="28"/>
        </w:rPr>
        <w:t xml:space="preserve">                         </w:t>
      </w:r>
      <w:r>
        <w:rPr>
          <w:rFonts w:hint="eastAsia" w:ascii="仿宋" w:hAnsi="仿宋" w:eastAsia="仿宋" w:cs="仿宋"/>
          <w:color w:val="auto"/>
          <w:sz w:val="28"/>
          <w:szCs w:val="28"/>
        </w:rPr>
        <w:t xml:space="preserve">  单位：元</w:t>
      </w:r>
    </w:p>
    <w:tbl>
      <w:tblPr>
        <w:tblStyle w:val="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672"/>
        <w:gridCol w:w="1086"/>
        <w:gridCol w:w="899"/>
        <w:gridCol w:w="899"/>
        <w:gridCol w:w="899"/>
        <w:gridCol w:w="899"/>
        <w:gridCol w:w="899"/>
        <w:gridCol w:w="899"/>
        <w:gridCol w:w="903"/>
      </w:tblGrid>
      <w:tr w14:paraId="5F54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68" w:type="pct"/>
            <w:noWrap w:val="0"/>
            <w:vAlign w:val="center"/>
          </w:tcPr>
          <w:p w14:paraId="00D26168">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032" w:type="pct"/>
            <w:gridSpan w:val="2"/>
            <w:noWrap w:val="0"/>
            <w:vAlign w:val="center"/>
          </w:tcPr>
          <w:p w14:paraId="33581D8B">
            <w:pPr>
              <w:pStyle w:val="4"/>
              <w:spacing w:line="336"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设备</w:t>
            </w:r>
          </w:p>
          <w:p w14:paraId="0527267A">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名称</w:t>
            </w:r>
          </w:p>
        </w:tc>
        <w:tc>
          <w:tcPr>
            <w:tcW w:w="528" w:type="pct"/>
            <w:noWrap w:val="0"/>
            <w:vAlign w:val="center"/>
          </w:tcPr>
          <w:p w14:paraId="1D4820CA">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528" w:type="pct"/>
            <w:noWrap w:val="0"/>
            <w:vAlign w:val="center"/>
          </w:tcPr>
          <w:p w14:paraId="47C4EB5A">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196E0C9D">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528" w:type="pct"/>
            <w:noWrap w:val="0"/>
            <w:vAlign w:val="center"/>
          </w:tcPr>
          <w:p w14:paraId="30ABD9F7">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528" w:type="pct"/>
            <w:noWrap w:val="0"/>
            <w:vAlign w:val="center"/>
          </w:tcPr>
          <w:p w14:paraId="7EE0162A">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12A433EE">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528" w:type="pct"/>
            <w:noWrap w:val="0"/>
            <w:vAlign w:val="center"/>
          </w:tcPr>
          <w:p w14:paraId="62D4EBFF">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528" w:type="pct"/>
            <w:noWrap w:val="0"/>
            <w:vAlign w:val="center"/>
          </w:tcPr>
          <w:p w14:paraId="024A2749">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530" w:type="pct"/>
            <w:noWrap w:val="0"/>
            <w:vAlign w:val="center"/>
          </w:tcPr>
          <w:p w14:paraId="0CE952F2">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r>
      <w:tr w14:paraId="0FF21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68" w:type="pct"/>
            <w:vMerge w:val="restart"/>
            <w:noWrap w:val="0"/>
            <w:vAlign w:val="center"/>
          </w:tcPr>
          <w:p w14:paraId="2249948E">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p>
        </w:tc>
        <w:tc>
          <w:tcPr>
            <w:tcW w:w="394" w:type="pct"/>
            <w:vMerge w:val="restart"/>
            <w:noWrap w:val="0"/>
            <w:vAlign w:val="center"/>
          </w:tcPr>
          <w:p w14:paraId="25CD66EE">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电力电子</w:t>
            </w:r>
            <w:r>
              <w:rPr>
                <w:rFonts w:hint="eastAsia" w:ascii="仿宋" w:hAnsi="仿宋" w:eastAsia="仿宋" w:cs="仿宋"/>
                <w:color w:val="auto"/>
                <w:kern w:val="2"/>
                <w:sz w:val="24"/>
                <w:szCs w:val="24"/>
                <w:lang w:val="en-US" w:eastAsia="zh-CN" w:bidi="ar-SA"/>
              </w:rPr>
              <w:t>虚实综</w:t>
            </w:r>
            <w:r>
              <w:rPr>
                <w:rFonts w:hint="eastAsia" w:ascii="仿宋" w:hAnsi="仿宋" w:eastAsia="仿宋" w:cs="仿宋"/>
                <w:color w:val="auto"/>
                <w:sz w:val="24"/>
                <w:szCs w:val="24"/>
              </w:rPr>
              <w:t>合开发平台</w:t>
            </w:r>
          </w:p>
        </w:tc>
        <w:tc>
          <w:tcPr>
            <w:tcW w:w="637" w:type="pct"/>
            <w:noWrap w:val="0"/>
            <w:vAlign w:val="center"/>
          </w:tcPr>
          <w:p w14:paraId="1D023D6A">
            <w:pPr>
              <w:keepNext w:val="0"/>
              <w:keepLines w:val="0"/>
              <w:widowControl/>
              <w:suppressLineNumbers w:val="0"/>
              <w:spacing w:line="240" w:lineRule="auto"/>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Hans" w:bidi="ar-SA"/>
              </w:rPr>
              <w:t>电力电子虚实综合开发平台</w:t>
            </w:r>
          </w:p>
        </w:tc>
        <w:tc>
          <w:tcPr>
            <w:tcW w:w="528" w:type="pct"/>
            <w:noWrap w:val="0"/>
            <w:vAlign w:val="center"/>
          </w:tcPr>
          <w:p w14:paraId="4BE5417D">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30D7E91B">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7E73B033">
            <w:pPr>
              <w:pStyle w:val="4"/>
              <w:spacing w:line="336" w:lineRule="auto"/>
              <w:jc w:val="center"/>
              <w:rPr>
                <w:rFonts w:hint="eastAsia" w:ascii="仿宋" w:hAnsi="仿宋" w:eastAsia="仿宋" w:cs="仿宋"/>
                <w:color w:val="auto"/>
                <w:sz w:val="24"/>
                <w:szCs w:val="24"/>
              </w:rPr>
            </w:pPr>
            <w:bookmarkStart w:id="0" w:name="_GoBack"/>
            <w:bookmarkEnd w:id="0"/>
          </w:p>
        </w:tc>
        <w:tc>
          <w:tcPr>
            <w:tcW w:w="528" w:type="pct"/>
            <w:noWrap w:val="0"/>
            <w:vAlign w:val="center"/>
          </w:tcPr>
          <w:p w14:paraId="1A464DA6">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605F91E0">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56DFB58D">
            <w:pPr>
              <w:pStyle w:val="4"/>
              <w:spacing w:line="336" w:lineRule="auto"/>
              <w:jc w:val="center"/>
              <w:rPr>
                <w:rFonts w:hint="default" w:ascii="仿宋" w:hAnsi="仿宋" w:eastAsia="仿宋" w:cs="仿宋"/>
                <w:color w:val="auto"/>
                <w:sz w:val="24"/>
                <w:szCs w:val="24"/>
                <w:lang w:val="en-US" w:eastAsia="zh-CN"/>
              </w:rPr>
            </w:pPr>
          </w:p>
        </w:tc>
        <w:tc>
          <w:tcPr>
            <w:tcW w:w="530" w:type="pct"/>
            <w:noWrap w:val="0"/>
            <w:vAlign w:val="center"/>
          </w:tcPr>
          <w:p w14:paraId="525A7013">
            <w:pPr>
              <w:pStyle w:val="4"/>
              <w:spacing w:line="336" w:lineRule="auto"/>
              <w:jc w:val="center"/>
              <w:rPr>
                <w:rFonts w:hint="eastAsia" w:ascii="仿宋" w:hAnsi="仿宋" w:eastAsia="仿宋" w:cs="仿宋"/>
                <w:color w:val="auto"/>
                <w:sz w:val="24"/>
                <w:szCs w:val="24"/>
              </w:rPr>
            </w:pPr>
          </w:p>
        </w:tc>
      </w:tr>
      <w:tr w14:paraId="14823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268" w:type="pct"/>
            <w:vMerge w:val="continue"/>
            <w:noWrap w:val="0"/>
            <w:vAlign w:val="center"/>
          </w:tcPr>
          <w:p w14:paraId="433C4851">
            <w:pPr>
              <w:pStyle w:val="4"/>
              <w:spacing w:line="336" w:lineRule="auto"/>
              <w:jc w:val="center"/>
            </w:pPr>
          </w:p>
        </w:tc>
        <w:tc>
          <w:tcPr>
            <w:tcW w:w="394" w:type="pct"/>
            <w:vMerge w:val="continue"/>
            <w:tcBorders/>
            <w:noWrap w:val="0"/>
            <w:vAlign w:val="center"/>
          </w:tcPr>
          <w:p w14:paraId="0AD711F5">
            <w:pPr>
              <w:pStyle w:val="4"/>
              <w:spacing w:line="336" w:lineRule="auto"/>
              <w:jc w:val="center"/>
            </w:pPr>
          </w:p>
        </w:tc>
        <w:tc>
          <w:tcPr>
            <w:tcW w:w="637" w:type="pct"/>
            <w:noWrap w:val="0"/>
            <w:vAlign w:val="center"/>
          </w:tcPr>
          <w:p w14:paraId="7AAAB86A">
            <w:pPr>
              <w:keepNext w:val="0"/>
              <w:keepLines w:val="0"/>
              <w:widowControl/>
              <w:suppressLineNumbers w:val="0"/>
              <w:spacing w:line="240" w:lineRule="auto"/>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Hans" w:bidi="ar-SA"/>
              </w:rPr>
              <w:t>无刷直流电机</w:t>
            </w:r>
          </w:p>
        </w:tc>
        <w:tc>
          <w:tcPr>
            <w:tcW w:w="528" w:type="pct"/>
            <w:noWrap w:val="0"/>
            <w:vAlign w:val="center"/>
          </w:tcPr>
          <w:p w14:paraId="7F13C795">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4F5C0673">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56E9C3EF">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224EA5A8">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60BEBD9D">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38F691EB">
            <w:pPr>
              <w:pStyle w:val="4"/>
              <w:spacing w:line="336" w:lineRule="auto"/>
              <w:jc w:val="center"/>
              <w:rPr>
                <w:rFonts w:hint="eastAsia" w:ascii="仿宋" w:hAnsi="仿宋" w:eastAsia="仿宋" w:cs="仿宋"/>
                <w:color w:val="auto"/>
                <w:sz w:val="24"/>
                <w:szCs w:val="24"/>
              </w:rPr>
            </w:pPr>
          </w:p>
        </w:tc>
        <w:tc>
          <w:tcPr>
            <w:tcW w:w="530" w:type="pct"/>
            <w:noWrap w:val="0"/>
            <w:vAlign w:val="center"/>
          </w:tcPr>
          <w:p w14:paraId="5341DAD0">
            <w:pPr>
              <w:pStyle w:val="4"/>
              <w:spacing w:line="336" w:lineRule="auto"/>
              <w:jc w:val="center"/>
              <w:rPr>
                <w:rFonts w:hint="eastAsia" w:ascii="仿宋" w:hAnsi="仿宋" w:eastAsia="仿宋" w:cs="仿宋"/>
                <w:color w:val="auto"/>
                <w:sz w:val="24"/>
                <w:szCs w:val="24"/>
              </w:rPr>
            </w:pPr>
          </w:p>
        </w:tc>
      </w:tr>
      <w:tr w14:paraId="5490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9" w:hRule="atLeast"/>
          <w:jc w:val="center"/>
        </w:trPr>
        <w:tc>
          <w:tcPr>
            <w:tcW w:w="268" w:type="pct"/>
            <w:vMerge w:val="continue"/>
            <w:noWrap w:val="0"/>
            <w:vAlign w:val="center"/>
          </w:tcPr>
          <w:p w14:paraId="1B2DFB96">
            <w:pPr>
              <w:pStyle w:val="4"/>
              <w:spacing w:line="336" w:lineRule="auto"/>
              <w:jc w:val="center"/>
              <w:rPr>
                <w:rFonts w:hint="eastAsia" w:ascii="仿宋" w:hAnsi="仿宋" w:eastAsia="仿宋" w:cs="仿宋"/>
                <w:color w:val="auto"/>
                <w:sz w:val="24"/>
                <w:szCs w:val="24"/>
              </w:rPr>
            </w:pPr>
          </w:p>
        </w:tc>
        <w:tc>
          <w:tcPr>
            <w:tcW w:w="394" w:type="pct"/>
            <w:vMerge w:val="continue"/>
            <w:tcBorders/>
            <w:noWrap w:val="0"/>
            <w:vAlign w:val="center"/>
          </w:tcPr>
          <w:p w14:paraId="5D72C7D8">
            <w:pPr>
              <w:pStyle w:val="4"/>
              <w:spacing w:line="336" w:lineRule="auto"/>
              <w:jc w:val="center"/>
              <w:rPr>
                <w:rFonts w:hint="eastAsia" w:ascii="仿宋" w:hAnsi="仿宋" w:eastAsia="仿宋" w:cs="仿宋"/>
                <w:color w:val="auto"/>
                <w:sz w:val="24"/>
                <w:szCs w:val="24"/>
              </w:rPr>
            </w:pPr>
          </w:p>
        </w:tc>
        <w:tc>
          <w:tcPr>
            <w:tcW w:w="637" w:type="pct"/>
            <w:noWrap w:val="0"/>
            <w:vAlign w:val="center"/>
          </w:tcPr>
          <w:p w14:paraId="36527990">
            <w:pPr>
              <w:keepNext w:val="0"/>
              <w:keepLines w:val="0"/>
              <w:widowControl/>
              <w:suppressLineNumbers w:val="0"/>
              <w:spacing w:line="240" w:lineRule="auto"/>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Hans" w:bidi="ar-SA"/>
              </w:rPr>
              <w:t>双馈</w:t>
            </w:r>
            <w:r>
              <w:rPr>
                <w:rFonts w:hint="eastAsia" w:ascii="仿宋" w:hAnsi="仿宋" w:eastAsia="仿宋" w:cs="仿宋"/>
                <w:color w:val="auto"/>
                <w:kern w:val="2"/>
                <w:sz w:val="24"/>
                <w:szCs w:val="24"/>
                <w:lang w:val="en-US" w:eastAsia="zh-CN" w:bidi="ar-SA"/>
              </w:rPr>
              <w:t>风力</w:t>
            </w:r>
            <w:r>
              <w:rPr>
                <w:rFonts w:hint="eastAsia" w:ascii="仿宋" w:hAnsi="仿宋" w:eastAsia="仿宋" w:cs="仿宋"/>
                <w:color w:val="auto"/>
                <w:kern w:val="2"/>
                <w:sz w:val="24"/>
                <w:szCs w:val="24"/>
                <w:lang w:val="en-US" w:eastAsia="zh-Hans" w:bidi="ar-SA"/>
              </w:rPr>
              <w:t>发电机对托机组</w:t>
            </w:r>
          </w:p>
        </w:tc>
        <w:tc>
          <w:tcPr>
            <w:tcW w:w="528" w:type="pct"/>
            <w:noWrap w:val="0"/>
            <w:vAlign w:val="center"/>
          </w:tcPr>
          <w:p w14:paraId="1CD39190">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2C068303">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750F09D2">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304D8370">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65D545EC">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345BD6AF">
            <w:pPr>
              <w:pStyle w:val="4"/>
              <w:spacing w:line="336" w:lineRule="auto"/>
              <w:jc w:val="center"/>
              <w:rPr>
                <w:rFonts w:hint="eastAsia" w:ascii="仿宋" w:hAnsi="仿宋" w:eastAsia="仿宋" w:cs="仿宋"/>
                <w:color w:val="auto"/>
                <w:sz w:val="24"/>
                <w:szCs w:val="24"/>
              </w:rPr>
            </w:pPr>
          </w:p>
        </w:tc>
        <w:tc>
          <w:tcPr>
            <w:tcW w:w="530" w:type="pct"/>
            <w:noWrap w:val="0"/>
            <w:vAlign w:val="center"/>
          </w:tcPr>
          <w:p w14:paraId="50F6BA7F">
            <w:pPr>
              <w:pStyle w:val="4"/>
              <w:spacing w:line="336" w:lineRule="auto"/>
              <w:jc w:val="center"/>
              <w:rPr>
                <w:rFonts w:hint="eastAsia" w:ascii="仿宋" w:hAnsi="仿宋" w:eastAsia="仿宋" w:cs="仿宋"/>
                <w:color w:val="auto"/>
                <w:sz w:val="24"/>
                <w:szCs w:val="24"/>
              </w:rPr>
            </w:pPr>
          </w:p>
        </w:tc>
      </w:tr>
      <w:tr w14:paraId="565F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68" w:type="pct"/>
            <w:vMerge w:val="continue"/>
            <w:noWrap w:val="0"/>
            <w:vAlign w:val="center"/>
          </w:tcPr>
          <w:p w14:paraId="7E15E09B">
            <w:pPr>
              <w:pStyle w:val="4"/>
              <w:spacing w:line="336" w:lineRule="auto"/>
              <w:jc w:val="center"/>
              <w:rPr>
                <w:rFonts w:hint="eastAsia" w:ascii="仿宋" w:hAnsi="仿宋" w:eastAsia="仿宋" w:cs="仿宋"/>
                <w:color w:val="auto"/>
                <w:sz w:val="24"/>
                <w:szCs w:val="24"/>
              </w:rPr>
            </w:pPr>
          </w:p>
        </w:tc>
        <w:tc>
          <w:tcPr>
            <w:tcW w:w="394" w:type="pct"/>
            <w:vMerge w:val="continue"/>
            <w:tcBorders/>
            <w:noWrap w:val="0"/>
            <w:vAlign w:val="center"/>
          </w:tcPr>
          <w:p w14:paraId="50D8EB26">
            <w:pPr>
              <w:pStyle w:val="4"/>
              <w:spacing w:line="336" w:lineRule="auto"/>
              <w:jc w:val="center"/>
              <w:rPr>
                <w:rFonts w:hint="eastAsia" w:ascii="仿宋" w:hAnsi="仿宋" w:eastAsia="仿宋" w:cs="仿宋"/>
                <w:color w:val="auto"/>
                <w:sz w:val="24"/>
                <w:szCs w:val="24"/>
              </w:rPr>
            </w:pPr>
          </w:p>
        </w:tc>
        <w:tc>
          <w:tcPr>
            <w:tcW w:w="637" w:type="pct"/>
            <w:noWrap w:val="0"/>
            <w:vAlign w:val="center"/>
          </w:tcPr>
          <w:p w14:paraId="6B4EE596">
            <w:pPr>
              <w:keepNext w:val="0"/>
              <w:keepLines w:val="0"/>
              <w:widowControl/>
              <w:suppressLineNumbers w:val="0"/>
              <w:spacing w:line="240" w:lineRule="auto"/>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Hans" w:bidi="ar-SA"/>
              </w:rPr>
              <w:t>直流调速</w:t>
            </w:r>
          </w:p>
        </w:tc>
        <w:tc>
          <w:tcPr>
            <w:tcW w:w="528" w:type="pct"/>
            <w:noWrap w:val="0"/>
            <w:vAlign w:val="center"/>
          </w:tcPr>
          <w:p w14:paraId="5368CA87">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4C1D97CB">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5B1522EA">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60A36E64">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5836AB22">
            <w:pPr>
              <w:pStyle w:val="4"/>
              <w:spacing w:line="336" w:lineRule="auto"/>
              <w:jc w:val="center"/>
              <w:rPr>
                <w:rFonts w:hint="eastAsia" w:ascii="仿宋" w:hAnsi="仿宋" w:eastAsia="仿宋" w:cs="仿宋"/>
                <w:color w:val="auto"/>
                <w:sz w:val="24"/>
                <w:szCs w:val="24"/>
              </w:rPr>
            </w:pPr>
          </w:p>
        </w:tc>
        <w:tc>
          <w:tcPr>
            <w:tcW w:w="528" w:type="pct"/>
            <w:noWrap w:val="0"/>
            <w:vAlign w:val="center"/>
          </w:tcPr>
          <w:p w14:paraId="54B1C365">
            <w:pPr>
              <w:pStyle w:val="4"/>
              <w:spacing w:line="336" w:lineRule="auto"/>
              <w:jc w:val="center"/>
              <w:rPr>
                <w:rFonts w:hint="eastAsia" w:ascii="仿宋" w:hAnsi="仿宋" w:eastAsia="仿宋" w:cs="仿宋"/>
                <w:color w:val="auto"/>
                <w:sz w:val="24"/>
                <w:szCs w:val="24"/>
              </w:rPr>
            </w:pPr>
          </w:p>
        </w:tc>
        <w:tc>
          <w:tcPr>
            <w:tcW w:w="530" w:type="pct"/>
            <w:noWrap w:val="0"/>
            <w:vAlign w:val="center"/>
          </w:tcPr>
          <w:p w14:paraId="3C45B2F5">
            <w:pPr>
              <w:pStyle w:val="4"/>
              <w:spacing w:line="336" w:lineRule="auto"/>
              <w:jc w:val="center"/>
              <w:rPr>
                <w:rFonts w:hint="eastAsia" w:ascii="仿宋" w:hAnsi="仿宋" w:eastAsia="仿宋" w:cs="仿宋"/>
                <w:color w:val="auto"/>
                <w:sz w:val="24"/>
                <w:szCs w:val="24"/>
              </w:rPr>
            </w:pPr>
          </w:p>
        </w:tc>
      </w:tr>
      <w:tr w14:paraId="5C7B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1" w:type="pct"/>
            <w:gridSpan w:val="3"/>
            <w:noWrap w:val="0"/>
            <w:vAlign w:val="center"/>
          </w:tcPr>
          <w:p w14:paraId="515C20C3">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w:t>
            </w:r>
            <w:r>
              <w:rPr>
                <w:rFonts w:hint="eastAsia" w:ascii="仿宋" w:hAnsi="仿宋" w:eastAsia="仿宋" w:cs="仿宋"/>
                <w:color w:val="auto"/>
                <w:sz w:val="24"/>
                <w:szCs w:val="24"/>
                <w:lang w:val="en-US" w:eastAsia="zh-CN"/>
              </w:rPr>
              <w:t>总</w:t>
            </w:r>
            <w:r>
              <w:rPr>
                <w:rFonts w:hint="eastAsia" w:ascii="仿宋" w:hAnsi="仿宋" w:eastAsia="仿宋" w:cs="仿宋"/>
                <w:color w:val="auto"/>
                <w:sz w:val="24"/>
                <w:szCs w:val="24"/>
              </w:rPr>
              <w:t>报价</w:t>
            </w:r>
          </w:p>
        </w:tc>
        <w:tc>
          <w:tcPr>
            <w:tcW w:w="3698" w:type="pct"/>
            <w:gridSpan w:val="7"/>
            <w:noWrap w:val="0"/>
            <w:vAlign w:val="center"/>
          </w:tcPr>
          <w:p w14:paraId="5D63BDF6">
            <w:pPr>
              <w:pStyle w:val="4"/>
              <w:spacing w:line="336" w:lineRule="auto"/>
              <w:jc w:val="left"/>
              <w:rPr>
                <w:rFonts w:hint="eastAsia" w:ascii="仿宋" w:hAnsi="仿宋" w:eastAsia="仿宋" w:cs="仿宋"/>
                <w:sz w:val="24"/>
                <w:szCs w:val="24"/>
              </w:rPr>
            </w:pPr>
            <w:r>
              <w:rPr>
                <w:rFonts w:hint="eastAsia" w:ascii="仿宋" w:hAnsi="仿宋" w:eastAsia="仿宋" w:cs="仿宋"/>
                <w:sz w:val="24"/>
                <w:szCs w:val="24"/>
              </w:rPr>
              <w:t>大写：</w:t>
            </w:r>
          </w:p>
          <w:p w14:paraId="260C2DB6">
            <w:pPr>
              <w:pStyle w:val="4"/>
              <w:spacing w:line="336" w:lineRule="auto"/>
              <w:jc w:val="left"/>
              <w:rPr>
                <w:rFonts w:hint="eastAsia" w:ascii="仿宋" w:hAnsi="仿宋" w:eastAsia="仿宋" w:cs="仿宋"/>
                <w:color w:val="auto"/>
                <w:sz w:val="24"/>
                <w:szCs w:val="24"/>
              </w:rPr>
            </w:pPr>
            <w:r>
              <w:rPr>
                <w:rFonts w:hint="eastAsia" w:ascii="仿宋" w:hAnsi="仿宋" w:eastAsia="仿宋" w:cs="仿宋"/>
                <w:sz w:val="24"/>
                <w:szCs w:val="24"/>
              </w:rPr>
              <w:t>小写：</w:t>
            </w:r>
          </w:p>
        </w:tc>
      </w:tr>
    </w:tbl>
    <w:p w14:paraId="18DB6760">
      <w:pPr>
        <w:pStyle w:val="4"/>
        <w:spacing w:line="336" w:lineRule="auto"/>
        <w:ind w:firstLine="560" w:firstLineChars="200"/>
        <w:rPr>
          <w:rFonts w:hint="eastAsia" w:ascii="仿宋" w:hAnsi="仿宋" w:eastAsia="仿宋" w:cs="仿宋"/>
          <w:sz w:val="28"/>
          <w:szCs w:val="28"/>
        </w:rPr>
      </w:pPr>
    </w:p>
    <w:p w14:paraId="641F082F">
      <w:pPr>
        <w:widowControl w:val="0"/>
        <w:spacing w:line="336" w:lineRule="auto"/>
        <w:ind w:firstLine="480" w:firstLineChars="200"/>
        <w:jc w:val="both"/>
        <w:rPr>
          <w:rFonts w:hint="eastAsia" w:ascii="仿宋" w:hAnsi="仿宋" w:eastAsia="仿宋" w:cs="仿宋"/>
          <w:b/>
          <w:bCs/>
          <w:kern w:val="2"/>
          <w:sz w:val="28"/>
          <w:szCs w:val="28"/>
          <w:lang w:val="en-US" w:eastAsia="zh-CN" w:bidi="ar-SA"/>
        </w:rPr>
      </w:pPr>
      <w:r>
        <w:rPr>
          <w:rFonts w:hint="eastAsia" w:ascii="仿宋" w:hAnsi="仿宋" w:eastAsia="仿宋" w:cs="仿宋"/>
          <w:sz w:val="24"/>
          <w:szCs w:val="24"/>
        </w:rPr>
        <w:t>说明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①</w:t>
      </w:r>
      <w:r>
        <w:rPr>
          <w:rFonts w:hint="eastAsia" w:ascii="仿宋" w:hAnsi="仿宋" w:eastAsia="仿宋" w:cs="仿宋"/>
          <w:sz w:val="24"/>
          <w:szCs w:val="24"/>
          <w:lang w:eastAsia="zh-CN"/>
        </w:rPr>
        <w:t>投标报价子目出现漏项或报价数量与招标文件要求不符的，将被视为无效投标</w:t>
      </w:r>
      <w:r>
        <w:rPr>
          <w:rFonts w:hint="eastAsia" w:ascii="仿宋" w:hAnsi="仿宋" w:eastAsia="仿宋" w:cs="仿宋"/>
          <w:sz w:val="24"/>
          <w:szCs w:val="24"/>
          <w:lang w:val="en-US" w:eastAsia="zh-CN"/>
        </w:rPr>
        <w:t>。税费、运费、培训费等不单独列项，自行计入总计中。②此表所列细项货物（</w:t>
      </w:r>
      <w:r>
        <w:rPr>
          <w:rFonts w:hint="eastAsia" w:ascii="仿宋" w:hAnsi="仿宋" w:eastAsia="仿宋" w:cs="仿宋"/>
          <w:sz w:val="24"/>
          <w:szCs w:val="24"/>
          <w:lang w:val="en-US" w:eastAsia="zh-Hans"/>
        </w:rPr>
        <w:t>电力电子虚实综合开发平台</w:t>
      </w:r>
      <w:r>
        <w:rPr>
          <w:rFonts w:hint="eastAsia" w:ascii="仿宋" w:hAnsi="仿宋" w:eastAsia="仿宋" w:cs="仿宋"/>
          <w:sz w:val="24"/>
          <w:szCs w:val="24"/>
          <w:lang w:val="en-US" w:eastAsia="zh-CN"/>
        </w:rPr>
        <w:t>、</w:t>
      </w:r>
      <w:r>
        <w:rPr>
          <w:rFonts w:hint="eastAsia" w:ascii="仿宋" w:hAnsi="仿宋" w:eastAsia="仿宋" w:cs="仿宋"/>
          <w:sz w:val="24"/>
          <w:szCs w:val="24"/>
          <w:lang w:val="en-US" w:eastAsia="zh-Hans"/>
        </w:rPr>
        <w:t>无刷直流电机</w:t>
      </w:r>
      <w:r>
        <w:rPr>
          <w:rFonts w:hint="eastAsia" w:ascii="仿宋" w:hAnsi="仿宋" w:eastAsia="仿宋" w:cs="仿宋"/>
          <w:sz w:val="24"/>
          <w:szCs w:val="24"/>
          <w:lang w:val="en-US" w:eastAsia="zh-CN"/>
        </w:rPr>
        <w:t>、</w:t>
      </w:r>
      <w:r>
        <w:rPr>
          <w:rFonts w:hint="eastAsia" w:ascii="仿宋" w:hAnsi="仿宋" w:eastAsia="仿宋" w:cs="仿宋"/>
          <w:sz w:val="24"/>
          <w:szCs w:val="24"/>
          <w:lang w:val="en-US" w:eastAsia="zh-Hans"/>
        </w:rPr>
        <w:t>双馈</w:t>
      </w:r>
      <w:r>
        <w:rPr>
          <w:rFonts w:hint="eastAsia" w:ascii="仿宋" w:hAnsi="仿宋" w:eastAsia="仿宋" w:cs="仿宋"/>
          <w:sz w:val="24"/>
          <w:szCs w:val="24"/>
          <w:lang w:val="en-US" w:eastAsia="zh-CN"/>
        </w:rPr>
        <w:t>风力</w:t>
      </w:r>
      <w:r>
        <w:rPr>
          <w:rFonts w:hint="eastAsia" w:ascii="仿宋" w:hAnsi="仿宋" w:eastAsia="仿宋" w:cs="仿宋"/>
          <w:sz w:val="24"/>
          <w:szCs w:val="24"/>
          <w:lang w:val="en-US" w:eastAsia="zh-Hans"/>
        </w:rPr>
        <w:t>发电机对托机组</w:t>
      </w:r>
      <w:r>
        <w:rPr>
          <w:rFonts w:hint="eastAsia" w:ascii="仿宋" w:hAnsi="仿宋" w:eastAsia="仿宋" w:cs="仿宋"/>
          <w:sz w:val="24"/>
          <w:szCs w:val="24"/>
          <w:lang w:val="en-US" w:eastAsia="zh-CN"/>
        </w:rPr>
        <w:t>、</w:t>
      </w:r>
      <w:r>
        <w:rPr>
          <w:rFonts w:hint="eastAsia" w:ascii="仿宋" w:hAnsi="仿宋" w:eastAsia="仿宋" w:cs="仿宋"/>
          <w:sz w:val="24"/>
          <w:szCs w:val="24"/>
          <w:lang w:val="en-US" w:eastAsia="zh-Hans"/>
        </w:rPr>
        <w:t>直流调速</w:t>
      </w:r>
      <w:r>
        <w:rPr>
          <w:rFonts w:hint="eastAsia" w:ascii="仿宋" w:hAnsi="仿宋" w:eastAsia="仿宋" w:cs="仿宋"/>
          <w:sz w:val="24"/>
          <w:szCs w:val="24"/>
          <w:lang w:val="en-US" w:eastAsia="zh-CN"/>
        </w:rPr>
        <w:t>）为本项目标的物，中小企业声明函及本国产品声明函中填报的各产品名称以本表所列货物为准。超出本表所列范围的，不作为中小企业与本国产品判定依据。</w:t>
      </w:r>
    </w:p>
    <w:p w14:paraId="46AFFB47">
      <w:pPr>
        <w:pStyle w:val="4"/>
        <w:spacing w:line="336" w:lineRule="auto"/>
        <w:ind w:firstLine="480" w:firstLineChars="200"/>
        <w:rPr>
          <w:rFonts w:hint="default" w:ascii="仿宋" w:hAnsi="仿宋" w:eastAsia="仿宋" w:cs="仿宋"/>
          <w:sz w:val="24"/>
          <w:szCs w:val="24"/>
          <w:lang w:val="en-US" w:eastAsia="zh-CN"/>
        </w:rPr>
      </w:pPr>
    </w:p>
    <w:p w14:paraId="7E81868C">
      <w:pPr>
        <w:pStyle w:val="4"/>
        <w:spacing w:line="336" w:lineRule="auto"/>
        <w:rPr>
          <w:rFonts w:hint="eastAsia" w:ascii="仿宋" w:hAnsi="仿宋" w:eastAsia="仿宋" w:cs="仿宋"/>
          <w:sz w:val="28"/>
          <w:szCs w:val="28"/>
        </w:rPr>
      </w:pPr>
    </w:p>
    <w:p w14:paraId="5488CF74">
      <w:pPr>
        <w:pStyle w:val="4"/>
        <w:spacing w:line="336"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color w:val="auto"/>
          <w:sz w:val="28"/>
          <w:szCs w:val="28"/>
          <w:u w:val="single"/>
        </w:rPr>
        <w:t xml:space="preserve">                    </w:t>
      </w:r>
    </w:p>
    <w:p w14:paraId="1F1BEF31">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14126874">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3A4536"/>
    <w:rsid w:val="191C19E6"/>
    <w:rsid w:val="1CCC5FDD"/>
    <w:rsid w:val="20D33795"/>
    <w:rsid w:val="25DB1B5B"/>
    <w:rsid w:val="27A83B20"/>
    <w:rsid w:val="2A4102C1"/>
    <w:rsid w:val="30AF6F01"/>
    <w:rsid w:val="31F62FE3"/>
    <w:rsid w:val="3618100F"/>
    <w:rsid w:val="40D46DF4"/>
    <w:rsid w:val="4DF6306A"/>
    <w:rsid w:val="57575EB4"/>
    <w:rsid w:val="5A700E21"/>
    <w:rsid w:val="5AD07B27"/>
    <w:rsid w:val="5C115B50"/>
    <w:rsid w:val="60231B41"/>
    <w:rsid w:val="710E726C"/>
    <w:rsid w:val="76BD0504"/>
    <w:rsid w:val="78B72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259</Words>
  <Characters>261</Characters>
  <Lines>0</Lines>
  <Paragraphs>0</Paragraphs>
  <TotalTime>2</TotalTime>
  <ScaleCrop>false</ScaleCrop>
  <LinksUpToDate>false</LinksUpToDate>
  <CharactersWithSpaces>450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2023-12-27T11:04:00Z</dcterms:created>
  <dc:creator>admin</dc:creator>
  <cp:lastModifiedBy>puppet</cp:lastModifiedBy>
  <dcterms:modified xsi:type="dcterms:W3CDTF">2026-08-17T05:58:44Z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A5B4385404C3418B95B523F872D42494_12</vt:lpwstr>
  </property>
  <property fmtid="{D5CDD505-2E9C-101B-9397-08002B2CF9AE}" pid="4" name="KSOTemplateDocerSaveRecord">
    <vt:lpwstr>eyJoZGlkIjoiNzQ1ZjFhODQ2YTk0OWE2MWRiZGI1ZjhkYjY1YjEzNGMiLCJ1c2VySWQiOiI2NjUzNDI1ODcifQ==</vt:lpwstr>
  </property>
</Properties>
</file>