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D79B4B">
      <w:pPr>
        <w:jc w:val="center"/>
        <w:rPr>
          <w:rFonts w:hint="eastAsia"/>
          <w:sz w:val="44"/>
          <w:szCs w:val="52"/>
          <w:highlight w:val="none"/>
          <w:lang w:val="en-US" w:eastAsia="zh-CN"/>
        </w:rPr>
      </w:pPr>
      <w:r>
        <w:rPr>
          <w:rFonts w:hint="eastAsia"/>
          <w:sz w:val="44"/>
          <w:szCs w:val="52"/>
          <w:highlight w:val="none"/>
          <w:lang w:val="en-US" w:eastAsia="zh-CN"/>
        </w:rPr>
        <w:t>仅供参考，后续以采购人确定的合同文本为准</w:t>
      </w:r>
    </w:p>
    <w:p w14:paraId="065684A9">
      <w:pPr>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u w:val="single"/>
          <w:lang w:val="en-US" w:eastAsia="zh-CN"/>
        </w:rPr>
        <w:t xml:space="preserve">            </w:t>
      </w:r>
      <w:r>
        <w:rPr>
          <w:rFonts w:hint="eastAsia" w:ascii="宋体" w:hAnsi="宋体" w:eastAsia="宋体" w:cs="宋体"/>
          <w:color w:val="auto"/>
          <w:sz w:val="36"/>
          <w:szCs w:val="36"/>
          <w:highlight w:val="none"/>
        </w:rPr>
        <w:t>项目</w:t>
      </w:r>
    </w:p>
    <w:p w14:paraId="706028BE">
      <w:pPr>
        <w:pStyle w:val="7"/>
        <w:ind w:firstLine="720" w:firstLineChars="200"/>
        <w:jc w:val="center"/>
        <w:rPr>
          <w:rFonts w:hint="eastAsia" w:ascii="宋体" w:hAnsi="宋体" w:eastAsia="宋体" w:cs="宋体"/>
          <w:color w:val="auto"/>
          <w:sz w:val="36"/>
          <w:szCs w:val="36"/>
          <w:highlight w:val="none"/>
        </w:rPr>
      </w:pPr>
    </w:p>
    <w:p w14:paraId="01BF49DC">
      <w:pPr>
        <w:pStyle w:val="7"/>
        <w:ind w:firstLine="720" w:firstLineChars="200"/>
        <w:jc w:val="center"/>
        <w:rPr>
          <w:rFonts w:hint="eastAsia" w:ascii="宋体" w:hAnsi="宋体" w:eastAsia="宋体" w:cs="宋体"/>
          <w:color w:val="auto"/>
          <w:sz w:val="36"/>
          <w:szCs w:val="36"/>
          <w:highlight w:val="none"/>
        </w:rPr>
      </w:pPr>
      <w:bookmarkStart w:id="0" w:name="_GoBack"/>
      <w:bookmarkEnd w:id="0"/>
    </w:p>
    <w:p w14:paraId="3A7805AF">
      <w:pPr>
        <w:pStyle w:val="7"/>
        <w:ind w:firstLine="720" w:firstLineChars="200"/>
        <w:rPr>
          <w:rFonts w:hint="eastAsia" w:ascii="宋体" w:hAnsi="宋体" w:eastAsia="宋体" w:cs="宋体"/>
          <w:color w:val="auto"/>
          <w:sz w:val="36"/>
          <w:szCs w:val="36"/>
          <w:highlight w:val="none"/>
        </w:rPr>
      </w:pPr>
    </w:p>
    <w:p w14:paraId="5C6C1BBE">
      <w:pPr>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合　　同</w:t>
      </w:r>
    </w:p>
    <w:p w14:paraId="222A40C5">
      <w:pPr>
        <w:pStyle w:val="7"/>
        <w:ind w:firstLine="720" w:firstLineChars="200"/>
        <w:rPr>
          <w:rFonts w:hint="eastAsia" w:ascii="宋体" w:hAnsi="宋体" w:eastAsia="宋体" w:cs="宋体"/>
          <w:color w:val="auto"/>
          <w:sz w:val="36"/>
          <w:szCs w:val="36"/>
          <w:highlight w:val="none"/>
        </w:rPr>
      </w:pPr>
    </w:p>
    <w:p w14:paraId="0B2D01E2">
      <w:pPr>
        <w:pStyle w:val="7"/>
        <w:ind w:firstLine="720" w:firstLineChars="200"/>
        <w:rPr>
          <w:rFonts w:hint="eastAsia" w:ascii="宋体" w:hAnsi="宋体" w:eastAsia="宋体" w:cs="宋体"/>
          <w:color w:val="auto"/>
          <w:sz w:val="36"/>
          <w:szCs w:val="36"/>
          <w:highlight w:val="none"/>
        </w:rPr>
      </w:pPr>
    </w:p>
    <w:p w14:paraId="151796F2">
      <w:pPr>
        <w:ind w:firstLine="720" w:firstLineChars="200"/>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合同编号：</w:t>
      </w:r>
      <w:r>
        <w:rPr>
          <w:rFonts w:hint="eastAsia" w:ascii="宋体" w:hAnsi="宋体" w:eastAsia="宋体" w:cs="宋体"/>
          <w:color w:val="auto"/>
          <w:sz w:val="36"/>
          <w:szCs w:val="36"/>
          <w:highlight w:val="none"/>
          <w:u w:val="single"/>
          <w:lang w:val="en-US" w:eastAsia="zh-CN"/>
        </w:rPr>
        <w:t xml:space="preserve">            </w:t>
      </w:r>
    </w:p>
    <w:p w14:paraId="1A6E2127">
      <w:pPr>
        <w:rPr>
          <w:rFonts w:hint="eastAsia" w:ascii="宋体" w:hAnsi="宋体" w:eastAsia="宋体" w:cs="宋体"/>
          <w:color w:val="auto"/>
          <w:sz w:val="36"/>
          <w:szCs w:val="36"/>
          <w:highlight w:val="none"/>
        </w:rPr>
      </w:pPr>
    </w:p>
    <w:p w14:paraId="545D5510">
      <w:pPr>
        <w:rPr>
          <w:rFonts w:hint="eastAsia" w:ascii="宋体" w:hAnsi="宋体" w:eastAsia="宋体" w:cs="宋体"/>
          <w:color w:val="auto"/>
          <w:sz w:val="36"/>
          <w:szCs w:val="36"/>
          <w:highlight w:val="none"/>
        </w:rPr>
      </w:pPr>
    </w:p>
    <w:p w14:paraId="7442006E">
      <w:pPr>
        <w:ind w:firstLine="720" w:firstLineChars="200"/>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甲　　方：</w:t>
      </w:r>
      <w:r>
        <w:rPr>
          <w:rFonts w:hint="eastAsia" w:ascii="宋体" w:hAnsi="宋体" w:eastAsia="宋体" w:cs="宋体"/>
          <w:color w:val="auto"/>
          <w:sz w:val="36"/>
          <w:szCs w:val="36"/>
          <w:highlight w:val="none"/>
          <w:u w:val="single"/>
          <w:lang w:val="en-US" w:eastAsia="zh-CN"/>
        </w:rPr>
        <w:t xml:space="preserve">                </w:t>
      </w:r>
      <w:r>
        <w:rPr>
          <w:rFonts w:hint="eastAsia" w:ascii="宋体" w:hAnsi="宋体" w:eastAsia="宋体" w:cs="宋体"/>
          <w:color w:val="auto"/>
          <w:sz w:val="36"/>
          <w:szCs w:val="36"/>
          <w:highlight w:val="none"/>
          <w:lang w:eastAsia="zh-CN"/>
        </w:rPr>
        <w:t>（</w:t>
      </w:r>
      <w:r>
        <w:rPr>
          <w:rFonts w:hint="eastAsia" w:ascii="宋体" w:hAnsi="宋体" w:eastAsia="宋体" w:cs="宋体"/>
          <w:color w:val="auto"/>
          <w:sz w:val="36"/>
          <w:szCs w:val="36"/>
          <w:highlight w:val="none"/>
        </w:rPr>
        <w:t>采购人名称</w:t>
      </w:r>
      <w:r>
        <w:rPr>
          <w:rFonts w:hint="eastAsia" w:ascii="宋体" w:hAnsi="宋体" w:eastAsia="宋体" w:cs="宋体"/>
          <w:color w:val="auto"/>
          <w:sz w:val="36"/>
          <w:szCs w:val="36"/>
          <w:highlight w:val="none"/>
          <w:lang w:eastAsia="zh-CN"/>
        </w:rPr>
        <w:t>）</w:t>
      </w:r>
    </w:p>
    <w:p w14:paraId="6C94AC60">
      <w:pPr>
        <w:rPr>
          <w:rFonts w:hint="eastAsia" w:ascii="宋体" w:hAnsi="宋体" w:eastAsia="宋体" w:cs="宋体"/>
          <w:color w:val="auto"/>
          <w:sz w:val="36"/>
          <w:szCs w:val="36"/>
          <w:highlight w:val="none"/>
        </w:rPr>
      </w:pPr>
    </w:p>
    <w:p w14:paraId="033B501A">
      <w:pPr>
        <w:rPr>
          <w:rFonts w:hint="eastAsia" w:ascii="宋体" w:hAnsi="宋体" w:eastAsia="宋体" w:cs="宋体"/>
          <w:color w:val="auto"/>
          <w:sz w:val="36"/>
          <w:szCs w:val="36"/>
          <w:highlight w:val="none"/>
        </w:rPr>
      </w:pPr>
    </w:p>
    <w:p w14:paraId="380ABB37">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 xml:space="preserve"> </w:t>
      </w:r>
      <w:r>
        <w:rPr>
          <w:rFonts w:hint="eastAsia" w:ascii="宋体" w:hAnsi="宋体" w:eastAsia="宋体" w:cs="宋体"/>
          <w:color w:val="auto"/>
          <w:sz w:val="36"/>
          <w:szCs w:val="36"/>
          <w:highlight w:val="none"/>
          <w:lang w:val="en-US" w:eastAsia="zh-CN"/>
        </w:rPr>
        <w:t xml:space="preserve">   </w:t>
      </w:r>
      <w:r>
        <w:rPr>
          <w:rFonts w:hint="eastAsia" w:ascii="宋体" w:hAnsi="宋体" w:eastAsia="宋体" w:cs="宋体"/>
          <w:color w:val="auto"/>
          <w:sz w:val="36"/>
          <w:szCs w:val="36"/>
          <w:highlight w:val="none"/>
        </w:rPr>
        <w:t>乙　　方：</w:t>
      </w:r>
      <w:r>
        <w:rPr>
          <w:rFonts w:hint="eastAsia" w:ascii="宋体" w:hAnsi="宋体" w:eastAsia="宋体" w:cs="宋体"/>
          <w:color w:val="auto"/>
          <w:sz w:val="36"/>
          <w:szCs w:val="36"/>
          <w:highlight w:val="none"/>
          <w:u w:val="single"/>
          <w:lang w:val="en-US" w:eastAsia="zh-CN"/>
        </w:rPr>
        <w:t xml:space="preserve">                </w:t>
      </w:r>
      <w:r>
        <w:rPr>
          <w:rFonts w:hint="eastAsia" w:ascii="宋体" w:hAnsi="宋体" w:eastAsia="宋体" w:cs="宋体"/>
          <w:color w:val="auto"/>
          <w:sz w:val="36"/>
          <w:szCs w:val="36"/>
          <w:highlight w:val="none"/>
          <w:lang w:eastAsia="zh-CN"/>
        </w:rPr>
        <w:t>（</w:t>
      </w:r>
      <w:r>
        <w:rPr>
          <w:rFonts w:hint="eastAsia" w:ascii="宋体" w:hAnsi="宋体" w:eastAsia="宋体" w:cs="宋体"/>
          <w:color w:val="auto"/>
          <w:sz w:val="36"/>
          <w:szCs w:val="36"/>
          <w:highlight w:val="none"/>
        </w:rPr>
        <w:t>中标人名称</w:t>
      </w:r>
      <w:r>
        <w:rPr>
          <w:rFonts w:hint="eastAsia" w:ascii="宋体" w:hAnsi="宋体" w:eastAsia="宋体" w:cs="宋体"/>
          <w:color w:val="auto"/>
          <w:sz w:val="36"/>
          <w:szCs w:val="36"/>
          <w:highlight w:val="none"/>
          <w:lang w:eastAsia="zh-CN"/>
        </w:rPr>
        <w:t>）</w:t>
      </w:r>
    </w:p>
    <w:p w14:paraId="197221E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根据《中华人民共和国政府采购法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中华人民共和国民法典》等有关法律法规规定，____________</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采购人名称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以下简称：“甲方”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通过______采购</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采购方式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确定______</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中标人名称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以下简称：“乙方”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为______项目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的______</w:t>
      </w:r>
      <w:r>
        <w:rPr>
          <w:rFonts w:hint="eastAsia" w:ascii="宋体" w:hAnsi="宋体" w:eastAsia="宋体" w:cs="宋体"/>
          <w:color w:val="auto"/>
          <w:kern w:val="0"/>
          <w:sz w:val="24"/>
          <w:szCs w:val="24"/>
          <w:highlight w:val="none"/>
        </w:rPr>
        <w:t>投标人</w:t>
      </w:r>
      <w:r>
        <w:rPr>
          <w:rFonts w:hint="eastAsia" w:ascii="宋体" w:hAnsi="宋体" w:eastAsia="宋体" w:cs="宋体"/>
          <w:color w:val="auto"/>
          <w:sz w:val="24"/>
          <w:szCs w:val="24"/>
          <w:highlight w:val="none"/>
        </w:rPr>
        <w:t>。甲乙双方同意签署《______项目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合同编号：______，以下简称：“合同”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367F8CE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1.合同文件</w:t>
      </w:r>
    </w:p>
    <w:p w14:paraId="5AF6E90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下列文件是构成本合同不可分割的部分：</w:t>
      </w:r>
    </w:p>
    <w:p w14:paraId="6EFFE39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 xml:space="preserve"> 合同条款；</w:t>
      </w:r>
    </w:p>
    <w:p w14:paraId="3FDB1C8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 xml:space="preserve"> 中标通知书；</w:t>
      </w:r>
    </w:p>
    <w:p w14:paraId="790129E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 xml:space="preserve"> 招标文件；</w:t>
      </w:r>
    </w:p>
    <w:p w14:paraId="62922FC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 xml:space="preserve"> 投标文件；</w:t>
      </w:r>
    </w:p>
    <w:p w14:paraId="5D2D4AE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 xml:space="preserve"> 其他</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根据实际情况需要增加的内容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4ACBD95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组成合同的各项文件应互相解释，互为说明。合同文件的解释优先顺序以上述文件先后顺序为准。</w:t>
      </w:r>
    </w:p>
    <w:p w14:paraId="523E7A3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2.合同主要标的及数量</w:t>
      </w:r>
    </w:p>
    <w:p w14:paraId="26FBFF3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乙方应按照合同的规定，提供本项目《招标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采购</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文件》中有关要求的产品及服务，包括但不限于以下内容：</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656"/>
        <w:gridCol w:w="996"/>
        <w:gridCol w:w="1656"/>
        <w:gridCol w:w="996"/>
        <w:gridCol w:w="996"/>
        <w:gridCol w:w="995"/>
        <w:gridCol w:w="995"/>
      </w:tblGrid>
      <w:tr w14:paraId="76206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7502CD8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656" w:type="dxa"/>
            <w:noWrap w:val="0"/>
            <w:vAlign w:val="center"/>
          </w:tcPr>
          <w:p w14:paraId="57F46E5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996" w:type="dxa"/>
            <w:noWrap w:val="0"/>
            <w:vAlign w:val="center"/>
          </w:tcPr>
          <w:p w14:paraId="6FE9BE3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品牌</w:t>
            </w:r>
          </w:p>
        </w:tc>
        <w:tc>
          <w:tcPr>
            <w:tcW w:w="1656" w:type="dxa"/>
            <w:noWrap w:val="0"/>
            <w:vAlign w:val="center"/>
          </w:tcPr>
          <w:p w14:paraId="6186117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996" w:type="dxa"/>
            <w:noWrap w:val="0"/>
            <w:vAlign w:val="center"/>
          </w:tcPr>
          <w:p w14:paraId="7080698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w:t>
            </w:r>
          </w:p>
        </w:tc>
        <w:tc>
          <w:tcPr>
            <w:tcW w:w="996" w:type="dxa"/>
            <w:noWrap w:val="0"/>
            <w:vAlign w:val="center"/>
          </w:tcPr>
          <w:p w14:paraId="69ADFDB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95" w:type="dxa"/>
            <w:noWrap w:val="0"/>
            <w:vAlign w:val="center"/>
          </w:tcPr>
          <w:p w14:paraId="2884F1E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小计</w:t>
            </w:r>
          </w:p>
        </w:tc>
        <w:tc>
          <w:tcPr>
            <w:tcW w:w="995" w:type="dxa"/>
            <w:noWrap w:val="0"/>
            <w:vAlign w:val="center"/>
          </w:tcPr>
          <w:p w14:paraId="0B4CDDD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01F7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16FFF62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1656" w:type="dxa"/>
            <w:noWrap w:val="0"/>
            <w:vAlign w:val="center"/>
          </w:tcPr>
          <w:p w14:paraId="3F0CA7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6" w:type="dxa"/>
            <w:noWrap w:val="0"/>
            <w:vAlign w:val="center"/>
          </w:tcPr>
          <w:p w14:paraId="5CC1939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1656" w:type="dxa"/>
            <w:noWrap w:val="0"/>
            <w:vAlign w:val="center"/>
          </w:tcPr>
          <w:p w14:paraId="1025E6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6" w:type="dxa"/>
            <w:noWrap w:val="0"/>
            <w:vAlign w:val="center"/>
          </w:tcPr>
          <w:p w14:paraId="3880A9A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6" w:type="dxa"/>
            <w:noWrap w:val="0"/>
            <w:vAlign w:val="center"/>
          </w:tcPr>
          <w:p w14:paraId="30AFA1D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5" w:type="dxa"/>
            <w:noWrap w:val="0"/>
            <w:vAlign w:val="center"/>
          </w:tcPr>
          <w:p w14:paraId="1A66461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5" w:type="dxa"/>
            <w:noWrap w:val="0"/>
            <w:vAlign w:val="center"/>
          </w:tcPr>
          <w:p w14:paraId="6A679A2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r>
      <w:tr w14:paraId="2F7F5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4D189D3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1656" w:type="dxa"/>
            <w:noWrap w:val="0"/>
            <w:vAlign w:val="center"/>
          </w:tcPr>
          <w:p w14:paraId="7C81E5D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6" w:type="dxa"/>
            <w:noWrap w:val="0"/>
            <w:vAlign w:val="center"/>
          </w:tcPr>
          <w:p w14:paraId="1F8B8F8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1656" w:type="dxa"/>
            <w:noWrap w:val="0"/>
            <w:vAlign w:val="center"/>
          </w:tcPr>
          <w:p w14:paraId="0235C9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6" w:type="dxa"/>
            <w:noWrap w:val="0"/>
            <w:vAlign w:val="center"/>
          </w:tcPr>
          <w:p w14:paraId="7F0AC59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6" w:type="dxa"/>
            <w:noWrap w:val="0"/>
            <w:vAlign w:val="center"/>
          </w:tcPr>
          <w:p w14:paraId="3E4636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5" w:type="dxa"/>
            <w:noWrap w:val="0"/>
            <w:vAlign w:val="center"/>
          </w:tcPr>
          <w:p w14:paraId="36BBF4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5" w:type="dxa"/>
            <w:noWrap w:val="0"/>
            <w:vAlign w:val="center"/>
          </w:tcPr>
          <w:p w14:paraId="08FA6AC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r>
      <w:tr w14:paraId="7EC5F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48993C0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1656" w:type="dxa"/>
            <w:noWrap w:val="0"/>
            <w:vAlign w:val="center"/>
          </w:tcPr>
          <w:p w14:paraId="61A804A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6" w:type="dxa"/>
            <w:noWrap w:val="0"/>
            <w:vAlign w:val="center"/>
          </w:tcPr>
          <w:p w14:paraId="4F27390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1656" w:type="dxa"/>
            <w:noWrap w:val="0"/>
            <w:vAlign w:val="center"/>
          </w:tcPr>
          <w:p w14:paraId="3209462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6" w:type="dxa"/>
            <w:noWrap w:val="0"/>
            <w:vAlign w:val="center"/>
          </w:tcPr>
          <w:p w14:paraId="7E57F69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6" w:type="dxa"/>
            <w:noWrap w:val="0"/>
            <w:vAlign w:val="center"/>
          </w:tcPr>
          <w:p w14:paraId="0F758D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5" w:type="dxa"/>
            <w:noWrap w:val="0"/>
            <w:vAlign w:val="center"/>
          </w:tcPr>
          <w:p w14:paraId="43C791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5" w:type="dxa"/>
            <w:noWrap w:val="0"/>
            <w:vAlign w:val="center"/>
          </w:tcPr>
          <w:p w14:paraId="073B31D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r>
      <w:tr w14:paraId="5B876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62D6200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1656" w:type="dxa"/>
            <w:noWrap w:val="0"/>
            <w:vAlign w:val="center"/>
          </w:tcPr>
          <w:p w14:paraId="7AA8EE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6" w:type="dxa"/>
            <w:noWrap w:val="0"/>
            <w:vAlign w:val="center"/>
          </w:tcPr>
          <w:p w14:paraId="3FB842A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1656" w:type="dxa"/>
            <w:noWrap w:val="0"/>
            <w:vAlign w:val="center"/>
          </w:tcPr>
          <w:p w14:paraId="6BB77BA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6" w:type="dxa"/>
            <w:noWrap w:val="0"/>
            <w:vAlign w:val="center"/>
          </w:tcPr>
          <w:p w14:paraId="137AD0A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6" w:type="dxa"/>
            <w:noWrap w:val="0"/>
            <w:vAlign w:val="center"/>
          </w:tcPr>
          <w:p w14:paraId="0778886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5" w:type="dxa"/>
            <w:noWrap w:val="0"/>
            <w:vAlign w:val="center"/>
          </w:tcPr>
          <w:p w14:paraId="068726C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5" w:type="dxa"/>
            <w:noWrap w:val="0"/>
            <w:vAlign w:val="center"/>
          </w:tcPr>
          <w:p w14:paraId="0F7F6BA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r>
      <w:tr w14:paraId="0C9A7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02E6DC6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1656" w:type="dxa"/>
            <w:noWrap w:val="0"/>
            <w:vAlign w:val="center"/>
          </w:tcPr>
          <w:p w14:paraId="4BB4E5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6" w:type="dxa"/>
            <w:noWrap w:val="0"/>
            <w:vAlign w:val="center"/>
          </w:tcPr>
          <w:p w14:paraId="6F1DD13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1656" w:type="dxa"/>
            <w:noWrap w:val="0"/>
            <w:vAlign w:val="center"/>
          </w:tcPr>
          <w:p w14:paraId="22FF126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6" w:type="dxa"/>
            <w:noWrap w:val="0"/>
            <w:vAlign w:val="center"/>
          </w:tcPr>
          <w:p w14:paraId="19271CD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6" w:type="dxa"/>
            <w:noWrap w:val="0"/>
            <w:vAlign w:val="center"/>
          </w:tcPr>
          <w:p w14:paraId="66B803A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5" w:type="dxa"/>
            <w:noWrap w:val="0"/>
            <w:vAlign w:val="center"/>
          </w:tcPr>
          <w:p w14:paraId="337738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5" w:type="dxa"/>
            <w:noWrap w:val="0"/>
            <w:vAlign w:val="center"/>
          </w:tcPr>
          <w:p w14:paraId="043C853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r>
      <w:tr w14:paraId="5A14D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5C6EB82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1656" w:type="dxa"/>
            <w:noWrap w:val="0"/>
            <w:vAlign w:val="center"/>
          </w:tcPr>
          <w:p w14:paraId="4B6CDF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6" w:type="dxa"/>
            <w:noWrap w:val="0"/>
            <w:vAlign w:val="center"/>
          </w:tcPr>
          <w:p w14:paraId="54D8A72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1656" w:type="dxa"/>
            <w:noWrap w:val="0"/>
            <w:vAlign w:val="center"/>
          </w:tcPr>
          <w:p w14:paraId="10FBA54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6" w:type="dxa"/>
            <w:noWrap w:val="0"/>
            <w:vAlign w:val="center"/>
          </w:tcPr>
          <w:p w14:paraId="5284119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6" w:type="dxa"/>
            <w:noWrap w:val="0"/>
            <w:vAlign w:val="center"/>
          </w:tcPr>
          <w:p w14:paraId="37C80D9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5" w:type="dxa"/>
            <w:noWrap w:val="0"/>
            <w:vAlign w:val="center"/>
          </w:tcPr>
          <w:p w14:paraId="1280CC5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995" w:type="dxa"/>
            <w:noWrap w:val="0"/>
            <w:vAlign w:val="center"/>
          </w:tcPr>
          <w:p w14:paraId="64B04BE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r>
      <w:tr w14:paraId="295F8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4" w:type="dxa"/>
            <w:gridSpan w:val="4"/>
            <w:noWrap w:val="0"/>
            <w:vAlign w:val="center"/>
          </w:tcPr>
          <w:p w14:paraId="60C3E78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w:t>
            </w:r>
          </w:p>
        </w:tc>
        <w:tc>
          <w:tcPr>
            <w:tcW w:w="996" w:type="dxa"/>
            <w:noWrap w:val="0"/>
            <w:vAlign w:val="center"/>
          </w:tcPr>
          <w:p w14:paraId="64A291D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4"/>
                <w:szCs w:val="24"/>
                <w:highlight w:val="none"/>
              </w:rPr>
            </w:pPr>
          </w:p>
        </w:tc>
        <w:tc>
          <w:tcPr>
            <w:tcW w:w="996" w:type="dxa"/>
            <w:noWrap w:val="0"/>
            <w:vAlign w:val="center"/>
          </w:tcPr>
          <w:p w14:paraId="6916E38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4"/>
                <w:szCs w:val="24"/>
                <w:highlight w:val="none"/>
              </w:rPr>
            </w:pPr>
          </w:p>
        </w:tc>
        <w:tc>
          <w:tcPr>
            <w:tcW w:w="995" w:type="dxa"/>
            <w:noWrap w:val="0"/>
            <w:vAlign w:val="center"/>
          </w:tcPr>
          <w:p w14:paraId="27A00BA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4"/>
                <w:szCs w:val="24"/>
                <w:highlight w:val="none"/>
              </w:rPr>
            </w:pPr>
          </w:p>
        </w:tc>
        <w:tc>
          <w:tcPr>
            <w:tcW w:w="995" w:type="dxa"/>
            <w:noWrap w:val="0"/>
            <w:vAlign w:val="center"/>
          </w:tcPr>
          <w:p w14:paraId="2498B5C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4"/>
                <w:szCs w:val="24"/>
                <w:highlight w:val="none"/>
              </w:rPr>
            </w:pPr>
          </w:p>
        </w:tc>
      </w:tr>
    </w:tbl>
    <w:p w14:paraId="24A4D56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3.合同总金额及付款方式</w:t>
      </w:r>
    </w:p>
    <w:p w14:paraId="7F15964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3.1合同总金额</w:t>
      </w:r>
    </w:p>
    <w:p w14:paraId="1B567A7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本合同总金额为人民币______元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¥______</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。本项目包括但不限于税费、运输、保险、安装、调试、技术支持、质量保障、售后服务、培训和合同中规定乙方应承担的其他义务的费用已由乙方计入本合同总金额中。</w:t>
      </w:r>
    </w:p>
    <w:p w14:paraId="61779DE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3.2付款方式</w:t>
      </w:r>
    </w:p>
    <w:p w14:paraId="0A406BC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3.3履约保证金</w:t>
      </w:r>
    </w:p>
    <w:p w14:paraId="6F65AD5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4.合同签订地：______</w:t>
      </w:r>
    </w:p>
    <w:p w14:paraId="76DEC78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5.合同生效</w:t>
      </w:r>
    </w:p>
    <w:p w14:paraId="4197579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本合同一式肆份，甲方执贰份、乙方执壹份、采购代理机构（见证方）执壹份。在甲、乙及见证方签字盖章，</w:t>
      </w:r>
      <w:r>
        <w:rPr>
          <w:rFonts w:hint="eastAsia" w:ascii="宋体" w:hAnsi="宋体" w:eastAsia="宋体" w:cs="宋体"/>
          <w:color w:val="auto"/>
          <w:sz w:val="24"/>
          <w:szCs w:val="24"/>
          <w:highlight w:val="none"/>
          <w:lang w:eastAsia="zh-CN"/>
        </w:rPr>
        <w:t>并在</w:t>
      </w:r>
      <w:r>
        <w:rPr>
          <w:rFonts w:hint="eastAsia" w:ascii="宋体" w:hAnsi="宋体" w:eastAsia="宋体" w:cs="宋体"/>
          <w:color w:val="auto"/>
          <w:sz w:val="24"/>
          <w:szCs w:val="24"/>
          <w:highlight w:val="none"/>
        </w:rPr>
        <w:t>甲方收到乙方提交的履约保证金后生效。</w:t>
      </w:r>
    </w:p>
    <w:p w14:paraId="01AA0C5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6.其他约定：见证方只见证合同金额。</w:t>
      </w:r>
    </w:p>
    <w:p w14:paraId="087032E6">
      <w:pPr>
        <w:spacing w:line="336"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tbl>
      <w:tblPr>
        <w:tblStyle w:val="10"/>
        <w:tblW w:w="0" w:type="auto"/>
        <w:tblInd w:w="93" w:type="dxa"/>
        <w:tblLayout w:type="fixed"/>
        <w:tblCellMar>
          <w:top w:w="0" w:type="dxa"/>
          <w:left w:w="108" w:type="dxa"/>
          <w:bottom w:w="0" w:type="dxa"/>
          <w:right w:w="108" w:type="dxa"/>
        </w:tblCellMar>
      </w:tblPr>
      <w:tblGrid>
        <w:gridCol w:w="4551"/>
        <w:gridCol w:w="4253"/>
      </w:tblGrid>
      <w:tr w14:paraId="45638DAB">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34D7B494">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  方</w:t>
            </w:r>
          </w:p>
        </w:tc>
        <w:tc>
          <w:tcPr>
            <w:tcW w:w="4253" w:type="dxa"/>
            <w:tcBorders>
              <w:top w:val="single" w:color="auto" w:sz="8" w:space="0"/>
              <w:left w:val="nil"/>
              <w:bottom w:val="single" w:color="auto" w:sz="8" w:space="0"/>
              <w:right w:val="single" w:color="auto" w:sz="8" w:space="0"/>
            </w:tcBorders>
            <w:noWrap w:val="0"/>
            <w:vAlign w:val="center"/>
          </w:tcPr>
          <w:p w14:paraId="50C27760">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乙  方</w:t>
            </w:r>
          </w:p>
        </w:tc>
      </w:tr>
      <w:tr w14:paraId="79D470CF">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7397C692">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（盖章）</w:t>
            </w:r>
          </w:p>
        </w:tc>
        <w:tc>
          <w:tcPr>
            <w:tcW w:w="4253" w:type="dxa"/>
            <w:tcBorders>
              <w:top w:val="nil"/>
              <w:left w:val="nil"/>
              <w:bottom w:val="nil"/>
              <w:right w:val="single" w:color="auto" w:sz="8" w:space="0"/>
            </w:tcBorders>
            <w:noWrap w:val="0"/>
            <w:vAlign w:val="center"/>
          </w:tcPr>
          <w:p w14:paraId="0566DD48">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（盖章）</w:t>
            </w:r>
          </w:p>
        </w:tc>
      </w:tr>
      <w:tr w14:paraId="6ADA91EB">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76B28B66">
            <w:pPr>
              <w:rPr>
                <w:rFonts w:hint="eastAsia" w:ascii="宋体" w:hAnsi="宋体" w:eastAsia="宋体" w:cs="宋体"/>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3CCE2A6A">
            <w:pPr>
              <w:rPr>
                <w:rFonts w:hint="eastAsia" w:ascii="宋体" w:hAnsi="宋体" w:eastAsia="宋体" w:cs="宋体"/>
                <w:color w:val="auto"/>
                <w:kern w:val="0"/>
                <w:sz w:val="24"/>
                <w:szCs w:val="24"/>
                <w:highlight w:val="none"/>
              </w:rPr>
            </w:pPr>
          </w:p>
        </w:tc>
      </w:tr>
      <w:tr w14:paraId="0ACB00E4">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32EB13E3">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w:t>
            </w:r>
          </w:p>
        </w:tc>
        <w:tc>
          <w:tcPr>
            <w:tcW w:w="4253" w:type="dxa"/>
            <w:tcBorders>
              <w:top w:val="nil"/>
              <w:left w:val="nil"/>
              <w:bottom w:val="single" w:color="auto" w:sz="8" w:space="0"/>
              <w:right w:val="single" w:color="auto" w:sz="8" w:space="0"/>
            </w:tcBorders>
            <w:noWrap w:val="0"/>
            <w:vAlign w:val="center"/>
          </w:tcPr>
          <w:p w14:paraId="3B040877">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w:t>
            </w:r>
          </w:p>
        </w:tc>
      </w:tr>
      <w:tr w14:paraId="5BAC4C2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6E8719BE">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邮编：</w:t>
            </w:r>
          </w:p>
        </w:tc>
        <w:tc>
          <w:tcPr>
            <w:tcW w:w="4253" w:type="dxa"/>
            <w:tcBorders>
              <w:top w:val="nil"/>
              <w:left w:val="nil"/>
              <w:bottom w:val="single" w:color="auto" w:sz="8" w:space="0"/>
              <w:right w:val="single" w:color="auto" w:sz="8" w:space="0"/>
            </w:tcBorders>
            <w:noWrap w:val="0"/>
            <w:vAlign w:val="center"/>
          </w:tcPr>
          <w:p w14:paraId="2C1EB6CD">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邮编：</w:t>
            </w:r>
          </w:p>
        </w:tc>
      </w:tr>
      <w:tr w14:paraId="6583212F">
        <w:tblPrEx>
          <w:tblCellMar>
            <w:top w:w="0" w:type="dxa"/>
            <w:left w:w="108" w:type="dxa"/>
            <w:bottom w:w="0" w:type="dxa"/>
            <w:right w:w="108" w:type="dxa"/>
          </w:tblCellMar>
        </w:tblPrEx>
        <w:trPr>
          <w:trHeight w:val="576" w:hRule="atLeast"/>
        </w:trPr>
        <w:tc>
          <w:tcPr>
            <w:tcW w:w="4551" w:type="dxa"/>
            <w:tcBorders>
              <w:top w:val="nil"/>
              <w:left w:val="single" w:color="auto" w:sz="8" w:space="0"/>
              <w:bottom w:val="single" w:color="000000" w:sz="8" w:space="0"/>
              <w:right w:val="single" w:color="auto" w:sz="8" w:space="0"/>
            </w:tcBorders>
            <w:noWrap w:val="0"/>
            <w:vAlign w:val="center"/>
          </w:tcPr>
          <w:p w14:paraId="63FEE9E7">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w:t>
            </w:r>
          </w:p>
        </w:tc>
        <w:tc>
          <w:tcPr>
            <w:tcW w:w="4253" w:type="dxa"/>
            <w:tcBorders>
              <w:top w:val="nil"/>
              <w:left w:val="nil"/>
              <w:bottom w:val="single" w:color="auto" w:sz="8" w:space="0"/>
              <w:right w:val="single" w:color="auto" w:sz="8" w:space="0"/>
            </w:tcBorders>
            <w:noWrap w:val="0"/>
            <w:vAlign w:val="center"/>
          </w:tcPr>
          <w:p w14:paraId="0FCE5A03">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w:t>
            </w:r>
          </w:p>
        </w:tc>
      </w:tr>
      <w:tr w14:paraId="13D5A7EE">
        <w:tblPrEx>
          <w:tblCellMar>
            <w:top w:w="0" w:type="dxa"/>
            <w:left w:w="108" w:type="dxa"/>
            <w:bottom w:w="0" w:type="dxa"/>
            <w:right w:w="108" w:type="dxa"/>
          </w:tblCellMar>
        </w:tblPrEx>
        <w:trPr>
          <w:trHeight w:val="502" w:hRule="atLeast"/>
        </w:trPr>
        <w:tc>
          <w:tcPr>
            <w:tcW w:w="4551" w:type="dxa"/>
            <w:tcBorders>
              <w:top w:val="nil"/>
              <w:left w:val="single" w:color="auto" w:sz="8" w:space="0"/>
              <w:bottom w:val="single" w:color="000000" w:sz="8" w:space="0"/>
              <w:right w:val="single" w:color="auto" w:sz="8" w:space="0"/>
            </w:tcBorders>
            <w:noWrap w:val="0"/>
            <w:vAlign w:val="center"/>
          </w:tcPr>
          <w:p w14:paraId="39F64CBA">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被授权代表：（签字）</w:t>
            </w:r>
          </w:p>
        </w:tc>
        <w:tc>
          <w:tcPr>
            <w:tcW w:w="4253" w:type="dxa"/>
            <w:tcBorders>
              <w:top w:val="nil"/>
              <w:left w:val="nil"/>
              <w:bottom w:val="single" w:color="auto" w:sz="8" w:space="0"/>
              <w:right w:val="single" w:color="auto" w:sz="8" w:space="0"/>
            </w:tcBorders>
            <w:noWrap w:val="0"/>
            <w:vAlign w:val="center"/>
          </w:tcPr>
          <w:p w14:paraId="54F725AA">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被授权代表：（签字）</w:t>
            </w:r>
          </w:p>
        </w:tc>
      </w:tr>
      <w:tr w14:paraId="7221B6C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3B90FE1A">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tc>
        <w:tc>
          <w:tcPr>
            <w:tcW w:w="4253" w:type="dxa"/>
            <w:tcBorders>
              <w:top w:val="nil"/>
              <w:left w:val="nil"/>
              <w:bottom w:val="single" w:color="auto" w:sz="8" w:space="0"/>
              <w:right w:val="single" w:color="auto" w:sz="8" w:space="0"/>
            </w:tcBorders>
            <w:noWrap w:val="0"/>
            <w:vAlign w:val="center"/>
          </w:tcPr>
          <w:p w14:paraId="12ACC6F6">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tc>
      </w:tr>
      <w:tr w14:paraId="7F4120C0">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79D8731D">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传真：</w:t>
            </w:r>
          </w:p>
        </w:tc>
        <w:tc>
          <w:tcPr>
            <w:tcW w:w="4253" w:type="dxa"/>
            <w:tcBorders>
              <w:top w:val="nil"/>
              <w:left w:val="nil"/>
              <w:bottom w:val="single" w:color="auto" w:sz="8" w:space="0"/>
              <w:right w:val="single" w:color="auto" w:sz="8" w:space="0"/>
            </w:tcBorders>
            <w:noWrap w:val="0"/>
            <w:vAlign w:val="center"/>
          </w:tcPr>
          <w:p w14:paraId="293532AB">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传真：</w:t>
            </w:r>
          </w:p>
        </w:tc>
      </w:tr>
      <w:tr w14:paraId="45285161">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AEB493A">
            <w:pPr>
              <w:rPr>
                <w:rFonts w:hint="eastAsia" w:ascii="宋体" w:hAnsi="宋体" w:eastAsia="宋体" w:cs="宋体"/>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3C4930A6">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w:t>
            </w:r>
          </w:p>
        </w:tc>
      </w:tr>
      <w:tr w14:paraId="2A09886F">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3298889">
            <w:pPr>
              <w:rPr>
                <w:rFonts w:hint="eastAsia" w:ascii="宋体" w:hAnsi="宋体" w:eastAsia="宋体" w:cs="宋体"/>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22BA2AC0">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账号</w:t>
            </w:r>
            <w:r>
              <w:rPr>
                <w:rFonts w:hint="eastAsia" w:ascii="宋体" w:hAnsi="宋体" w:eastAsia="宋体" w:cs="宋体"/>
                <w:color w:val="auto"/>
                <w:kern w:val="0"/>
                <w:sz w:val="24"/>
                <w:szCs w:val="24"/>
                <w:highlight w:val="none"/>
                <w:lang w:eastAsia="zh-CN"/>
              </w:rPr>
              <w:t>：</w:t>
            </w:r>
          </w:p>
        </w:tc>
      </w:tr>
      <w:tr w14:paraId="0915383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3440BF05">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     年   月   日</w:t>
            </w:r>
          </w:p>
        </w:tc>
        <w:tc>
          <w:tcPr>
            <w:tcW w:w="4253" w:type="dxa"/>
            <w:tcBorders>
              <w:top w:val="nil"/>
              <w:left w:val="nil"/>
              <w:bottom w:val="single" w:color="auto" w:sz="8" w:space="0"/>
              <w:right w:val="single" w:color="auto" w:sz="8" w:space="0"/>
            </w:tcBorders>
            <w:noWrap w:val="0"/>
            <w:vAlign w:val="center"/>
          </w:tcPr>
          <w:p w14:paraId="4A68DD0B">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     年   月   日</w:t>
            </w:r>
          </w:p>
        </w:tc>
      </w:tr>
      <w:tr w14:paraId="3183CBBB">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14:paraId="6838807F">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见证方</w:t>
            </w:r>
          </w:p>
        </w:tc>
        <w:tc>
          <w:tcPr>
            <w:tcW w:w="4253" w:type="dxa"/>
            <w:tcBorders>
              <w:top w:val="nil"/>
              <w:left w:val="nil"/>
              <w:bottom w:val="nil"/>
              <w:right w:val="nil"/>
            </w:tcBorders>
            <w:noWrap w:val="0"/>
            <w:vAlign w:val="center"/>
          </w:tcPr>
          <w:p w14:paraId="6B73747D">
            <w:pPr>
              <w:rPr>
                <w:rFonts w:hint="eastAsia" w:ascii="宋体" w:hAnsi="宋体" w:eastAsia="宋体" w:cs="宋体"/>
                <w:color w:val="auto"/>
                <w:kern w:val="0"/>
                <w:sz w:val="24"/>
                <w:szCs w:val="24"/>
                <w:highlight w:val="none"/>
              </w:rPr>
            </w:pPr>
          </w:p>
        </w:tc>
      </w:tr>
      <w:tr w14:paraId="6DE35161">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3A270EA3">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（盖章）</w:t>
            </w:r>
          </w:p>
        </w:tc>
        <w:tc>
          <w:tcPr>
            <w:tcW w:w="4253" w:type="dxa"/>
            <w:tcBorders>
              <w:top w:val="nil"/>
              <w:left w:val="nil"/>
              <w:bottom w:val="nil"/>
              <w:right w:val="nil"/>
            </w:tcBorders>
            <w:noWrap w:val="0"/>
            <w:vAlign w:val="center"/>
          </w:tcPr>
          <w:p w14:paraId="49E5131E">
            <w:pPr>
              <w:rPr>
                <w:rFonts w:hint="eastAsia" w:ascii="宋体" w:hAnsi="宋体" w:eastAsia="宋体" w:cs="宋体"/>
                <w:color w:val="auto"/>
                <w:kern w:val="0"/>
                <w:sz w:val="24"/>
                <w:szCs w:val="24"/>
                <w:highlight w:val="none"/>
              </w:rPr>
            </w:pPr>
          </w:p>
        </w:tc>
      </w:tr>
      <w:tr w14:paraId="66B811CA">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6FE0D011">
            <w:pPr>
              <w:rPr>
                <w:rFonts w:hint="eastAsia" w:ascii="宋体" w:hAnsi="宋体" w:eastAsia="宋体" w:cs="宋体"/>
                <w:color w:val="auto"/>
                <w:kern w:val="0"/>
                <w:sz w:val="24"/>
                <w:szCs w:val="24"/>
                <w:highlight w:val="none"/>
              </w:rPr>
            </w:pPr>
          </w:p>
        </w:tc>
        <w:tc>
          <w:tcPr>
            <w:tcW w:w="4253" w:type="dxa"/>
            <w:tcBorders>
              <w:top w:val="nil"/>
              <w:left w:val="nil"/>
              <w:bottom w:val="nil"/>
              <w:right w:val="nil"/>
            </w:tcBorders>
            <w:noWrap w:val="0"/>
            <w:vAlign w:val="center"/>
          </w:tcPr>
          <w:p w14:paraId="55DF2737">
            <w:pPr>
              <w:rPr>
                <w:rFonts w:hint="eastAsia" w:ascii="宋体" w:hAnsi="宋体" w:eastAsia="宋体" w:cs="宋体"/>
                <w:color w:val="auto"/>
                <w:kern w:val="0"/>
                <w:sz w:val="24"/>
                <w:szCs w:val="24"/>
                <w:highlight w:val="none"/>
              </w:rPr>
            </w:pPr>
          </w:p>
        </w:tc>
      </w:tr>
      <w:tr w14:paraId="669072D8">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01A17E09">
            <w:pPr>
              <w:rPr>
                <w:rFonts w:hint="eastAsia" w:ascii="宋体" w:hAnsi="宋体" w:eastAsia="宋体" w:cs="宋体"/>
                <w:color w:val="auto"/>
                <w:kern w:val="0"/>
                <w:sz w:val="24"/>
                <w:szCs w:val="24"/>
                <w:highlight w:val="none"/>
              </w:rPr>
            </w:pPr>
          </w:p>
        </w:tc>
        <w:tc>
          <w:tcPr>
            <w:tcW w:w="4253" w:type="dxa"/>
            <w:tcBorders>
              <w:top w:val="nil"/>
              <w:left w:val="nil"/>
              <w:bottom w:val="nil"/>
              <w:right w:val="nil"/>
            </w:tcBorders>
            <w:noWrap w:val="0"/>
            <w:vAlign w:val="center"/>
          </w:tcPr>
          <w:p w14:paraId="2D9F74C4">
            <w:pPr>
              <w:rPr>
                <w:rFonts w:hint="eastAsia" w:ascii="宋体" w:hAnsi="宋体" w:eastAsia="宋体" w:cs="宋体"/>
                <w:color w:val="auto"/>
                <w:kern w:val="0"/>
                <w:sz w:val="24"/>
                <w:szCs w:val="24"/>
                <w:highlight w:val="none"/>
              </w:rPr>
            </w:pPr>
          </w:p>
        </w:tc>
      </w:tr>
      <w:tr w14:paraId="2B41F633">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00A7D8D6">
            <w:pPr>
              <w:rPr>
                <w:rFonts w:hint="eastAsia" w:ascii="宋体" w:hAnsi="宋体" w:eastAsia="宋体" w:cs="宋体"/>
                <w:color w:val="auto"/>
                <w:kern w:val="0"/>
                <w:sz w:val="24"/>
                <w:szCs w:val="24"/>
                <w:highlight w:val="none"/>
              </w:rPr>
            </w:pPr>
          </w:p>
        </w:tc>
        <w:tc>
          <w:tcPr>
            <w:tcW w:w="4253" w:type="dxa"/>
            <w:tcBorders>
              <w:top w:val="nil"/>
              <w:left w:val="nil"/>
              <w:bottom w:val="nil"/>
              <w:right w:val="nil"/>
            </w:tcBorders>
            <w:noWrap w:val="0"/>
            <w:vAlign w:val="center"/>
          </w:tcPr>
          <w:p w14:paraId="035BD05C">
            <w:pPr>
              <w:rPr>
                <w:rFonts w:hint="eastAsia" w:ascii="宋体" w:hAnsi="宋体" w:eastAsia="宋体" w:cs="宋体"/>
                <w:color w:val="auto"/>
                <w:kern w:val="0"/>
                <w:sz w:val="24"/>
                <w:szCs w:val="24"/>
                <w:highlight w:val="none"/>
              </w:rPr>
            </w:pPr>
          </w:p>
        </w:tc>
      </w:tr>
      <w:tr w14:paraId="7E663603">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14:paraId="461848BD">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     年   月   日</w:t>
            </w:r>
          </w:p>
        </w:tc>
        <w:tc>
          <w:tcPr>
            <w:tcW w:w="4253" w:type="dxa"/>
            <w:tcBorders>
              <w:top w:val="nil"/>
              <w:left w:val="nil"/>
              <w:bottom w:val="nil"/>
              <w:right w:val="nil"/>
            </w:tcBorders>
            <w:noWrap w:val="0"/>
            <w:vAlign w:val="center"/>
          </w:tcPr>
          <w:p w14:paraId="6D64E22D">
            <w:pPr>
              <w:rPr>
                <w:rFonts w:hint="eastAsia" w:ascii="宋体" w:hAnsi="宋体" w:eastAsia="宋体" w:cs="宋体"/>
                <w:color w:val="auto"/>
                <w:kern w:val="0"/>
                <w:sz w:val="24"/>
                <w:szCs w:val="24"/>
                <w:highlight w:val="none"/>
              </w:rPr>
            </w:pPr>
          </w:p>
        </w:tc>
      </w:tr>
    </w:tbl>
    <w:p w14:paraId="0BD475C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p w14:paraId="512E3CF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一、合同条款</w:t>
      </w:r>
    </w:p>
    <w:p w14:paraId="5DD8C98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合同条款前附表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58ABC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B00942A">
            <w:pPr>
              <w:pStyle w:val="7"/>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8558" w:type="dxa"/>
            <w:noWrap w:val="0"/>
            <w:vAlign w:val="center"/>
          </w:tcPr>
          <w:p w14:paraId="0BD073F8">
            <w:pPr>
              <w:pStyle w:val="7"/>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内容</w:t>
            </w:r>
          </w:p>
        </w:tc>
      </w:tr>
      <w:tr w14:paraId="5FB12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046ED671">
            <w:pPr>
              <w:pStyle w:val="7"/>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8558" w:type="dxa"/>
            <w:noWrap w:val="0"/>
            <w:vAlign w:val="center"/>
          </w:tcPr>
          <w:p w14:paraId="6FE285A3">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合同名称：</w:t>
            </w:r>
          </w:p>
          <w:p w14:paraId="42F5A9BA">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合同编号：</w:t>
            </w:r>
          </w:p>
        </w:tc>
      </w:tr>
      <w:tr w14:paraId="41E5D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7AEAE9D5">
            <w:pPr>
              <w:pStyle w:val="7"/>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8558" w:type="dxa"/>
            <w:noWrap w:val="0"/>
            <w:vAlign w:val="center"/>
          </w:tcPr>
          <w:p w14:paraId="5DC61DA8">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甲方名称：</w:t>
            </w:r>
          </w:p>
        </w:tc>
      </w:tr>
      <w:tr w14:paraId="3D5C4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2E01A876">
            <w:pPr>
              <w:pStyle w:val="7"/>
              <w:jc w:val="center"/>
              <w:rPr>
                <w:rFonts w:hint="eastAsia" w:ascii="宋体" w:hAnsi="宋体" w:eastAsia="宋体" w:cs="宋体"/>
                <w:color w:val="auto"/>
                <w:sz w:val="24"/>
                <w:szCs w:val="24"/>
                <w:highlight w:val="none"/>
              </w:rPr>
            </w:pPr>
          </w:p>
        </w:tc>
        <w:tc>
          <w:tcPr>
            <w:tcW w:w="8558" w:type="dxa"/>
            <w:noWrap w:val="0"/>
            <w:vAlign w:val="center"/>
          </w:tcPr>
          <w:p w14:paraId="64784CC9">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甲方地址：</w:t>
            </w:r>
          </w:p>
        </w:tc>
      </w:tr>
      <w:tr w14:paraId="282D3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263E2A8E">
            <w:pPr>
              <w:pStyle w:val="7"/>
              <w:jc w:val="center"/>
              <w:rPr>
                <w:rFonts w:hint="eastAsia" w:ascii="宋体" w:hAnsi="宋体" w:eastAsia="宋体" w:cs="宋体"/>
                <w:color w:val="auto"/>
                <w:sz w:val="24"/>
                <w:szCs w:val="24"/>
                <w:highlight w:val="none"/>
              </w:rPr>
            </w:pPr>
          </w:p>
        </w:tc>
        <w:tc>
          <w:tcPr>
            <w:tcW w:w="8558" w:type="dxa"/>
            <w:noWrap w:val="0"/>
            <w:vAlign w:val="center"/>
          </w:tcPr>
          <w:p w14:paraId="07AABB21">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甲方联系人：　　　　电话：</w:t>
            </w:r>
          </w:p>
        </w:tc>
      </w:tr>
      <w:tr w14:paraId="5BE80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7AA767E9">
            <w:pPr>
              <w:pStyle w:val="7"/>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8558" w:type="dxa"/>
            <w:noWrap w:val="0"/>
            <w:vAlign w:val="center"/>
          </w:tcPr>
          <w:p w14:paraId="70BB0297">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乙方名称：</w:t>
            </w:r>
          </w:p>
        </w:tc>
      </w:tr>
      <w:tr w14:paraId="45DF2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32974FC4">
            <w:pPr>
              <w:pStyle w:val="7"/>
              <w:jc w:val="center"/>
              <w:rPr>
                <w:rFonts w:hint="eastAsia" w:ascii="宋体" w:hAnsi="宋体" w:eastAsia="宋体" w:cs="宋体"/>
                <w:color w:val="auto"/>
                <w:sz w:val="24"/>
                <w:szCs w:val="24"/>
                <w:highlight w:val="none"/>
              </w:rPr>
            </w:pPr>
          </w:p>
        </w:tc>
        <w:tc>
          <w:tcPr>
            <w:tcW w:w="8558" w:type="dxa"/>
            <w:noWrap w:val="0"/>
            <w:vAlign w:val="center"/>
          </w:tcPr>
          <w:p w14:paraId="721745D6">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乙方地址：</w:t>
            </w:r>
          </w:p>
        </w:tc>
      </w:tr>
      <w:tr w14:paraId="60B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FA4BD0A">
            <w:pPr>
              <w:pStyle w:val="7"/>
              <w:jc w:val="center"/>
              <w:rPr>
                <w:rFonts w:hint="eastAsia" w:ascii="宋体" w:hAnsi="宋体" w:eastAsia="宋体" w:cs="宋体"/>
                <w:color w:val="auto"/>
                <w:sz w:val="24"/>
                <w:szCs w:val="24"/>
                <w:highlight w:val="none"/>
              </w:rPr>
            </w:pPr>
          </w:p>
        </w:tc>
        <w:tc>
          <w:tcPr>
            <w:tcW w:w="8558" w:type="dxa"/>
            <w:noWrap w:val="0"/>
            <w:vAlign w:val="center"/>
          </w:tcPr>
          <w:p w14:paraId="758F518F">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乙方联系人：　　　　电话：</w:t>
            </w:r>
          </w:p>
        </w:tc>
      </w:tr>
      <w:tr w14:paraId="332D8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158C1D8C">
            <w:pPr>
              <w:pStyle w:val="7"/>
              <w:jc w:val="center"/>
              <w:rPr>
                <w:rFonts w:hint="eastAsia" w:ascii="宋体" w:hAnsi="宋体" w:eastAsia="宋体" w:cs="宋体"/>
                <w:color w:val="auto"/>
                <w:sz w:val="24"/>
                <w:szCs w:val="24"/>
                <w:highlight w:val="none"/>
              </w:rPr>
            </w:pPr>
          </w:p>
        </w:tc>
        <w:tc>
          <w:tcPr>
            <w:tcW w:w="8558" w:type="dxa"/>
            <w:noWrap w:val="0"/>
            <w:vAlign w:val="center"/>
          </w:tcPr>
          <w:p w14:paraId="4AC8FB7D">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乙方开户银行名称：</w:t>
            </w:r>
          </w:p>
          <w:p w14:paraId="0CD2C0A3">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r>
      <w:tr w14:paraId="0A488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restart"/>
            <w:noWrap w:val="0"/>
            <w:vAlign w:val="center"/>
          </w:tcPr>
          <w:p w14:paraId="1266F948">
            <w:pPr>
              <w:pStyle w:val="7"/>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8558" w:type="dxa"/>
            <w:noWrap w:val="0"/>
            <w:vAlign w:val="center"/>
          </w:tcPr>
          <w:p w14:paraId="0F127F16">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见证方名称：陕西正信招标有限公司</w:t>
            </w:r>
          </w:p>
        </w:tc>
      </w:tr>
      <w:tr w14:paraId="33B62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continue"/>
            <w:noWrap w:val="0"/>
            <w:vAlign w:val="center"/>
          </w:tcPr>
          <w:p w14:paraId="7B306BAF">
            <w:pPr>
              <w:pStyle w:val="7"/>
              <w:jc w:val="center"/>
              <w:rPr>
                <w:rFonts w:hint="eastAsia" w:ascii="宋体" w:hAnsi="宋体" w:eastAsia="宋体" w:cs="宋体"/>
                <w:color w:val="auto"/>
                <w:sz w:val="24"/>
                <w:szCs w:val="24"/>
                <w:highlight w:val="none"/>
              </w:rPr>
            </w:pPr>
          </w:p>
        </w:tc>
        <w:tc>
          <w:tcPr>
            <w:tcW w:w="8558" w:type="dxa"/>
            <w:noWrap w:val="0"/>
            <w:vAlign w:val="center"/>
          </w:tcPr>
          <w:p w14:paraId="22159F6A">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单位地址：西安市莲湖区环城西路南段元晟合中心6层</w:t>
            </w:r>
          </w:p>
        </w:tc>
      </w:tr>
      <w:tr w14:paraId="7F015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vMerge w:val="continue"/>
            <w:noWrap w:val="0"/>
            <w:vAlign w:val="center"/>
          </w:tcPr>
          <w:p w14:paraId="2C034F0B">
            <w:pPr>
              <w:pStyle w:val="7"/>
              <w:jc w:val="center"/>
              <w:rPr>
                <w:rFonts w:hint="eastAsia" w:ascii="宋体" w:hAnsi="宋体" w:eastAsia="宋体" w:cs="宋体"/>
                <w:color w:val="auto"/>
                <w:sz w:val="24"/>
                <w:szCs w:val="24"/>
                <w:highlight w:val="none"/>
              </w:rPr>
            </w:pPr>
          </w:p>
        </w:tc>
        <w:tc>
          <w:tcPr>
            <w:tcW w:w="8558" w:type="dxa"/>
            <w:noWrap w:val="0"/>
            <w:vAlign w:val="center"/>
          </w:tcPr>
          <w:p w14:paraId="08204693">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联系人：行政部       电话：029-88</w:t>
            </w:r>
            <w:r>
              <w:rPr>
                <w:rFonts w:hint="eastAsia" w:ascii="宋体" w:hAnsi="宋体" w:eastAsia="宋体" w:cs="宋体"/>
                <w:color w:val="auto"/>
                <w:sz w:val="24"/>
                <w:szCs w:val="24"/>
                <w:highlight w:val="none"/>
                <w:lang w:val="en-US" w:eastAsia="zh-CN"/>
              </w:rPr>
              <w:t>110800</w:t>
            </w:r>
            <w:r>
              <w:rPr>
                <w:rFonts w:hint="eastAsia" w:ascii="宋体" w:hAnsi="宋体" w:eastAsia="宋体" w:cs="宋体"/>
                <w:color w:val="auto"/>
                <w:sz w:val="24"/>
                <w:szCs w:val="24"/>
                <w:highlight w:val="none"/>
              </w:rPr>
              <w:t>-8008</w:t>
            </w:r>
          </w:p>
        </w:tc>
      </w:tr>
      <w:tr w14:paraId="33946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485D6F4">
            <w:pPr>
              <w:pStyle w:val="7"/>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8558" w:type="dxa"/>
            <w:noWrap w:val="0"/>
            <w:vAlign w:val="center"/>
          </w:tcPr>
          <w:p w14:paraId="4900EBD5">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合同金额：</w:t>
            </w:r>
          </w:p>
        </w:tc>
      </w:tr>
      <w:tr w14:paraId="29CFF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793ED80">
            <w:pPr>
              <w:pStyle w:val="7"/>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8558" w:type="dxa"/>
            <w:noWrap w:val="0"/>
            <w:vAlign w:val="center"/>
          </w:tcPr>
          <w:p w14:paraId="4156AFDA">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包装要求：落实《关于印发〈商品包装政府采购需求标准（试行）〉〈快递包装政府采购需求标准（试行）〉》（财办库〔2020〕123号）</w:t>
            </w:r>
          </w:p>
        </w:tc>
      </w:tr>
      <w:tr w14:paraId="1E9D1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06EEBE5">
            <w:pPr>
              <w:pStyle w:val="7"/>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8558" w:type="dxa"/>
            <w:noWrap w:val="0"/>
            <w:vAlign w:val="center"/>
          </w:tcPr>
          <w:p w14:paraId="45D57035">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交货时间及地点：</w:t>
            </w:r>
          </w:p>
        </w:tc>
      </w:tr>
      <w:tr w14:paraId="6752A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886F4EA">
            <w:pPr>
              <w:pStyle w:val="7"/>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8558" w:type="dxa"/>
            <w:noWrap w:val="0"/>
            <w:vAlign w:val="center"/>
          </w:tcPr>
          <w:p w14:paraId="13BAF918">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质量保证期：</w:t>
            </w:r>
          </w:p>
        </w:tc>
      </w:tr>
      <w:tr w14:paraId="3B569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DF6B5F0">
            <w:pPr>
              <w:pStyle w:val="7"/>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8558" w:type="dxa"/>
            <w:noWrap w:val="0"/>
            <w:vAlign w:val="center"/>
          </w:tcPr>
          <w:p w14:paraId="612C2DA9">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验收方式及标准：</w:t>
            </w:r>
          </w:p>
        </w:tc>
      </w:tr>
      <w:tr w14:paraId="6B186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9D5809F">
            <w:pPr>
              <w:pStyle w:val="7"/>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8558" w:type="dxa"/>
            <w:noWrap w:val="0"/>
            <w:vAlign w:val="center"/>
          </w:tcPr>
          <w:p w14:paraId="32D4B17F">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r>
      <w:tr w14:paraId="2C679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B668982">
            <w:pPr>
              <w:pStyle w:val="7"/>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8558" w:type="dxa"/>
            <w:noWrap w:val="0"/>
            <w:vAlign w:val="center"/>
          </w:tcPr>
          <w:p w14:paraId="572A6E32">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履约保证金及其返还：</w:t>
            </w:r>
          </w:p>
        </w:tc>
      </w:tr>
      <w:tr w14:paraId="512C8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7C78038E">
            <w:pPr>
              <w:pStyle w:val="7"/>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8558" w:type="dxa"/>
            <w:noWrap w:val="0"/>
            <w:vAlign w:val="center"/>
          </w:tcPr>
          <w:p w14:paraId="3468012A">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□违约金约定：</w:t>
            </w:r>
          </w:p>
          <w:p w14:paraId="0255E1A7">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□损失赔偿约定：</w:t>
            </w:r>
          </w:p>
        </w:tc>
      </w:tr>
      <w:tr w14:paraId="14191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B28701D">
            <w:pPr>
              <w:pStyle w:val="7"/>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8558" w:type="dxa"/>
            <w:noWrap w:val="0"/>
            <w:vAlign w:val="center"/>
          </w:tcPr>
          <w:p w14:paraId="083EFF66">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误期赔偿费约定：如果乙方没有按照合同规定的时间交货和提供服务，甲方有权从货款或履约保证金中扣除误期赔偿费而不影响合同项下的其他补救方法。赔偿费按每日加收合同金额的0.5%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各单位可根据实际情况重新设定</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计收，直至交货或提供服务为止。但误期赔偿费的最高限额不超过合同价的15%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各单位可根据实际情况重新设定</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tc>
      </w:tr>
      <w:tr w14:paraId="230AE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8CD59B3">
            <w:pPr>
              <w:pStyle w:val="7"/>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8558" w:type="dxa"/>
            <w:noWrap w:val="0"/>
            <w:vAlign w:val="center"/>
          </w:tcPr>
          <w:p w14:paraId="1E57BD55">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合同履行期限：自合同生效之日起至合同全部权利义务履行完毕之日止。</w:t>
            </w:r>
          </w:p>
        </w:tc>
      </w:tr>
      <w:tr w14:paraId="4D5DF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351A1133">
            <w:pPr>
              <w:pStyle w:val="7"/>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8558" w:type="dxa"/>
            <w:noWrap w:val="0"/>
            <w:vAlign w:val="center"/>
          </w:tcPr>
          <w:p w14:paraId="54195B03">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合同纠纷的解决方式：</w:t>
            </w:r>
          </w:p>
          <w:p w14:paraId="145EE16B">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首先通过双方协商解决，协商解决不成，则通过以下途径之一解决纠纷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请在方框内画“√”选择</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23189A6E">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□提请______仲裁委员会按照仲裁程序在______</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仲裁地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仲裁</w:t>
            </w:r>
          </w:p>
          <w:p w14:paraId="43F45499">
            <w:pPr>
              <w:pStyle w:val="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□向甲方所在地人民法院提起诉讼</w:t>
            </w:r>
          </w:p>
        </w:tc>
      </w:tr>
    </w:tbl>
    <w:p w14:paraId="63B0DE17">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1.定义</w:t>
      </w:r>
    </w:p>
    <w:p w14:paraId="02EEA8DB">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本合同下列术语应解释为：</w:t>
      </w:r>
    </w:p>
    <w:p w14:paraId="409BC8F5">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“甲方”是指采购人。</w:t>
      </w:r>
    </w:p>
    <w:p w14:paraId="587F9DC8">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“乙方”是指中标人。</w:t>
      </w:r>
    </w:p>
    <w:p w14:paraId="449BEEDC">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“见证方”是指采购代理机构。</w:t>
      </w:r>
    </w:p>
    <w:p w14:paraId="6115EA0A">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　“合同”系指甲乙双方签署的、合同中载明的甲乙双方所达成的协议，包括所有的附件、附录和上述文件所提到的构成合同的所有文件。</w:t>
      </w:r>
    </w:p>
    <w:p w14:paraId="6D6D8AEB">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　“货物”是指根据本合同规定，乙方按照招标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采购</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、投标文件，向甲方提供符合要求的全部产品，包括一切设备、机械、仪器仪表、备品备件、工具及与信息处理和交流有关的硬件、软件以及所有有关的文件等。</w:t>
      </w:r>
    </w:p>
    <w:p w14:paraId="3BE3510E">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　“服务”是指根据本合同规定，乙方承担与货物有关的相关服务，包括但不限于运输、保险、安装、调试、技术支持、质量保障、售后服务、培训和合同中规定乙方应承担的其他义务。</w:t>
      </w:r>
    </w:p>
    <w:p w14:paraId="5D895903">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除非特别指出，“天”均为自然天。</w:t>
      </w:r>
    </w:p>
    <w:p w14:paraId="237DE545">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合同标的标准</w:t>
      </w:r>
    </w:p>
    <w:p w14:paraId="7FB36C89">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乙方为甲方交付的货物及服务应符合招标文件所述的内容，如果没有提及适用标准，则应符合相应的国家标准。这些标准必须是有关机构发布的最新版本的标准。</w:t>
      </w:r>
    </w:p>
    <w:p w14:paraId="58F63E1B">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除非技术要求中另有规定，计量单位均采用中华人民共和国法定计量单位。</w:t>
      </w:r>
    </w:p>
    <w:p w14:paraId="7C6E4173">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货物还应符合国家有关安全、环保、卫生的相关规定。</w:t>
      </w:r>
    </w:p>
    <w:p w14:paraId="4B00DB9D">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质量保证</w:t>
      </w:r>
    </w:p>
    <w:p w14:paraId="3108F696">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乙方应保证所供货物是全新的、未使用过的，并完全符合或高于合同要求的质量、规格和技术性能的要求。</w:t>
      </w:r>
    </w:p>
    <w:p w14:paraId="1FCD1BDD">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乙方应保证其货物在正确安装、正常使用和保养条件下，在其使用寿命期内具有满意的性能，或者没有因乙方的行为或疏忽而产生的缺陷。在货物最终交付验收后不少于合同规定或乙方承诺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两者以较长的为准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的质量保证期内，本保证保持有效。</w:t>
      </w:r>
    </w:p>
    <w:p w14:paraId="1DE2EE2F">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50048BEC">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3.4在质量保证期内所发现的缺陷，甲方应尽快以书面形式通知乙方。</w:t>
      </w:r>
    </w:p>
    <w:p w14:paraId="34629B93">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　乙方收到通知后应在本合同规定的响应时间内以合理的速度免费维修或更换有缺陷的货物或部件。</w:t>
      </w:r>
    </w:p>
    <w:p w14:paraId="356C7E8E">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　在质量保证期内，如果货物的质量或规格与合同不符，或证实货物是有缺陷的，包括潜在的缺陷或使用不符合要求的材料等，甲方可以根据本合同第10.1条规定以书面形式向乙方提出补救措施或索赔。</w:t>
      </w:r>
    </w:p>
    <w:p w14:paraId="4B5C8B0B">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　乙方在约定的时间内未能弥补缺陷，甲方可采取必要的补救措施，但其风险和费用将由乙方承担，甲方根据合同规定对乙方行使的其他权利不受影响。</w:t>
      </w:r>
    </w:p>
    <w:p w14:paraId="3E35D0CE">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　本合同的质量保证期见合同条款前附表。</w:t>
      </w:r>
    </w:p>
    <w:p w14:paraId="6C27BBAA">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4.包装要求</w:t>
      </w:r>
    </w:p>
    <w:p w14:paraId="17CCF4B4">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除合同另有规定外，乙方提供的全部货物均应按标准保护措施进行包装，这类包装应适应于远距离运输、防潮、防震、防锈和防野蛮装卸，以确保货物安全无损运抵指定现场。</w:t>
      </w:r>
    </w:p>
    <w:p w14:paraId="0C54F431">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乙方应承担由于其包装或防护措施不当而引起的货物损坏和丢失的任何损失责任和费用。</w:t>
      </w:r>
    </w:p>
    <w:p w14:paraId="07A7AA58">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　每一个包装箱内应附一份详细装箱单和质量证书。</w:t>
      </w:r>
    </w:p>
    <w:p w14:paraId="032EFAC8">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5.知识产权</w:t>
      </w:r>
    </w:p>
    <w:p w14:paraId="02EFC148">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　乙方应保证所提供的货物及服务免受第三方提出侵犯其知识产权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专利权、商标权、版权等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的起诉。如果甲方在使用乙方货物或货物的任何一部分过程中，第三方提出货物侵犯其专利权、工业设计权、使用权等知识产权，乙方应当修正以避免侵权。</w:t>
      </w:r>
    </w:p>
    <w:p w14:paraId="1D8EF61D">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　如果甲方在使用乙方货物或货物的任何一部分过程中，第三方指控侵犯其专利权、工业设计权、使用权等知识产权，乙方将自费为甲方、各采购人答辩，并支付法院最终判决的甲方应支付第三方的一切费用。</w:t>
      </w:r>
    </w:p>
    <w:p w14:paraId="49A94C1D">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　有关本项目的所有设计、施工文件的著作权属于甲方。乙方有保护甲方著作权的义务，并对在设计过程中所</w:t>
      </w:r>
      <w:r>
        <w:rPr>
          <w:rFonts w:hint="eastAsia" w:ascii="宋体" w:hAnsi="宋体" w:eastAsia="宋体" w:cs="宋体"/>
          <w:color w:val="auto"/>
          <w:sz w:val="24"/>
          <w:szCs w:val="24"/>
          <w:highlight w:val="none"/>
          <w:lang w:eastAsia="zh-CN"/>
        </w:rPr>
        <w:t>接触</w:t>
      </w:r>
      <w:r>
        <w:rPr>
          <w:rFonts w:hint="eastAsia" w:ascii="宋体" w:hAnsi="宋体" w:eastAsia="宋体" w:cs="宋体"/>
          <w:color w:val="auto"/>
          <w:sz w:val="24"/>
          <w:szCs w:val="24"/>
          <w:highlight w:val="none"/>
        </w:rPr>
        <w:t>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321FAC96">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6.权利瑕疵担保</w:t>
      </w:r>
    </w:p>
    <w:p w14:paraId="1A45F6EF">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　乙方保证对其出售的货物享有合法的权利。</w:t>
      </w:r>
    </w:p>
    <w:p w14:paraId="7654F643">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　乙方保证在其出售的货物上不存在任何未曾向甲方透露的担保物权，如抵押权、质押权、留置权等。</w:t>
      </w:r>
    </w:p>
    <w:p w14:paraId="2412FF64">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　如甲方使用该货物构成上述侵权的，则由乙方承担全部责任。</w:t>
      </w:r>
    </w:p>
    <w:p w14:paraId="44C465C2">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7.保密义务</w:t>
      </w:r>
    </w:p>
    <w:p w14:paraId="6146AABC">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甲乙双方在采购和履行合同过程中所获悉的对方属于保密的内容，双方均有保密义务。</w:t>
      </w:r>
    </w:p>
    <w:p w14:paraId="24F0A1F5">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8.履约保证金</w:t>
      </w:r>
    </w:p>
    <w:p w14:paraId="1CE4DF86">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　乙方应以银行转账等非现金形式向甲方提供。乙方以银行、保险公司出具保函形式提交履约保证金的，甲方不得拒收。</w:t>
      </w:r>
    </w:p>
    <w:p w14:paraId="4ED369BB">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履约保证金具体金额及返还要求见合同条款前附表。</w:t>
      </w:r>
    </w:p>
    <w:p w14:paraId="6C46D3C5">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8.3　如乙方未能履行合同规定的义务，甲方有权按照本合同的约定从履约保证金中进行相应扣除。乙方应在甲方扣除履约保证金后15天内，及时补充扣除部分金额。</w:t>
      </w:r>
    </w:p>
    <w:p w14:paraId="004ABA5B">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8.4　乙方不履行合同，或者履行合同义务不符合约定使得合同目的不能实现，履约保证金不予退还，给甲方造成的损失超过履约保证金数额的，还应当对超过部分予以赔偿。</w:t>
      </w:r>
    </w:p>
    <w:p w14:paraId="5790ED01">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9.交货与验收</w:t>
      </w:r>
    </w:p>
    <w:p w14:paraId="311A86EA">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　交货地点：合同条款前附表指定地点。</w:t>
      </w:r>
    </w:p>
    <w:p w14:paraId="5A8D5C19">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　交货时间：合同条款前附表指定时间。</w:t>
      </w:r>
    </w:p>
    <w:p w14:paraId="43731307">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9.3　甲方在收到乙方交付的货物后应当及时组织验收。</w:t>
      </w:r>
    </w:p>
    <w:p w14:paraId="63777F83">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9.4　货物的包装：符合出厂规范及符合《商品包装政府采购需求标准（试行）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46B117FD">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9.5　在验收过程中发现数量不足或有质量、技术等问题，乙方应按照合同要求采取补足、更换或退货等处理措施，并承担由此发生的一切费用和损失。</w:t>
      </w:r>
    </w:p>
    <w:p w14:paraId="353FE268">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9.6　甲方对货物进行检查验收合格后，应当及时履行验收手续。</w:t>
      </w:r>
    </w:p>
    <w:p w14:paraId="512E7ACF">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9.7　大型或者复杂的货物采购项目，甲方可以邀请国家认可的质量检测机构参加验收工作，并由其出具验收报告。</w:t>
      </w:r>
    </w:p>
    <w:p w14:paraId="5B82566F">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9.8  在履约验收环节，乙方须按照《商品包装政府采购需求标准（试行）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《快递包装政府采购需求标准（试行）》的环保要求出具检测报告。</w:t>
      </w:r>
    </w:p>
    <w:p w14:paraId="25AAA155">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10.违约责任</w:t>
      </w:r>
    </w:p>
    <w:p w14:paraId="3EFD7FDD">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　质量缺陷的补救措施和索赔</w:t>
      </w:r>
    </w:p>
    <w:p w14:paraId="7A8E44FA">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5D7FC53B">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①乙方同意退货并将货款退还给甲方，由此发生的一切费用和损失由乙方承担。如甲方以适当的条件和方法购买与未履约标的相类似的货物，乙方应负担新购买类似货物所超出的费用。</w:t>
      </w:r>
    </w:p>
    <w:p w14:paraId="4C07A9A4">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②根据货物的质量状况以及甲方所遭受的损失，经过甲乙双方商定降低货物的价格。</w:t>
      </w:r>
    </w:p>
    <w:p w14:paraId="285D6A59">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乙方应在接到甲方通知后7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6C073229">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如果在甲方发出索赔通知后10日内乙方未作答复，上述索赔应视为已被乙方接受。如果乙方未能在甲方发出索赔通知后10日内或甲方同意延长的期限内，按照上述规定的任何一种方法采取补救措施，甲方有权从应付货款中扣除索赔金额或者没收履约保证金，如不足以弥补甲方损失的，甲方有权进一步要求乙方赔偿。</w:t>
      </w:r>
    </w:p>
    <w:p w14:paraId="01DF0DB1">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10.2　迟延交货的违约责任</w:t>
      </w:r>
    </w:p>
    <w:p w14:paraId="36FB6E2D">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乙方应按照本合同规定的时间、地点交货和提供服务。</w:t>
      </w:r>
    </w:p>
    <w:p w14:paraId="4A0038BD">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3AEBB04B">
      <w:pPr>
        <w:pStyle w:val="7"/>
        <w:keepNext w:val="0"/>
        <w:keepLines w:val="0"/>
        <w:pageBreakBefore w:val="0"/>
        <w:widowControl w:val="0"/>
        <w:kinsoku/>
        <w:wordWrap/>
        <w:overflowPunct/>
        <w:topLinePunct w:val="0"/>
        <w:autoSpaceDE/>
        <w:autoSpaceDN/>
        <w:bidi w:val="0"/>
        <w:adjustRightInd/>
        <w:snapToGrid/>
        <w:spacing w:line="520" w:lineRule="exact"/>
        <w:ind w:firstLine="45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lang w:eastAsia="zh-CN"/>
        </w:rPr>
        <w:t>（3）</w:t>
      </w:r>
      <w:r>
        <w:rPr>
          <w:rFonts w:hint="eastAsia" w:ascii="宋体" w:hAnsi="宋体" w:eastAsia="宋体" w:cs="宋体"/>
          <w:color w:val="auto"/>
          <w:spacing w:val="-6"/>
          <w:sz w:val="24"/>
          <w:szCs w:val="24"/>
          <w:highlight w:val="none"/>
        </w:rPr>
        <w:t>除甲乙双方另有约定外，如果乙方没有按照合同规定的时间交货和提供服务，甲方有权从货款、履约保证金中扣除或要求乙方另行支付误期赔偿费而不影响合同项下的其他补救方法。赔偿费每日按合同金额的0.5%</w:t>
      </w:r>
      <w:r>
        <w:rPr>
          <w:rFonts w:hint="eastAsia" w:ascii="宋体" w:hAnsi="宋体" w:eastAsia="宋体" w:cs="宋体"/>
          <w:color w:val="auto"/>
          <w:spacing w:val="-6"/>
          <w:sz w:val="24"/>
          <w:szCs w:val="24"/>
          <w:highlight w:val="none"/>
          <w:lang w:eastAsia="zh-CN"/>
        </w:rPr>
        <w:t>（</w:t>
      </w:r>
      <w:r>
        <w:rPr>
          <w:rFonts w:hint="eastAsia" w:ascii="宋体" w:hAnsi="宋体" w:eastAsia="宋体" w:cs="宋体"/>
          <w:color w:val="auto"/>
          <w:spacing w:val="-6"/>
          <w:sz w:val="24"/>
          <w:szCs w:val="24"/>
          <w:highlight w:val="none"/>
        </w:rPr>
        <w:t>各单位可根据实际情况重新设定</w:t>
      </w:r>
      <w:r>
        <w:rPr>
          <w:rFonts w:hint="eastAsia" w:ascii="宋体" w:hAnsi="宋体" w:eastAsia="宋体" w:cs="宋体"/>
          <w:color w:val="auto"/>
          <w:spacing w:val="-6"/>
          <w:sz w:val="24"/>
          <w:szCs w:val="24"/>
          <w:highlight w:val="none"/>
          <w:lang w:eastAsia="zh-CN"/>
        </w:rPr>
        <w:t>）</w:t>
      </w:r>
      <w:r>
        <w:rPr>
          <w:rFonts w:hint="eastAsia" w:ascii="宋体" w:hAnsi="宋体" w:eastAsia="宋体" w:cs="宋体"/>
          <w:color w:val="auto"/>
          <w:spacing w:val="-6"/>
          <w:sz w:val="24"/>
          <w:szCs w:val="24"/>
          <w:highlight w:val="none"/>
        </w:rPr>
        <w:t>计收，直至交货或提供服务为止。但误期赔偿费的最高限额不超过合同价的15%</w:t>
      </w:r>
      <w:r>
        <w:rPr>
          <w:rFonts w:hint="eastAsia" w:ascii="宋体" w:hAnsi="宋体" w:eastAsia="宋体" w:cs="宋体"/>
          <w:color w:val="auto"/>
          <w:spacing w:val="-6"/>
          <w:sz w:val="24"/>
          <w:szCs w:val="24"/>
          <w:highlight w:val="none"/>
          <w:lang w:eastAsia="zh-CN"/>
        </w:rPr>
        <w:t>（</w:t>
      </w:r>
      <w:r>
        <w:rPr>
          <w:rFonts w:hint="eastAsia" w:ascii="宋体" w:hAnsi="宋体" w:eastAsia="宋体" w:cs="宋体"/>
          <w:color w:val="auto"/>
          <w:spacing w:val="-6"/>
          <w:sz w:val="24"/>
          <w:szCs w:val="24"/>
          <w:highlight w:val="none"/>
        </w:rPr>
        <w:t>各单位可根据实际情况</w:t>
      </w:r>
      <w:r>
        <w:rPr>
          <w:rFonts w:hint="eastAsia" w:ascii="宋体" w:hAnsi="宋体" w:eastAsia="宋体" w:cs="宋体"/>
          <w:color w:val="auto"/>
          <w:sz w:val="24"/>
          <w:szCs w:val="24"/>
          <w:highlight w:val="none"/>
        </w:rPr>
        <w:t>重新设定</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761BDDF3">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如果乙方迟延交货超过30日，甲方有权终止全部或部分合同，并依其认为适当的条件和方法购买与未交货物类似的货物，乙方应负担购买类似货物所超出的费用。但是，乙方应继续执行合同中未终止的部分。</w:t>
      </w:r>
    </w:p>
    <w:p w14:paraId="708458CD">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10.3　未履行合同义务的违约责任</w:t>
      </w:r>
    </w:p>
    <w:p w14:paraId="278F763E">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守约方有权终止全部或部分合同。</w:t>
      </w:r>
    </w:p>
    <w:p w14:paraId="6758DB83">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乙方违约的，甲方有权没收全额履约保证金。</w:t>
      </w:r>
    </w:p>
    <w:p w14:paraId="1292A2C3">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由违约一方支付违约金，违约金标准见合同条款前附表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各单位可根据实际情况自行约定</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02165EE2">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违约金不足以弥补守约方实际损失、可预见或者应当预见的损失，由违约方全额予以赔偿。</w:t>
      </w:r>
    </w:p>
    <w:p w14:paraId="1B0E49C7">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11.不可抗力</w:t>
      </w:r>
    </w:p>
    <w:p w14:paraId="6A518BAD">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　如果合同双方因不可抗力而导致合同实施延误或合同无法实施，不应该承担误期赔偿或不能履行合同义务的责任。</w:t>
      </w:r>
    </w:p>
    <w:p w14:paraId="13E58155">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本条所述的“不可抗力”系指那些双方不可预见、不可避免、不可克服的客观情况，但不包括双方的违约或疏忽。这些事件包括但不限于：战争、严重火灾、洪水、台风、地震等。</w:t>
      </w:r>
    </w:p>
    <w:p w14:paraId="593AF333">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62D60A13">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12.合同纠纷的解决方式</w:t>
      </w:r>
    </w:p>
    <w:p w14:paraId="21020972">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合同各方应通过友好协商，解决在执行合同过程中所发生的或与合同有关的一切争端。如协商30日内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根据实际情况设定</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不能解决，可以按合同规定的方式提起仲裁或诉讼。</w:t>
      </w:r>
    </w:p>
    <w:p w14:paraId="349C98B7">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仲裁裁决应为最终裁决，对双方均具有约束力。</w:t>
      </w:r>
    </w:p>
    <w:p w14:paraId="34FEF1C3">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仲裁费除仲裁机关另有裁决外应由败诉方负担。</w:t>
      </w:r>
    </w:p>
    <w:p w14:paraId="72F39EC1">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　诉讼应由甲方住所地人民法院管辖。财产保全担保保险费、财产保全申请费、律师代理费、差旅费、评估费、鉴定费及诉讼费等与仲裁或诉讼活动相关费用应由败诉方负担。</w:t>
      </w:r>
    </w:p>
    <w:p w14:paraId="6DBDF0EF">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　如仲裁或诉讼事项不影响合同其他部分的履行，则在仲裁或诉讼期间，除正在进行仲裁或诉讼的部分外，合同的其他部分应继续执行。</w:t>
      </w:r>
    </w:p>
    <w:p w14:paraId="7692613B">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13.合同修改或变更</w:t>
      </w:r>
    </w:p>
    <w:p w14:paraId="79B26D0D">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如无重大变故，</w:t>
      </w:r>
      <w:r>
        <w:rPr>
          <w:rFonts w:hint="eastAsia" w:ascii="宋体" w:hAnsi="宋体" w:eastAsia="宋体" w:cs="宋体"/>
          <w:color w:val="auto"/>
          <w:sz w:val="24"/>
          <w:szCs w:val="24"/>
          <w:highlight w:val="none"/>
          <w:lang w:eastAsia="zh-CN"/>
        </w:rPr>
        <w:t>甲乙</w:t>
      </w:r>
      <w:r>
        <w:rPr>
          <w:rFonts w:hint="eastAsia" w:ascii="宋体" w:hAnsi="宋体" w:eastAsia="宋体" w:cs="宋体"/>
          <w:color w:val="auto"/>
          <w:sz w:val="24"/>
          <w:szCs w:val="24"/>
          <w:highlight w:val="none"/>
        </w:rPr>
        <w:t>双方不得擅自变更合同。</w:t>
      </w:r>
    </w:p>
    <w:p w14:paraId="1E770D83">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　如确需变更合同，甲乙双方应签署书面变更协议。变更协议为本合同不可分割的一部分。</w:t>
      </w:r>
    </w:p>
    <w:p w14:paraId="0E000CFC">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在不改变合同其他条款的前提下，甲方有权在合同价款10%的范围内追加与合同标的相同的货物或服务，并就此与乙方签订补充合同，乙方不得拒绝。</w:t>
      </w:r>
    </w:p>
    <w:p w14:paraId="17162C7C">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14.合同中止</w:t>
      </w:r>
    </w:p>
    <w:p w14:paraId="3F64133D">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合同在履行过程中，因采购计划调整，甲方可以要求中止履行，待计划确定后继续履行；合同履行过程中因</w:t>
      </w:r>
      <w:r>
        <w:rPr>
          <w:rFonts w:hint="eastAsia" w:ascii="宋体" w:hAnsi="宋体" w:eastAsia="宋体" w:cs="宋体"/>
          <w:color w:val="auto"/>
          <w:kern w:val="0"/>
          <w:sz w:val="24"/>
          <w:szCs w:val="24"/>
          <w:highlight w:val="none"/>
        </w:rPr>
        <w:t>投标人</w:t>
      </w:r>
      <w:r>
        <w:rPr>
          <w:rFonts w:hint="eastAsia" w:ascii="宋体" w:hAnsi="宋体" w:eastAsia="宋体" w:cs="宋体"/>
          <w:color w:val="auto"/>
          <w:sz w:val="24"/>
          <w:szCs w:val="24"/>
          <w:highlight w:val="none"/>
        </w:rPr>
        <w:t>就采购过程或结果提起投诉的，甲方认为有必要或财政部门责令中止的，应当中止合同的履行。</w:t>
      </w:r>
    </w:p>
    <w:p w14:paraId="10D22967">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15.终止合同</w:t>
      </w:r>
    </w:p>
    <w:p w14:paraId="1735DF6C">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　若出现如下情形，在甲方对乙方违约行为而采取的任何补救措施不受影响的情况下，甲方可向乙方发出书面通知书，提出终止部分或全部合同：</w:t>
      </w:r>
    </w:p>
    <w:p w14:paraId="426D1C9E">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如果乙方未能在合同规定的期限或甲方同意延长的期限内提供货物或服务；</w:t>
      </w:r>
    </w:p>
    <w:p w14:paraId="0220362B">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如果乙方未能履行合同规定的其他任何义务，出现两次服务达不到承诺标准情况，甲方有权终止合同；</w:t>
      </w:r>
    </w:p>
    <w:p w14:paraId="7A058D6E">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如果甲方认为乙方在本合同的竞争或实施中有腐败和欺诈行为。</w:t>
      </w:r>
    </w:p>
    <w:p w14:paraId="59E6504B">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　如果甲方根据上述第15.1条的规定，终止了全部或部分合同，甲方可以适当的条件和方法购买乙方未能提供的货物或服务，乙方应对甲方购买类似货物或服务所超出的费用负责。同时，乙方应继续执行合同中未终止的部分。</w:t>
      </w:r>
    </w:p>
    <w:p w14:paraId="334225B6">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16.破产终止合同</w:t>
      </w:r>
    </w:p>
    <w:p w14:paraId="39537FA9">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如果乙方破产或无清偿能力，甲方可在任何时候以书面形式通知乙方终止合同而不给乙方补偿。</w:t>
      </w:r>
    </w:p>
    <w:p w14:paraId="0953EDB3">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　该终止行为将不损害或影响甲方已经采取或将要采取的任何行动或补救措施的权利。</w:t>
      </w:r>
    </w:p>
    <w:p w14:paraId="6BADFD5A">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17.其他终止合同情况</w:t>
      </w:r>
    </w:p>
    <w:p w14:paraId="445B5D40">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　若合同继续履行将给甲方造成重大损失的，甲方可以终止合同而不给予乙方任何补偿。</w:t>
      </w:r>
    </w:p>
    <w:p w14:paraId="4F5438B5">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　乙方在执行合同的过程中发生重大事故，对履行合同有直接影响的，甲方可以终止合同而不给予乙方任何补偿。</w:t>
      </w:r>
    </w:p>
    <w:p w14:paraId="21208599">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　甲方因重大变故取消或部分取消原来的采购任务，导致合同全部或部分内容无须继续履行的，可以终止合同而不给予乙方任何补偿。</w:t>
      </w:r>
    </w:p>
    <w:p w14:paraId="57C40068">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18.合同转让和分包</w:t>
      </w:r>
    </w:p>
    <w:p w14:paraId="0BF12FA1">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乙方不得以任何形式将合同转包，或部分或全部转让其应履行的合同义务。</w:t>
      </w:r>
    </w:p>
    <w:p w14:paraId="731FEEAF">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18.2　除经甲方事先书面同意外，乙方不得以任何形式将合同分包。</w:t>
      </w:r>
    </w:p>
    <w:p w14:paraId="1C437565">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19.适用法律</w:t>
      </w:r>
    </w:p>
    <w:p w14:paraId="1D9E591E">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　本合同适用中华人民共和国现行法律、行政法规和规章，如合同条款与法律、行政法规和规章不一致的，按照法律、行政法规和规章修改本合同。</w:t>
      </w:r>
    </w:p>
    <w:p w14:paraId="0CA0F200">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20.合同语言</w:t>
      </w:r>
    </w:p>
    <w:p w14:paraId="38445FAF">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　本合同语言为中文。</w:t>
      </w:r>
    </w:p>
    <w:p w14:paraId="18116773">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　双方交换的与合同有关的信件和其他文件应用合同语言书写。</w:t>
      </w:r>
    </w:p>
    <w:p w14:paraId="11E0115A">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21.合同生效</w:t>
      </w:r>
    </w:p>
    <w:p w14:paraId="221141D1">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　本合同应在双方签字盖章和甲方收到乙方提供的履约保证金后生效。</w:t>
      </w:r>
    </w:p>
    <w:p w14:paraId="02C03CAD">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22.合同效力</w:t>
      </w:r>
    </w:p>
    <w:p w14:paraId="7E456980">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　除本合同和甲乙双方书面签署的补充协议外，其他任何形式的双方约定和往来函件均不具有法律效力，对本项目无约束力。</w:t>
      </w:r>
    </w:p>
    <w:p w14:paraId="29BF8F6E">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23.检查和审计</w:t>
      </w:r>
    </w:p>
    <w:p w14:paraId="41DE239B">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23.1在本合同的履行过程中，甲方有权对乙方的合同履约情况进行阶段性检查，并对乙方投标时提供的相关资料进行复核。</w:t>
      </w:r>
    </w:p>
    <w:p w14:paraId="6DC5BE1F">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　在本合同的履行过程中，如果甲乙双方发生争议或者乙方没有按照合同约定履行义务，乙方应允许甲方检查乙方与实施本合同有关的账户和记录，并由甲方指定的审计人员对其进行审计。</w:t>
      </w:r>
    </w:p>
    <w:p w14:paraId="5472976B">
      <w:pPr>
        <w:pStyle w:val="19"/>
        <w:rPr>
          <w:color w:val="auto"/>
          <w:highlight w:val="none"/>
        </w:rPr>
      </w:pPr>
    </w:p>
    <w:p w14:paraId="26A84F49">
      <w:pPr>
        <w:pStyle w:val="19"/>
        <w:rPr>
          <w:rFonts w:hint="eastAsia"/>
          <w:color w:val="auto"/>
          <w:highlight w:val="none"/>
          <w:lang w:val="en-US" w:eastAsia="zh-Hans"/>
        </w:rPr>
      </w:pPr>
    </w:p>
    <w:p w14:paraId="2814407E">
      <w:pPr>
        <w:rPr>
          <w:rFonts w:hint="default"/>
          <w:highlight w:val="none"/>
          <w:lang w:val="en-US" w:eastAsia="zh-CN"/>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5A9A7">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63184D">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563184D">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77E99"/>
    <w:rsid w:val="0561174D"/>
    <w:rsid w:val="1985637B"/>
    <w:rsid w:val="19EE39F7"/>
    <w:rsid w:val="1A20348C"/>
    <w:rsid w:val="1D2366AB"/>
    <w:rsid w:val="21C02D6D"/>
    <w:rsid w:val="244E6A18"/>
    <w:rsid w:val="2755784B"/>
    <w:rsid w:val="29B7714B"/>
    <w:rsid w:val="2A09202A"/>
    <w:rsid w:val="2B57116C"/>
    <w:rsid w:val="2D012D2F"/>
    <w:rsid w:val="2DC047AC"/>
    <w:rsid w:val="3FA639A6"/>
    <w:rsid w:val="432B57DF"/>
    <w:rsid w:val="469B0D50"/>
    <w:rsid w:val="47E72260"/>
    <w:rsid w:val="4C334E7A"/>
    <w:rsid w:val="578318F4"/>
    <w:rsid w:val="62F04E50"/>
    <w:rsid w:val="688E376F"/>
    <w:rsid w:val="6C35284A"/>
    <w:rsid w:val="6D2055BE"/>
    <w:rsid w:val="6FA403B2"/>
    <w:rsid w:val="7B165BB8"/>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3"/>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1"/>
    <w:link w:val="14"/>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4">
    <w:name w:val="heading 3"/>
    <w:basedOn w:val="1"/>
    <w:next w:val="5"/>
    <w:link w:val="15"/>
    <w:semiHidden/>
    <w:unhideWhenUsed/>
    <w:qFormat/>
    <w:uiPriority w:val="0"/>
    <w:pPr>
      <w:keepNext/>
      <w:keepLines/>
      <w:spacing w:line="360" w:lineRule="auto"/>
      <w:ind w:firstLine="0" w:firstLineChars="0"/>
      <w:jc w:val="left"/>
      <w:outlineLvl w:val="2"/>
    </w:pPr>
    <w:rPr>
      <w:rFonts w:ascii="Times New Roman" w:hAnsi="Times New Roman" w:eastAsia="仿宋" w:cs="Times New Roman"/>
      <w:b/>
      <w:bCs/>
      <w:sz w:val="28"/>
      <w:szCs w:val="32"/>
    </w:rPr>
  </w:style>
  <w:style w:type="paragraph" w:styleId="6">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7">
    <w:name w:val="Plain Text"/>
    <w:basedOn w:val="1"/>
    <w:qFormat/>
    <w:uiPriority w:val="99"/>
    <w:rPr>
      <w:rFonts w:ascii="宋体" w:hAnsi="Courier New"/>
      <w:szCs w:val="21"/>
    </w:rPr>
  </w:style>
  <w:style w:type="paragraph" w:styleId="8">
    <w:name w:val="Date"/>
    <w:basedOn w:val="1"/>
    <w:next w:val="1"/>
    <w:qFormat/>
    <w:uiPriority w:val="0"/>
    <w:pPr>
      <w:adjustRightInd w:val="0"/>
      <w:spacing w:line="312" w:lineRule="atLeast"/>
      <w:textAlignment w:val="baseline"/>
    </w:pPr>
    <w:rPr>
      <w:rFonts w:ascii="Times New Roman" w:hAnsi="Times New Roman" w:eastAsia="楷体_GB2312" w:cs="Times New Roman"/>
      <w:b/>
      <w:kern w:val="0"/>
      <w:szCs w:val="20"/>
    </w:rPr>
  </w:style>
  <w:style w:type="paragraph" w:styleId="9">
    <w:name w:val="footer"/>
    <w:basedOn w:val="1"/>
    <w:qFormat/>
    <w:uiPriority w:val="0"/>
    <w:pPr>
      <w:tabs>
        <w:tab w:val="center" w:pos="4153"/>
        <w:tab w:val="right" w:pos="8306"/>
      </w:tabs>
      <w:snapToGrid w:val="0"/>
      <w:jc w:val="left"/>
    </w:pPr>
    <w:rPr>
      <w:rFonts w:ascii="宋体" w:hAnsi="宋体" w:eastAsia="宋体" w:cs="宋体"/>
    </w:rPr>
  </w:style>
  <w:style w:type="paragraph" w:customStyle="1" w:styleId="12">
    <w:name w:val="正文2"/>
    <w:basedOn w:val="1"/>
    <w:qFormat/>
    <w:uiPriority w:val="0"/>
    <w:pPr>
      <w:ind w:firstLine="562" w:firstLineChars="200"/>
      <w:jc w:val="left"/>
    </w:pPr>
    <w:rPr>
      <w:rFonts w:hint="eastAsia"/>
    </w:rPr>
  </w:style>
  <w:style w:type="character" w:customStyle="1" w:styleId="13">
    <w:name w:val="标题 1 Char"/>
    <w:link w:val="2"/>
    <w:qFormat/>
    <w:uiPriority w:val="0"/>
    <w:rPr>
      <w:rFonts w:ascii="Times New Roman" w:hAnsi="Times New Roman" w:eastAsia="宋体" w:cs="Times New Roman"/>
      <w:b/>
      <w:kern w:val="44"/>
      <w:sz w:val="32"/>
      <w:szCs w:val="21"/>
    </w:rPr>
  </w:style>
  <w:style w:type="character" w:customStyle="1" w:styleId="14">
    <w:name w:val="标题 2 Char"/>
    <w:link w:val="3"/>
    <w:qFormat/>
    <w:uiPriority w:val="9"/>
    <w:rPr>
      <w:rFonts w:ascii="Cambria" w:hAnsi="Cambria" w:eastAsia="宋体" w:cs="Times New Roman"/>
      <w:b/>
      <w:bCs/>
      <w:kern w:val="0"/>
      <w:sz w:val="28"/>
      <w:szCs w:val="32"/>
    </w:rPr>
  </w:style>
  <w:style w:type="character" w:customStyle="1" w:styleId="15">
    <w:name w:val="标题 3 字符"/>
    <w:link w:val="4"/>
    <w:qFormat/>
    <w:uiPriority w:val="0"/>
    <w:rPr>
      <w:rFonts w:ascii="Times New Roman" w:hAnsi="Times New Roman" w:eastAsia="仿宋" w:cs="Times New Roman"/>
      <w:b/>
      <w:bCs/>
      <w:kern w:val="2"/>
      <w:sz w:val="28"/>
      <w:szCs w:val="32"/>
    </w:rPr>
  </w:style>
  <w:style w:type="character" w:customStyle="1" w:styleId="16">
    <w:name w:val="标题 1 字符"/>
    <w:link w:val="17"/>
    <w:qFormat/>
    <w:uiPriority w:val="99"/>
    <w:rPr>
      <w:rFonts w:hint="eastAsia" w:ascii="宋体" w:hAnsi="宋体"/>
      <w:b/>
      <w:bCs/>
      <w:kern w:val="44"/>
      <w:sz w:val="48"/>
      <w:szCs w:val="48"/>
    </w:rPr>
  </w:style>
  <w:style w:type="paragraph" w:customStyle="1" w:styleId="17">
    <w:name w:val="标题 11"/>
    <w:basedOn w:val="1"/>
    <w:link w:val="16"/>
    <w:qFormat/>
    <w:uiPriority w:val="0"/>
    <w:pPr>
      <w:spacing w:beforeAutospacing="1" w:afterAutospacing="1"/>
      <w:jc w:val="left"/>
      <w:outlineLvl w:val="0"/>
    </w:pPr>
    <w:rPr>
      <w:rFonts w:hint="eastAsia" w:ascii="宋体" w:hAnsi="宋体"/>
      <w:b/>
      <w:bCs/>
      <w:kern w:val="44"/>
      <w:sz w:val="48"/>
      <w:szCs w:val="48"/>
    </w:rPr>
  </w:style>
  <w:style w:type="paragraph" w:styleId="18">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 w:type="paragraph" w:customStyle="1" w:styleId="19">
    <w:name w:val="null3"/>
    <w:hidden/>
    <w:qFormat/>
    <w:uiPriority w:val="0"/>
    <w:rPr>
      <w:rFonts w:hint="eastAsia" w:asciiTheme="minorHAnsi" w:hAnsiTheme="minorHAnsi" w:eastAsiaTheme="minorEastAsia" w:cstheme="minorBidi"/>
      <w:lang w:val="en-US" w:eastAsia="zh-Hans" w:bidi="ar-SA"/>
    </w:rPr>
  </w:style>
  <w:style w:type="table" w:customStyle="1" w:styleId="20">
    <w:name w:val="Table Normal"/>
    <w:semiHidden/>
    <w:unhideWhenUsed/>
    <w:qFormat/>
    <w:uiPriority w:val="0"/>
    <w:rPr>
      <w:rFonts w:ascii="Arial" w:hAnsi="Arial" w:cs="Arial"/>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6313</Words>
  <Characters>6596</Characters>
  <Lines>0</Lines>
  <Paragraphs>0</Paragraphs>
  <TotalTime>0</TotalTime>
  <ScaleCrop>false</ScaleCrop>
  <LinksUpToDate>false</LinksUpToDate>
  <CharactersWithSpaces>6850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2023-07-21T00:21:00Z</dcterms:created>
  <dc:creator>zx</dc:creator>
  <cp:lastModifiedBy>puppet</cp:lastModifiedBy>
  <dcterms:modified xsi:type="dcterms:W3CDTF">2026-07-23T03:41:13Z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8BAAE74FAD244B04A44BC8347593FFFE_12</vt:lpwstr>
  </property>
  <property fmtid="{D5CDD505-2E9C-101B-9397-08002B2CF9AE}" pid="4" name="KSOTemplateDocerSaveRecord">
    <vt:lpwstr>eyJoZGlkIjoiNzQ1ZjFhODQ2YTk0OWE2MWRiZGI1ZjhkYjY1YjEzNGMiLCJ1c2VySWQiOiI2NjUzNDI1ODcifQ==</vt:lpwstr>
  </property>
</Properties>
</file>