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版本号：HSGJ2026-18020260706001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2026年白水县城关街道办小雷公村高位蓄水池建设项目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HSGJ2026-180</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2026年白水县城关街道办小雷公村高位蓄水池建设项目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2026年白水县城关街道办小雷公村高位蓄水池建设项目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2026年白水县城关街道办小雷公村高位蓄水池建设项目，具体内容详见第三章。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采购包1（2026年白水县城关街道办小雷公村高位蓄水池建设项目）：属于专门面向中小企业采购。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11、资质要求：供应商须具备市政公用工程施工总承包三级及以上（含三级）资质（或调整后的同等级资质），并具有有效的安全生产许可证；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12、项目经理：供应商拟派项目经理须具备在本单位注册的市政公用工程专业贰级（含贰级）以上注册建造师资质，具备有效的安全生产考核证书B证，且未担任其他在建项目的承诺书；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采购包1：632,232.25元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 [2002]1980号）和（发改办价格[2003]857号）收费标准计取。银行户名：华晟国际项目管理有限公司 开户银行：建设银行西安劳动路支行 账 号：610501 740015 00000 427 转账事由：HSGJ2026-180项目代理服务费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632,232.25</w:t>
      </w:r>
    </w:p>
    <w:p>
      <w:pPr>
        <w:pStyle w:val="null3"/>
      </w:pPr>
      <w:r>
        <w:rPr>
          <w:rFonts w:ascii="仿宋_GB2312" w:hAnsi="仿宋_GB2312" w:cs="仿宋_GB2312" w:eastAsia="仿宋_GB2312"/>
        </w:rPr>
        <w:t>采购包最高限价（元）: 632,232.25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2026年白水县城关街道办小雷公村高位蓄水池建设项目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632,232.25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2026年白水县城关街道办小雷公村高位蓄水池建设项目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rPr>
              <w:t>项目位于城关街道办小雷公村，新建</w:t>
            </w:r>
            <w:r>
              <w:rPr>
                <w:rFonts w:ascii="仿宋_GB2312" w:hAnsi="仿宋_GB2312" w:cs="仿宋_GB2312" w:eastAsia="仿宋_GB2312"/>
                <w:sz w:val="24"/>
              </w:rPr>
              <w:t>500m³，圆形钢筋混凝土蓄水池一座。新建砖混泵房1座，建筑面积15㎡。新建管道加压泵2套，一用一备，泵型选择 ISG50-160，流量 5-10㎡/h，扬程 12-20m，功率 1.5-2.2kW，配套启动柜、配电柜各1面</w:t>
            </w:r>
            <w:r>
              <w:rPr>
                <w:rFonts w:ascii="仿宋_GB2312" w:hAnsi="仿宋_GB2312" w:cs="仿宋_GB2312" w:eastAsia="仿宋_GB2312"/>
                <w:sz w:val="24"/>
              </w:rPr>
              <w:t>，具体详见工程量清单及图纸。</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白水县</w:t>
            </w:r>
          </w:p>
          <w:p>
            <w:pPr>
              <w:pStyle w:val="null3"/>
              <w:ind w:firstLine="482"/>
              <w:jc w:val="both"/>
            </w:pPr>
            <w:r>
              <w:rPr>
                <w:rFonts w:ascii="仿宋_GB2312" w:hAnsi="仿宋_GB2312" w:cs="仿宋_GB2312" w:eastAsia="仿宋_GB2312"/>
                <w:sz w:val="24"/>
                <w:b/>
              </w:rPr>
              <w:t>三、工期：</w:t>
            </w:r>
            <w:r>
              <w:rPr>
                <w:rFonts w:ascii="仿宋_GB2312" w:hAnsi="仿宋_GB2312" w:cs="仿宋_GB2312" w:eastAsia="仿宋_GB2312"/>
                <w:sz w:val="24"/>
              </w:rPr>
              <w:t>合同签订后</w:t>
            </w:r>
            <w:r>
              <w:rPr>
                <w:rFonts w:ascii="仿宋_GB2312" w:hAnsi="仿宋_GB2312" w:cs="仿宋_GB2312" w:eastAsia="仿宋_GB2312"/>
                <w:sz w:val="24"/>
              </w:rPr>
              <w:t>60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四、清单编制中应说明的问题</w:t>
            </w:r>
          </w:p>
          <w:p>
            <w:pPr>
              <w:pStyle w:val="null3"/>
              <w:ind w:firstLine="480"/>
              <w:jc w:val="both"/>
            </w:pPr>
            <w:r>
              <w:rPr>
                <w:rFonts w:ascii="仿宋_GB2312" w:hAnsi="仿宋_GB2312" w:cs="仿宋_GB2312" w:eastAsia="仿宋_GB2312"/>
                <w:sz w:val="24"/>
              </w:rPr>
              <w:t>本工程清单计价表采用广联达计价软件</w:t>
            </w:r>
            <w:r>
              <w:rPr>
                <w:rFonts w:ascii="仿宋_GB2312" w:hAnsi="仿宋_GB2312" w:cs="仿宋_GB2312" w:eastAsia="仿宋_GB2312"/>
                <w:sz w:val="24"/>
              </w:rPr>
              <w:t>GBQ7.0，版 7.5000.23.3</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质量标准：</w:t>
            </w:r>
          </w:p>
          <w:p>
            <w:pPr>
              <w:pStyle w:val="null3"/>
            </w:pPr>
            <w:r>
              <w:rPr>
                <w:rFonts w:ascii="仿宋_GB2312" w:hAnsi="仿宋_GB2312" w:cs="仿宋_GB2312" w:eastAsia="仿宋_GB2312"/>
                <w:sz w:val="24"/>
              </w:rPr>
              <w:t xml:space="preserve">   达到国家现行行业施工验收规范</w:t>
            </w:r>
            <w:r>
              <w:rPr>
                <w:rFonts w:ascii="仿宋_GB2312" w:hAnsi="仿宋_GB2312" w:cs="仿宋_GB2312" w:eastAsia="仿宋_GB2312"/>
                <w:sz w:val="24"/>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2.资质证明文件（参考格式）.docx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已标价工程量清单 1.服务要求响应表.docx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三、赋分标准（满分12分）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供应商提供针对本项目实际需求编制的确保工期的技术组织措施，内容包含：①工期计划；②关键节点工期分析；③延误工期补救措施。 二、评审标准 1.完整性：内容必须全面，对评审内容中的各项要求有详细描述； 2.可实施性：切合本项目实际情况，提出步骤清晰、合理的方案； 3.针对性：方案能够紧扣项目实际情况，内容科学合理。 三、赋分标准（满分9分） ①工期计划：每完全满足一项评审标准得1分，有瑕疵得0.5 分，满分3分； ②关键节点工期分析：每完全满足一项评审标准得1分，有瑕疵得0.5 分，满分3分； ③延误工期补救措施：每完全满足一项评审标准得1分，有瑕疵得0.5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三、赋分标准（满分9分） ①工程质量目标：每完全满足一个评审标准得1分，有瑕疵得0.5 分，有缺项漏项得 0 分。满分3分； ②施工质量保障措施：每完全满足一个评审标准得1分，有瑕疵得0.5 分，有缺项漏项得 0 分。满分3分； ③施工质量检验制度：每完全满足一个评审标准得1分，有瑕疵得0.5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二、评审标准 1.完整性：内容必须全面，对评审内容中的各项要求有详细描述； 2.可实施性：切合本项目实际情况，提出步骤清晰、合理的方案； 3.针对性：方案能够紧扣项目实际情况，内容科学合理。 三、赋分标准（满分9分） ①安全管理体系及文明施工管理制度：每完全满足一个评审标准得1分，有瑕疵得0.5 分，有缺项漏项得 0 分。满分3分； ②安全标识、安全教育培训、文明施工检查措施：每完全满足一个评审标准得1分，有瑕疵得0.5 分，有缺项漏项得 0 分。满分3分；③环境保护控制措施：每完全满足一个评审标准得1分，有瑕疵得0.5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一、评审内容 供应商提供针对本项目实际需求提供施工机械配备投入计划。 二、评审标准 1.完整性：内容必须全面，对评审内容中的要求有详细描述； 2.可实施性：切合本项目实际情况，提出步骤清晰、合理的方案； 3.针对性：方案能够紧扣项目实际情况，内容科学合理。 三、赋分标准（满分3分） 施工机械配备投入计划：每完全满足一个评审标准得1分，有瑕疵得0.5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供应商提供针对本项目提供应急预案，内容包括但不限于：①突发事件处理；②恶劣天气影响应急预案；③重大活动检查、临检应急预案等。 二、评审标准 1.完整性：内容必须全面，对评审内容中的各项要求有详细描述； 2.可实施性：切合本项目实际情况，提出步骤清晰、合理的方案； 3.针对性：方案能够紧扣项目实际情况，内容科学合理。 三、赋分标准（满分9分） ①突发事件处理：每完全满足一个评审标准得1分，有瑕疵得0.5 分，有缺项漏项得 0 分。满分3分； ②恶劣天气影响应急预案：每完全满足一个评审标准得1分，有瑕疵得0.5 分，有缺项漏项得 0 分。满分3分； ③重大活动检查、临检应急预案等：每完全满足一个评审标准得1分，有瑕疵得0.5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 二、评审标准 1.完整性：内容必须全面，对评审内容中的各项要求有详细描述； 2.可实施性：切合本项目实际情况，提出步骤清晰、合理的方案； 3.针对性：方案能够紧扣项目实际情况，内容科学合理。 三、赋分标准（满分9分） ①验收方案：每完全满足一个评审标准得1分，有瑕疵得0.5 分，有缺项漏项得 0 分。满分3分； ②维保措施：每完全满足一个评审标准得1分，有瑕疵得0.5 分，有缺项漏项得 0 分。满分3分； ③保修责任及保修承诺：每完全满足一个评审标准得1分，有瑕疵得0.5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供应商提供2023年1月起至今类似业绩合同，一个业绩2分（以合同签订时间为准），最高得10分。注：提供合同复印件并加盖单位公章。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详见附件：1.服务要求响应表.docx</w:t>
      </w:r>
    </w:p>
    <w:p>
      <w:pPr>
        <w:pStyle w:val="null3"/>
        <w:ind w:firstLine="960"/>
      </w:pPr>
      <w:r>
        <w:rPr>
          <w:rFonts w:ascii="仿宋_GB2312" w:hAnsi="仿宋_GB2312" w:cs="仿宋_GB2312" w:eastAsia="仿宋_GB2312"/>
        </w:rPr>
        <w:t>详见附件：2.资质证明文件（参考格式）.docx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