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版本号：SXWXZBDL2026-ZC-CS103920260827001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耕地质量调查监测土壤样品采集制备与检测项目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SXWXZBDL2026-ZC-CS1039</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耕地质量调查监测土壤样品采集制备与检测项目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耕地质量调查监测土壤样品采集制备与检测项目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耕地保护和粮食安全责任制考核、自然资源资产负债表编制和占补平衡政策调整等相关工作任务高质量落实，按照省农业农村厅办公室关于印发《陕西省耕地质量等级变更调查评价工作方案》的通知要求，每年在全市以县域为单位，开展耕地质量调查监测点位采样、制备及分析检测，为进行耕地质量等级变更调查评价提供基础数据支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采购包1（耕地质量调查监测土壤样品采集制备与检测项目）：属于专门面向中小企业采购。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2、资格证书：具备合法有效的CMA检验检测机构资质认定证书</w:t>
      </w:r>
    </w:p>
    <w:p>
      <w:pPr>
        <w:pStyle w:val="null3"/>
      </w:pPr>
      <w:r>
        <w:rPr>
          <w:rFonts w:ascii="仿宋_GB2312" w:hAnsi="仿宋_GB2312" w:cs="仿宋_GB2312" w:eastAsia="仿宋_GB2312"/>
        </w:rPr>
        <w:t>3、法定代表人身份证明/法定代表人授权委托书：法定代表人参加磋商的，须出具法定代表人身份证明书及身份证。法定代表人授权委托人参加磋商的，须出具法定代表人授权委托书及授权委托人身份证</w:t>
      </w:r>
    </w:p>
    <w:p>
      <w:pPr>
        <w:pStyle w:val="null3"/>
      </w:pPr>
      <w:r>
        <w:rPr>
          <w:rFonts w:ascii="仿宋_GB2312" w:hAnsi="仿宋_GB2312" w:cs="仿宋_GB2312" w:eastAsia="仿宋_GB2312"/>
        </w:rPr>
        <w:t>4、财务状况：提供供应商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pPr>
        <w:pStyle w:val="null3"/>
      </w:pPr>
      <w:r>
        <w:rPr>
          <w:rFonts w:ascii="仿宋_GB2312" w:hAnsi="仿宋_GB2312" w:cs="仿宋_GB2312" w:eastAsia="仿宋_GB2312"/>
        </w:rPr>
        <w:t>5、依法缴纳税收的证明：提供递交响应文件截止之日前一年内任意一个月的依法缴纳税收的相关凭据（时间以税款所属日期为准），依法免税或无须缴纳税收的供应商，应提供相应证明文件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6、依法缴纳社保的证明：提供递交响应文件截止之日前一年内任意一个月的社会保障资金缴纳证明，依法不需要缴纳社会保障资金的供应商应提供相关文件证明</w:t>
      </w:r>
    </w:p>
    <w:p>
      <w:pPr>
        <w:pStyle w:val="null3"/>
      </w:pPr>
      <w:r>
        <w:rPr>
          <w:rFonts w:ascii="仿宋_GB2312" w:hAnsi="仿宋_GB2312" w:cs="仿宋_GB2312" w:eastAsia="仿宋_GB2312"/>
        </w:rPr>
        <w:t>7、无重大违法记录的声明：参加政府采购活动前3年内在经营活动中没有重大违法记录的书面声明</w:t>
      </w:r>
    </w:p>
    <w:p>
      <w:pPr>
        <w:pStyle w:val="null3"/>
      </w:pPr>
      <w:r>
        <w:rPr>
          <w:rFonts w:ascii="仿宋_GB2312" w:hAnsi="仿宋_GB2312" w:cs="仿宋_GB2312" w:eastAsia="仿宋_GB2312"/>
        </w:rPr>
        <w:t>8、具备履行合同所必需的设备和专业技术能力的证明材料：提供具有履行合同所必需的设备和专业技术能力的承诺</w:t>
      </w:r>
    </w:p>
    <w:p>
      <w:pPr>
        <w:pStyle w:val="null3"/>
      </w:pPr>
      <w:r>
        <w:rPr>
          <w:rFonts w:ascii="仿宋_GB2312" w:hAnsi="仿宋_GB2312" w:cs="仿宋_GB2312" w:eastAsia="仿宋_GB2312"/>
        </w:rPr>
        <w:t>9、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pPr>
        <w:pStyle w:val="null3"/>
      </w:pPr>
      <w:r>
        <w:rPr>
          <w:rFonts w:ascii="仿宋_GB2312" w:hAnsi="仿宋_GB2312" w:cs="仿宋_GB2312" w:eastAsia="仿宋_GB2312"/>
        </w:rPr>
        <w:t>10、控股管理关系：单位负责人为同一人或者存在直接控股、管理关系的不同供应商，不得参加本次采购活动</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029-67097471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18392608347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招标代理服务收费管理暂行办法》（计价格[2002]1980号）和国家发展和改革委员会办公厅颁发的《关于招标代理服务收费有关问题的通知》（发改办价格[2003]857号）执行标准计取。（单个项目按照标准收取不足6000元的，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联系电话：18392608347</w:t>
      </w:r>
    </w:p>
    <w:p>
      <w:pPr>
        <w:pStyle w:val="null3"/>
      </w:pPr>
      <w:r>
        <w:rPr>
          <w:rFonts w:ascii="仿宋_GB2312" w:hAnsi="仿宋_GB2312" w:cs="仿宋_GB2312" w:eastAsia="仿宋_GB2312"/>
        </w:rPr>
        <w:t>地址：西安市莲湖区北关正街35号方兴大厦4-018室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耕地保护和粮食安全责任制考核、自然资源资产负债表编制和占补平衡政策调整等相关工作任务高质量落实，按照省农业农村厅办公室关于印发《陕西省耕地质量等级变更调查评价工作方案》的通知要求，每年在全市以县域为单位，开展耕地质量调查监测点位采样、制备及分析检测，为进行耕地质量等级变更调查评价提供基础数据支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耕地质量调查监测土壤样品采集制备与检测项目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标的名称：耕地质量调查监测土壤样品采集制备与检测项目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right="285" w:firstLine="660"/>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为确保耕地保护和粮食安全责任制考核、自然资源资产负债表编制和占补平衡政策调整等相关工作任务高质量落实，按照省农业农村厅办公室关于印发《陕西省耕地质量等级变更调查评价工作方案》的通知要求，每年在全市以县域为单位，开展耕地质量调查监测点位采样、制备及分析检测，为进行耕地质量等级变更调查评价提供基础数据支持。</w:t>
            </w:r>
          </w:p>
          <w:p>
            <w:pPr>
              <w:pStyle w:val="null3"/>
              <w:spacing w:before="45"/>
              <w:ind w:right="285" w:firstLine="660"/>
            </w:pPr>
            <w:r>
              <w:rPr>
                <w:rFonts w:ascii="仿宋_GB2312" w:hAnsi="仿宋_GB2312" w:cs="仿宋_GB2312" w:eastAsia="仿宋_GB2312"/>
                <w:sz w:val="21"/>
                <w:b/>
              </w:rPr>
              <w:t>二、服务内容</w:t>
            </w:r>
          </w:p>
          <w:p>
            <w:pPr>
              <w:pStyle w:val="null3"/>
              <w:ind w:firstLine="420"/>
              <w:jc w:val="both"/>
            </w:pPr>
            <w:r>
              <w:rPr>
                <w:rFonts w:ascii="仿宋_GB2312" w:hAnsi="仿宋_GB2312" w:cs="仿宋_GB2312" w:eastAsia="仿宋_GB2312"/>
                <w:sz w:val="21"/>
              </w:rPr>
              <w:t>样点采集调查</w:t>
            </w:r>
            <w:r>
              <w:rPr>
                <w:rFonts w:ascii="仿宋_GB2312" w:hAnsi="仿宋_GB2312" w:cs="仿宋_GB2312" w:eastAsia="仿宋_GB2312"/>
                <w:sz w:val="21"/>
              </w:rPr>
              <w:t>323</w:t>
            </w:r>
            <w:r>
              <w:rPr>
                <w:rFonts w:ascii="仿宋_GB2312" w:hAnsi="仿宋_GB2312" w:cs="仿宋_GB2312" w:eastAsia="仿宋_GB2312"/>
                <w:sz w:val="21"/>
              </w:rPr>
              <w:t>个，样品检测</w:t>
            </w:r>
            <w:r>
              <w:rPr>
                <w:rFonts w:ascii="仿宋_GB2312" w:hAnsi="仿宋_GB2312" w:cs="仿宋_GB2312" w:eastAsia="仿宋_GB2312"/>
                <w:sz w:val="21"/>
              </w:rPr>
              <w:t>340</w:t>
            </w:r>
            <w:r>
              <w:rPr>
                <w:rFonts w:ascii="仿宋_GB2312" w:hAnsi="仿宋_GB2312" w:cs="仿宋_GB2312" w:eastAsia="仿宋_GB2312"/>
                <w:sz w:val="21"/>
              </w:rPr>
              <w:t>个，其中，</w:t>
            </w:r>
            <w:r>
              <w:rPr>
                <w:rFonts w:ascii="仿宋_GB2312" w:hAnsi="仿宋_GB2312" w:cs="仿宋_GB2312" w:eastAsia="仿宋_GB2312"/>
                <w:sz w:val="21"/>
              </w:rPr>
              <w:t>323</w:t>
            </w:r>
            <w:r>
              <w:rPr>
                <w:rFonts w:ascii="仿宋_GB2312" w:hAnsi="仿宋_GB2312" w:cs="仿宋_GB2312" w:eastAsia="仿宋_GB2312"/>
                <w:sz w:val="21"/>
              </w:rPr>
              <w:t>个样品检测容重、质地、</w:t>
            </w:r>
            <w:r>
              <w:rPr>
                <w:rFonts w:ascii="仿宋_GB2312" w:hAnsi="仿宋_GB2312" w:cs="仿宋_GB2312" w:eastAsia="仿宋_GB2312"/>
                <w:sz w:val="21"/>
              </w:rPr>
              <w:t>pH</w:t>
            </w:r>
            <w:r>
              <w:rPr>
                <w:rFonts w:ascii="仿宋_GB2312" w:hAnsi="仿宋_GB2312" w:cs="仿宋_GB2312" w:eastAsia="仿宋_GB2312"/>
                <w:sz w:val="21"/>
              </w:rPr>
              <w:t>、有机质、全氮、有效磷、速效钾、缓效钾</w:t>
            </w:r>
            <w:r>
              <w:rPr>
                <w:rFonts w:ascii="仿宋_GB2312" w:hAnsi="仿宋_GB2312" w:cs="仿宋_GB2312" w:eastAsia="仿宋_GB2312"/>
                <w:sz w:val="21"/>
              </w:rPr>
              <w:t>8</w:t>
            </w:r>
            <w:r>
              <w:rPr>
                <w:rFonts w:ascii="仿宋_GB2312" w:hAnsi="仿宋_GB2312" w:cs="仿宋_GB2312" w:eastAsia="仿宋_GB2312"/>
                <w:sz w:val="21"/>
              </w:rPr>
              <w:t>个指标，</w:t>
            </w:r>
            <w:r>
              <w:rPr>
                <w:rFonts w:ascii="仿宋_GB2312" w:hAnsi="仿宋_GB2312" w:cs="仿宋_GB2312" w:eastAsia="仿宋_GB2312"/>
                <w:sz w:val="21"/>
              </w:rPr>
              <w:t>17</w:t>
            </w:r>
            <w:r>
              <w:rPr>
                <w:rFonts w:ascii="仿宋_GB2312" w:hAnsi="仿宋_GB2312" w:cs="仿宋_GB2312" w:eastAsia="仿宋_GB2312"/>
                <w:sz w:val="21"/>
              </w:rPr>
              <w:t>个样品检测</w:t>
            </w:r>
            <w:r>
              <w:rPr>
                <w:rFonts w:ascii="仿宋_GB2312" w:hAnsi="仿宋_GB2312" w:cs="仿宋_GB2312" w:eastAsia="仿宋_GB2312"/>
                <w:sz w:val="21"/>
              </w:rPr>
              <w:t>pH</w:t>
            </w:r>
            <w:r>
              <w:rPr>
                <w:rFonts w:ascii="仿宋_GB2312" w:hAnsi="仿宋_GB2312" w:cs="仿宋_GB2312" w:eastAsia="仿宋_GB2312"/>
                <w:sz w:val="21"/>
              </w:rPr>
              <w:t>、有机质、全氮、有效磷、速效钾、缓效钾</w:t>
            </w:r>
            <w:r>
              <w:rPr>
                <w:rFonts w:ascii="仿宋_GB2312" w:hAnsi="仿宋_GB2312" w:cs="仿宋_GB2312" w:eastAsia="仿宋_GB2312"/>
                <w:sz w:val="21"/>
              </w:rPr>
              <w:t>6</w:t>
            </w:r>
            <w:r>
              <w:rPr>
                <w:rFonts w:ascii="仿宋_GB2312" w:hAnsi="仿宋_GB2312" w:cs="仿宋_GB2312" w:eastAsia="仿宋_GB2312"/>
                <w:sz w:val="21"/>
              </w:rPr>
              <w:t>个指标。</w:t>
            </w:r>
          </w:p>
          <w:p>
            <w:pPr>
              <w:pStyle w:val="null3"/>
              <w:ind w:firstLine="420"/>
              <w:jc w:val="both"/>
            </w:pPr>
            <w:r>
              <w:rPr>
                <w:rFonts w:ascii="仿宋_GB2312" w:hAnsi="仿宋_GB2312" w:cs="仿宋_GB2312" w:eastAsia="仿宋_GB2312"/>
                <w:sz w:val="21"/>
              </w:rPr>
              <w:t>一是在全市灞桥区、阎良区、高陵区、长安区、临潼区、鄠邑区、蓝田县、周至县、未央区等</w:t>
            </w:r>
            <w:r>
              <w:rPr>
                <w:rFonts w:ascii="仿宋_GB2312" w:hAnsi="仿宋_GB2312" w:cs="仿宋_GB2312" w:eastAsia="仿宋_GB2312"/>
                <w:sz w:val="21"/>
              </w:rPr>
              <w:t>9</w:t>
            </w:r>
            <w:r>
              <w:rPr>
                <w:rFonts w:ascii="仿宋_GB2312" w:hAnsi="仿宋_GB2312" w:cs="仿宋_GB2312" w:eastAsia="仿宋_GB2312"/>
                <w:sz w:val="21"/>
              </w:rPr>
              <w:t>个区县，以县域为单位，根据不同类型布设调查与采样点位。二是布点原则为常规利用区每</w:t>
            </w:r>
            <w:r>
              <w:rPr>
                <w:rFonts w:ascii="仿宋_GB2312" w:hAnsi="仿宋_GB2312" w:cs="仿宋_GB2312" w:eastAsia="仿宋_GB2312"/>
                <w:sz w:val="21"/>
              </w:rPr>
              <w:t>10000</w:t>
            </w:r>
            <w:r>
              <w:rPr>
                <w:rFonts w:ascii="仿宋_GB2312" w:hAnsi="仿宋_GB2312" w:cs="仿宋_GB2312" w:eastAsia="仿宋_GB2312"/>
                <w:sz w:val="21"/>
              </w:rPr>
              <w:t>亩耕地不少于</w:t>
            </w:r>
            <w:r>
              <w:rPr>
                <w:rFonts w:ascii="仿宋_GB2312" w:hAnsi="仿宋_GB2312" w:cs="仿宋_GB2312" w:eastAsia="仿宋_GB2312"/>
                <w:sz w:val="21"/>
              </w:rPr>
              <w:t>1</w:t>
            </w:r>
            <w:r>
              <w:rPr>
                <w:rFonts w:ascii="仿宋_GB2312" w:hAnsi="仿宋_GB2312" w:cs="仿宋_GB2312" w:eastAsia="仿宋_GB2312"/>
                <w:sz w:val="21"/>
              </w:rPr>
              <w:t>个点；质量建设区和耕地占补区每</w:t>
            </w:r>
            <w:r>
              <w:rPr>
                <w:rFonts w:ascii="仿宋_GB2312" w:hAnsi="仿宋_GB2312" w:cs="仿宋_GB2312" w:eastAsia="仿宋_GB2312"/>
                <w:sz w:val="21"/>
              </w:rPr>
              <w:t>1000</w:t>
            </w:r>
            <w:r>
              <w:rPr>
                <w:rFonts w:ascii="仿宋_GB2312" w:hAnsi="仿宋_GB2312" w:cs="仿宋_GB2312" w:eastAsia="仿宋_GB2312"/>
                <w:sz w:val="21"/>
              </w:rPr>
              <w:t>亩耕地不少于</w:t>
            </w:r>
            <w:r>
              <w:rPr>
                <w:rFonts w:ascii="仿宋_GB2312" w:hAnsi="仿宋_GB2312" w:cs="仿宋_GB2312" w:eastAsia="仿宋_GB2312"/>
                <w:sz w:val="21"/>
              </w:rPr>
              <w:t>1</w:t>
            </w:r>
            <w:r>
              <w:rPr>
                <w:rFonts w:ascii="仿宋_GB2312" w:hAnsi="仿宋_GB2312" w:cs="仿宋_GB2312" w:eastAsia="仿宋_GB2312"/>
                <w:sz w:val="21"/>
              </w:rPr>
              <w:t>个点；损毁破坏区每</w:t>
            </w:r>
            <w:r>
              <w:rPr>
                <w:rFonts w:ascii="仿宋_GB2312" w:hAnsi="仿宋_GB2312" w:cs="仿宋_GB2312" w:eastAsia="仿宋_GB2312"/>
                <w:sz w:val="21"/>
              </w:rPr>
              <w:t>200</w:t>
            </w:r>
            <w:r>
              <w:rPr>
                <w:rFonts w:ascii="仿宋_GB2312" w:hAnsi="仿宋_GB2312" w:cs="仿宋_GB2312" w:eastAsia="仿宋_GB2312"/>
                <w:sz w:val="21"/>
              </w:rPr>
              <w:t>亩耕地不少于</w:t>
            </w:r>
            <w:r>
              <w:rPr>
                <w:rFonts w:ascii="仿宋_GB2312" w:hAnsi="仿宋_GB2312" w:cs="仿宋_GB2312" w:eastAsia="仿宋_GB2312"/>
                <w:sz w:val="21"/>
              </w:rPr>
              <w:t>1</w:t>
            </w:r>
            <w:r>
              <w:rPr>
                <w:rFonts w:ascii="仿宋_GB2312" w:hAnsi="仿宋_GB2312" w:cs="仿宋_GB2312" w:eastAsia="仿宋_GB2312"/>
                <w:sz w:val="21"/>
              </w:rPr>
              <w:t>个点。三是以县域为单位，每年开展</w:t>
            </w:r>
            <w:r>
              <w:rPr>
                <w:rFonts w:ascii="仿宋_GB2312" w:hAnsi="仿宋_GB2312" w:cs="仿宋_GB2312" w:eastAsia="仿宋_GB2312"/>
                <w:sz w:val="21"/>
              </w:rPr>
              <w:t>1</w:t>
            </w:r>
            <w:r>
              <w:rPr>
                <w:rFonts w:ascii="仿宋_GB2312" w:hAnsi="仿宋_GB2312" w:cs="仿宋_GB2312" w:eastAsia="仿宋_GB2312"/>
                <w:sz w:val="21"/>
              </w:rPr>
              <w:t>次调查采样及分析检测工作。</w:t>
            </w:r>
          </w:p>
          <w:p>
            <w:pPr>
              <w:pStyle w:val="null3"/>
              <w:spacing w:before="45"/>
              <w:ind w:right="285" w:firstLine="660"/>
            </w:pPr>
            <w:r>
              <w:rPr>
                <w:rFonts w:ascii="仿宋_GB2312" w:hAnsi="仿宋_GB2312" w:cs="仿宋_GB2312" w:eastAsia="仿宋_GB2312"/>
                <w:sz w:val="21"/>
                <w:b/>
              </w:rPr>
              <w:t>三、技术要求</w:t>
            </w:r>
          </w:p>
          <w:p>
            <w:pPr>
              <w:pStyle w:val="null3"/>
              <w:ind w:firstLine="420"/>
              <w:jc w:val="both"/>
            </w:pPr>
            <w:r>
              <w:rPr>
                <w:rFonts w:ascii="仿宋_GB2312" w:hAnsi="仿宋_GB2312" w:cs="仿宋_GB2312" w:eastAsia="仿宋_GB2312"/>
                <w:sz w:val="21"/>
              </w:rPr>
              <w:t>本项目执行《耕地质量监测技术规范》、《陕西省耕地质量等级变更调查评价工作方案》，在全市</w:t>
            </w:r>
            <w:r>
              <w:rPr>
                <w:rFonts w:ascii="仿宋_GB2312" w:hAnsi="仿宋_GB2312" w:cs="仿宋_GB2312" w:eastAsia="仿宋_GB2312"/>
                <w:sz w:val="21"/>
              </w:rPr>
              <w:t>9</w:t>
            </w:r>
            <w:r>
              <w:rPr>
                <w:rFonts w:ascii="仿宋_GB2312" w:hAnsi="仿宋_GB2312" w:cs="仿宋_GB2312" w:eastAsia="仿宋_GB2312"/>
                <w:sz w:val="21"/>
              </w:rPr>
              <w:t>个区县开展土壤样品采集、制备与检测。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严格按照布点规则布设</w:t>
            </w:r>
            <w:r>
              <w:rPr>
                <w:rFonts w:ascii="仿宋_GB2312" w:hAnsi="仿宋_GB2312" w:cs="仿宋_GB2312" w:eastAsia="仿宋_GB2312"/>
                <w:sz w:val="21"/>
              </w:rPr>
              <w:t>323</w:t>
            </w:r>
            <w:r>
              <w:rPr>
                <w:rFonts w:ascii="仿宋_GB2312" w:hAnsi="仿宋_GB2312" w:cs="仿宋_GB2312" w:eastAsia="仿宋_GB2312"/>
                <w:sz w:val="21"/>
              </w:rPr>
              <w:t>个调查采样点位：常规利用区每</w:t>
            </w:r>
            <w:r>
              <w:rPr>
                <w:rFonts w:ascii="仿宋_GB2312" w:hAnsi="仿宋_GB2312" w:cs="仿宋_GB2312" w:eastAsia="仿宋_GB2312"/>
                <w:sz w:val="21"/>
              </w:rPr>
              <w:t>10000</w:t>
            </w:r>
            <w:r>
              <w:rPr>
                <w:rFonts w:ascii="仿宋_GB2312" w:hAnsi="仿宋_GB2312" w:cs="仿宋_GB2312" w:eastAsia="仿宋_GB2312"/>
                <w:sz w:val="21"/>
              </w:rPr>
              <w:t>亩不少于</w:t>
            </w:r>
            <w:r>
              <w:rPr>
                <w:rFonts w:ascii="仿宋_GB2312" w:hAnsi="仿宋_GB2312" w:cs="仿宋_GB2312" w:eastAsia="仿宋_GB2312"/>
                <w:sz w:val="21"/>
              </w:rPr>
              <w:t>1</w:t>
            </w:r>
            <w:r>
              <w:rPr>
                <w:rFonts w:ascii="仿宋_GB2312" w:hAnsi="仿宋_GB2312" w:cs="仿宋_GB2312" w:eastAsia="仿宋_GB2312"/>
                <w:sz w:val="21"/>
              </w:rPr>
              <w:t>个点；质量建设区、耕地占补区每</w:t>
            </w:r>
            <w:r>
              <w:rPr>
                <w:rFonts w:ascii="仿宋_GB2312" w:hAnsi="仿宋_GB2312" w:cs="仿宋_GB2312" w:eastAsia="仿宋_GB2312"/>
                <w:sz w:val="21"/>
              </w:rPr>
              <w:t>1000</w:t>
            </w:r>
            <w:r>
              <w:rPr>
                <w:rFonts w:ascii="仿宋_GB2312" w:hAnsi="仿宋_GB2312" w:cs="仿宋_GB2312" w:eastAsia="仿宋_GB2312"/>
                <w:sz w:val="21"/>
              </w:rPr>
              <w:t>亩不少于</w:t>
            </w:r>
            <w:r>
              <w:rPr>
                <w:rFonts w:ascii="仿宋_GB2312" w:hAnsi="仿宋_GB2312" w:cs="仿宋_GB2312" w:eastAsia="仿宋_GB2312"/>
                <w:sz w:val="21"/>
              </w:rPr>
              <w:t>1</w:t>
            </w:r>
            <w:r>
              <w:rPr>
                <w:rFonts w:ascii="仿宋_GB2312" w:hAnsi="仿宋_GB2312" w:cs="仿宋_GB2312" w:eastAsia="仿宋_GB2312"/>
                <w:sz w:val="21"/>
              </w:rPr>
              <w:t>个点；损毁破坏区每</w:t>
            </w:r>
            <w:r>
              <w:rPr>
                <w:rFonts w:ascii="仿宋_GB2312" w:hAnsi="仿宋_GB2312" w:cs="仿宋_GB2312" w:eastAsia="仿宋_GB2312"/>
                <w:sz w:val="21"/>
              </w:rPr>
              <w:t>200</w:t>
            </w:r>
            <w:r>
              <w:rPr>
                <w:rFonts w:ascii="仿宋_GB2312" w:hAnsi="仿宋_GB2312" w:cs="仿宋_GB2312" w:eastAsia="仿宋_GB2312"/>
                <w:sz w:val="21"/>
              </w:rPr>
              <w:t>亩不少于</w:t>
            </w:r>
            <w:r>
              <w:rPr>
                <w:rFonts w:ascii="仿宋_GB2312" w:hAnsi="仿宋_GB2312" w:cs="仿宋_GB2312" w:eastAsia="仿宋_GB2312"/>
                <w:sz w:val="21"/>
              </w:rPr>
              <w:t>1</w:t>
            </w:r>
            <w:r>
              <w:rPr>
                <w:rFonts w:ascii="仿宋_GB2312" w:hAnsi="仿宋_GB2312" w:cs="仿宋_GB2312" w:eastAsia="仿宋_GB2312"/>
                <w:sz w:val="21"/>
              </w:rPr>
              <w:t>个点。开展地块</w:t>
            </w:r>
            <w:r>
              <w:rPr>
                <w:rFonts w:ascii="仿宋_GB2312" w:hAnsi="仿宋_GB2312" w:cs="仿宋_GB2312" w:eastAsia="仿宋_GB2312"/>
                <w:sz w:val="21"/>
              </w:rPr>
              <w:t>立地条件、基础设施等现场调查，不同区域按规范补充专项调查内容。</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完成</w:t>
            </w:r>
            <w:r>
              <w:rPr>
                <w:rFonts w:ascii="仿宋_GB2312" w:hAnsi="仿宋_GB2312" w:cs="仿宋_GB2312" w:eastAsia="仿宋_GB2312"/>
                <w:sz w:val="21"/>
              </w:rPr>
              <w:t>323</w:t>
            </w:r>
            <w:r>
              <w:rPr>
                <w:rFonts w:ascii="仿宋_GB2312" w:hAnsi="仿宋_GB2312" w:cs="仿宋_GB2312" w:eastAsia="仿宋_GB2312"/>
                <w:sz w:val="21"/>
              </w:rPr>
              <w:t>个土壤样品检测容重、质地、</w:t>
            </w:r>
            <w:r>
              <w:rPr>
                <w:rFonts w:ascii="仿宋_GB2312" w:hAnsi="仿宋_GB2312" w:cs="仿宋_GB2312" w:eastAsia="仿宋_GB2312"/>
                <w:sz w:val="21"/>
              </w:rPr>
              <w:t>pH</w:t>
            </w:r>
            <w:r>
              <w:rPr>
                <w:rFonts w:ascii="仿宋_GB2312" w:hAnsi="仿宋_GB2312" w:cs="仿宋_GB2312" w:eastAsia="仿宋_GB2312"/>
                <w:sz w:val="21"/>
              </w:rPr>
              <w:t>、有机质、全氮、有效磷、速效钾、缓效钾共</w:t>
            </w:r>
            <w:r>
              <w:rPr>
                <w:rFonts w:ascii="仿宋_GB2312" w:hAnsi="仿宋_GB2312" w:cs="仿宋_GB2312" w:eastAsia="仿宋_GB2312"/>
                <w:sz w:val="21"/>
              </w:rPr>
              <w:t>8</w:t>
            </w:r>
            <w:r>
              <w:rPr>
                <w:rFonts w:ascii="仿宋_GB2312" w:hAnsi="仿宋_GB2312" w:cs="仿宋_GB2312" w:eastAsia="仿宋_GB2312"/>
                <w:sz w:val="21"/>
              </w:rPr>
              <w:t>项指标；</w:t>
            </w:r>
            <w:r>
              <w:rPr>
                <w:rFonts w:ascii="仿宋_GB2312" w:hAnsi="仿宋_GB2312" w:cs="仿宋_GB2312" w:eastAsia="仿宋_GB2312"/>
                <w:sz w:val="21"/>
              </w:rPr>
              <w:t>17</w:t>
            </w:r>
            <w:r>
              <w:rPr>
                <w:rFonts w:ascii="仿宋_GB2312" w:hAnsi="仿宋_GB2312" w:cs="仿宋_GB2312" w:eastAsia="仿宋_GB2312"/>
                <w:sz w:val="21"/>
              </w:rPr>
              <w:t>个样品检测</w:t>
            </w:r>
            <w:r>
              <w:rPr>
                <w:rFonts w:ascii="仿宋_GB2312" w:hAnsi="仿宋_GB2312" w:cs="仿宋_GB2312" w:eastAsia="仿宋_GB2312"/>
                <w:sz w:val="21"/>
              </w:rPr>
              <w:t>pH</w:t>
            </w:r>
            <w:r>
              <w:rPr>
                <w:rFonts w:ascii="仿宋_GB2312" w:hAnsi="仿宋_GB2312" w:cs="仿宋_GB2312" w:eastAsia="仿宋_GB2312"/>
                <w:sz w:val="21"/>
              </w:rPr>
              <w:t>、有机质、全氮、有效磷、速效钾、缓效钾共</w:t>
            </w:r>
            <w:r>
              <w:rPr>
                <w:rFonts w:ascii="仿宋_GB2312" w:hAnsi="仿宋_GB2312" w:cs="仿宋_GB2312" w:eastAsia="仿宋_GB2312"/>
                <w:sz w:val="21"/>
              </w:rPr>
              <w:t>6</w:t>
            </w:r>
            <w:r>
              <w:rPr>
                <w:rFonts w:ascii="仿宋_GB2312" w:hAnsi="仿宋_GB2312" w:cs="仿宋_GB2312" w:eastAsia="仿宋_GB2312"/>
                <w:sz w:val="21"/>
              </w:rPr>
              <w:t>项指标，合计检测</w:t>
            </w:r>
            <w:r>
              <w:rPr>
                <w:rFonts w:ascii="仿宋_GB2312" w:hAnsi="仿宋_GB2312" w:cs="仿宋_GB2312" w:eastAsia="仿宋_GB2312"/>
                <w:sz w:val="21"/>
              </w:rPr>
              <w:t>340</w:t>
            </w:r>
            <w:r>
              <w:rPr>
                <w:rFonts w:ascii="仿宋_GB2312" w:hAnsi="仿宋_GB2312" w:cs="仿宋_GB2312" w:eastAsia="仿宋_GB2312"/>
                <w:sz w:val="21"/>
              </w:rPr>
              <w:t>个样品。</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土壤采样、样品制备、实验室检测全流程严格执行行业标准，检测数据真实、可溯源，留存原始记录。</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输出完整样点信息表、调查记录表、检测结果数据表，成果格式满足省厅上报要求，为耕地质量等级评价提供基础数据。</w:t>
            </w:r>
          </w:p>
          <w:p>
            <w:pPr>
              <w:pStyle w:val="null3"/>
              <w:spacing w:before="45"/>
              <w:ind w:right="285" w:firstLine="660"/>
            </w:pPr>
            <w:r>
              <w:rPr>
                <w:rFonts w:ascii="仿宋_GB2312" w:hAnsi="仿宋_GB2312" w:cs="仿宋_GB2312" w:eastAsia="仿宋_GB2312"/>
                <w:sz w:val="21"/>
                <w:b/>
              </w:rPr>
              <w:t>四、服务要求</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组建专项项目组，作业、检测人员具备土壤调查检测相关工作能力，参照省厅第三方服务模式实施本项目。</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做好与市、区县业务部门对接，按项目节点报送阶段性成果，接受采购人审核；上级反馈问题须在规定时限完成整改。</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完整归档外业资料、原始检测记录，验收时一并移交采购人。</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做好采样点位信息、土壤检测数据保密，不得私自外传、挪作他用。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自合同签订之日起至2026年11月前结束。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1、为保证项目顺利备案，成交供应商在领取纸质版成交通知书时，需提供纸质版响应文件一正两副，电子版一份。 2、检测费以银行转账方式支付，甲方向乙方支付每一笔价款前，乙方应向甲方开具等额、合法并符合甲方财务要求的增值税普通发票，否则，甲方有权拒绝付款并不承担任何逾期付款的违约责任。 3、乙方保证账户信息准确、合法，乙方变更账户信息的应提前十日书面通知甲方，否则，由此给双方造成的损失均由乙方承担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具备合法有效的CMA检验检测机构资质认定证书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法定代表人参加磋商的，须出具法定代表人身份证明书及身份证。法定代表人授权委托人参加磋商的，须出具法定代表人授权委托书及授权委托人身份证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依法缴纳税收的证明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依法缴纳社保的证明</w:t>
            </w:r>
          </w:p>
        </w:tc>
        <w:tc>
          <w:tcPr>
            <w:tcW w:type="dxa" w:w="3322"/>
          </w:tcPr>
          <w:p>
            <w:pPr>
              <w:pStyle w:val="null3"/>
            </w:pPr>
            <w:r>
              <w:rPr>
                <w:rFonts w:ascii="仿宋_GB2312" w:hAnsi="仿宋_GB2312" w:cs="仿宋_GB2312" w:eastAsia="仿宋_GB2312"/>
              </w:rPr>
              <w:t>提供递交响应文件截止之日前一年内任意一个月的社会保障资金缴纳证明，依法不需要缴纳社会保障资金的供应商应提供相关文件证明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w:t>
            </w:r>
          </w:p>
        </w:tc>
        <w:tc>
          <w:tcPr>
            <w:tcW w:type="dxa" w:w="3322"/>
          </w:tcPr>
          <w:p>
            <w:pPr>
              <w:pStyle w:val="null3"/>
            </w:pPr>
            <w:r>
              <w:rPr>
                <w:rFonts w:ascii="仿宋_GB2312" w:hAnsi="仿宋_GB2312" w:cs="仿宋_GB2312" w:eastAsia="仿宋_GB2312"/>
              </w:rPr>
              <w:t>完全理解并响应采购文件要求的各项技术（服务），且未含有采购人不能接受的附加条件的。</w:t>
            </w:r>
          </w:p>
        </w:tc>
        <w:tc>
          <w:tcPr>
            <w:tcW w:type="dxa" w:w="1661"/>
          </w:tcPr>
          <w:p>
            <w:pPr>
              <w:pStyle w:val="null3"/>
            </w:pPr>
            <w:r>
              <w:rPr>
                <w:rFonts w:ascii="仿宋_GB2312" w:hAnsi="仿宋_GB2312" w:cs="仿宋_GB2312" w:eastAsia="仿宋_GB2312"/>
              </w:rPr>
              <w:t>技术偏离表.docx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商务条款（如服务期限、付款方式、响应有效期等）</w:t>
            </w:r>
          </w:p>
        </w:tc>
        <w:tc>
          <w:tcPr>
            <w:tcW w:type="dxa" w:w="3322"/>
          </w:tcPr>
          <w:p>
            <w:pPr>
              <w:pStyle w:val="null3"/>
            </w:pPr>
            <w:r>
              <w:rPr>
                <w:rFonts w:ascii="仿宋_GB2312" w:hAnsi="仿宋_GB2312" w:cs="仿宋_GB2312" w:eastAsia="仿宋_GB2312"/>
              </w:rPr>
              <w:t>完全理解并响应采购文件商务条款的要求，且未含有采购人不能接受的附加条件的。</w:t>
            </w:r>
          </w:p>
        </w:tc>
        <w:tc>
          <w:tcPr>
            <w:tcW w:type="dxa" w:w="1661"/>
          </w:tcPr>
          <w:p>
            <w:pPr>
              <w:pStyle w:val="null3"/>
            </w:pPr>
            <w:r>
              <w:rPr>
                <w:rFonts w:ascii="仿宋_GB2312" w:hAnsi="仿宋_GB2312" w:cs="仿宋_GB2312" w:eastAsia="仿宋_GB2312"/>
              </w:rPr>
              <w:t>标的清单 报价表 响应函 商务偏离表.docx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项目检测能力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检验项目应当覆盖本次所列参数项目需求。供应商针对拟检验项目检测技术指标通过CMA认证，提交项目明细附表。符合率100%得8分；符合率85%-99%得4分；低于85%不得分。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提出针对本项目的总体方案，内容包括①服务内容分析及目标②服务工作范围及工作方法③重难点分析及解决方案 二、评审标准 1、完整性：方案须全面，对评审内容中的各项要求有详细描述及说明； 2、可实施性：切合本项目实际情况，实施步骤清晰、合理； 3、针对性：方案能够紧扣项目实际情况，内容科学合理。 三、赋分标准（满分9分） ①服务内容分析及目标：每完全满足一项评审标准得1分，存在瑕疵得0.5分，满分3 分； ②服务工作范围及工作方法：每完全满足一项评审标准得1分，存在瑕疵得0.5分，满分3 分； ③重难点分析及解决方案：每完全满足一项评审标准得1分，存在瑕疵得0.5分，满分3 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提出针对本项目的服务方案，包含①现场调查②样品采集制备③样品分析检测 二、评审标准 1、完整性：方案须全面，对评审内容中的各项要求有详细描述及说明； 2、可实施性：切合本项目实际情况，实施步骤清晰、合理； 3、针对性：方案能够紧扣项目实际情况，内容科学合理。 三、赋分标准（满分18分） ①现场调查：每完全满足一项评审标准得2分，存在瑕疵得1分，满分6分； ②样品采集制备：每完全满足一项评审标准得2分，存在瑕疵得1分，满分6分； ③样品分析检测：每完全满足一项评审标准得2分，存在瑕疵得1分，满分6分。 瑕疵是指存在不完全满足评分标准，但项目仍可实施。</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提出针对本项目的保障方案，包含①安全保障方案②保密保障方案③质量保障方案 二、评审标准 1、完整性：方案须全面，对评审内容中的各项要求有详细描述及说明； 2、可实施性：切合本项目实际情况，实施步骤清晰、合理； 3、针对性：方案能够紧扣项目实际情况，内容科学合理。 三、赋分标准（满分9分） ①安全保障方案：每完全满足一项评审标准得1分，存在瑕疵得0.5分，满分3分； ②保密保障方案：每完全满足一项评审标准得1分，存在瑕疵得0.5分，满分3分； ③质量保障方案：每完全满足一项评审标准得1分，存在瑕疵得0.5分，满分3分。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工作成果</w:t>
            </w:r>
          </w:p>
        </w:tc>
        <w:tc>
          <w:tcPr>
            <w:tcW w:type="dxa" w:w="2492"/>
          </w:tcPr>
          <w:p>
            <w:pPr>
              <w:pStyle w:val="null3"/>
            </w:pPr>
            <w:r>
              <w:rPr>
                <w:rFonts w:ascii="仿宋_GB2312" w:hAnsi="仿宋_GB2312" w:cs="仿宋_GB2312" w:eastAsia="仿宋_GB2312"/>
              </w:rPr>
              <w:t>供应商针对本项目提供的工作成果内容、报告处理及送达时效方案。 根据供应商所描述方案的完整性、可实施性、针对性进行评审。 方案同时满足完整性、可实施性、针对性三项评审标准的，得4分； 方案的完整性、可实施性、针对性其中有一项评审标准有瑕疵，得3分； 方案的完整性、可实施性、针对性其中有两项评审标准有瑕疵，得2分； 方案的完整性、可实施性、针对性其中有三项评审标准有瑕疵，得1分。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实验室管理制度</w:t>
            </w:r>
          </w:p>
        </w:tc>
        <w:tc>
          <w:tcPr>
            <w:tcW w:type="dxa" w:w="2492"/>
          </w:tcPr>
          <w:p>
            <w:pPr>
              <w:pStyle w:val="null3"/>
            </w:pPr>
            <w:r>
              <w:rPr>
                <w:rFonts w:ascii="仿宋_GB2312" w:hAnsi="仿宋_GB2312" w:cs="仿宋_GB2312" w:eastAsia="仿宋_GB2312"/>
              </w:rPr>
              <w:t>实验室管理制度包括： ①“抽检分离”相关制度；②异议处理、复检交接等相关制度； ③检后样品保管制度；④全过程质量管理制度；⑤事故分析和责任追究制度。每提供一条得1分，最高得5分。未提供得不得分。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w:t>
            </w:r>
          </w:p>
        </w:tc>
        <w:tc>
          <w:tcPr>
            <w:tcW w:type="dxa" w:w="2492"/>
          </w:tcPr>
          <w:p>
            <w:pPr>
              <w:pStyle w:val="null3"/>
            </w:pPr>
            <w:r>
              <w:rPr>
                <w:rFonts w:ascii="仿宋_GB2312" w:hAnsi="仿宋_GB2312" w:cs="仿宋_GB2312" w:eastAsia="仿宋_GB2312"/>
              </w:rPr>
              <w:t>具有满足本项目检测要求的本地化实验室得2分。提供相关证明材料。未提供不得分。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针对本项目拟投入的设备、仪器</w:t>
            </w:r>
          </w:p>
        </w:tc>
        <w:tc>
          <w:tcPr>
            <w:tcW w:type="dxa" w:w="2492"/>
          </w:tcPr>
          <w:p>
            <w:pPr>
              <w:pStyle w:val="null3"/>
            </w:pPr>
            <w:r>
              <w:rPr>
                <w:rFonts w:ascii="仿宋_GB2312" w:hAnsi="仿宋_GB2312" w:cs="仿宋_GB2312" w:eastAsia="仿宋_GB2312"/>
              </w:rPr>
              <w:t>提出针对本项目拟投入的设备、仪器，根据供应商所提供设备、仪器的完整性、可实施性、针对性进行评审。 所提供设备、仪器同时满足完整性、可实施性、针对性三项评审标准的，得5分； 所提供设备、仪器的完整性、可实施性、针对性其中有一项评审标准不满足，得3分； 所提供设备、仪器的完整性、可实施性、针对性其中有两项评审标准不满足，得1分； 其他或未提供得不得分。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针对本项目提供合理化建议每提供一条得1分，最高得3分。未提供得不得分。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1、项目负责人（满分6分）： ①具有与本项目相关专业本科及以上学历得2分； ②具有相关专业高级及以上职称（资格）证书得2分，具有相关专业中级职称（资格）证书得1分； ③具有相关工作经验得2分（提供相关证明材料）。 2、项目团队（满分6分）：拟投入本项目团队人员具有相关专业中级及以上职称（资格）证书得1分，最高得6分。 以上人员须提供人员稳定在职证明（如劳动合同或社保缴纳证明），不提供不得分。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提出针对本项目的人员管理方案： ①工作标准：具有岗位工作标准、服务质量标准得1分； ②内控制度：具有问责机制、监督机制、自查制度得1分； ③人员管理制度：具有员工日常管理办法、请销假制度、奖惩措施、激励机制得1分。 未提供得不得分。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1、承诺接受采购人对本项目服务的考核、监督及管理，定期调研采购人对服务质量的满意度并加以改进，确保服务工作的优质高效，得1分。无承诺不得分。 2、承诺上岗人员固定，不随意更换，若出现服务人员因事、病等不能工作的，能及时调整其他服务人员补充，可保障临时性工作 需要及突发事件处置，确保服务工作的正常进行，得1分。无承诺不得分。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供应商提供自2023年1月1日至今具有同类项目业绩，每提供一个得2分，满分10分。 注：业绩证明以中标通知书或合同复印件加盖公章为依据。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