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版本号：LZBC2026-650（XDZ2026-95-J-24）20260622002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2026年土地（专项债）征收储备供应计划编制及土地房产评估服务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LZBC2026-650（XDZ2026-95-J-24）</w:t>
      </w:r>
      <w:r>
        <w:br/>
      </w:r>
      <w:r>
        <w:br/>
      </w:r>
      <w:r>
        <w:br/>
      </w:r>
    </w:p>
    <w:p>
      <w:pPr>
        <w:pStyle w:val="null3"/>
        <w:jc w:val="center"/>
        <w:outlineLvl w:val="2"/>
      </w:pPr>
      <w:r>
        <w:rPr>
          <w:rFonts w:ascii="仿宋_GB2312" w:hAnsi="仿宋_GB2312" w:cs="仿宋_GB2312" w:eastAsia="仿宋_GB2312"/>
          <w:sz w:val="28"/>
          <w:b/>
        </w:rPr>
        <w:t>西安高新技术产业开发区土地储备中心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西安高新技术产业开发区土地储备中心</w:t>
      </w:r>
      <w:r>
        <w:rPr>
          <w:rFonts w:ascii="仿宋_GB2312" w:hAnsi="仿宋_GB2312" w:cs="仿宋_GB2312" w:eastAsia="仿宋_GB2312"/>
        </w:rPr>
        <w:t>委托，拟对</w:t>
      </w:r>
      <w:r>
        <w:rPr>
          <w:rFonts w:ascii="仿宋_GB2312" w:hAnsi="仿宋_GB2312" w:cs="仿宋_GB2312" w:eastAsia="仿宋_GB2312"/>
        </w:rPr>
        <w:t>2026年土地（专项债）征收储备供应计划编制及土地房产评估服务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LZBC2026-650（XDZ2026-95-J-24）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2026年土地（专项债）征收储备供应计划编制及土地房产评估服务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2026年土地（专项债）征收储备供应计划编制及土地房产评估服务项目，具体详见招标文件。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p>
      <w:pPr>
        <w:pStyle w:val="null3"/>
      </w:pPr>
      <w:r>
        <w:rPr>
          <w:rFonts w:ascii="仿宋_GB2312" w:hAnsi="仿宋_GB2312" w:cs="仿宋_GB2312" w:eastAsia="仿宋_GB2312"/>
        </w:rPr>
        <w:t>3、财务状况报告：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p>
      <w:pPr>
        <w:pStyle w:val="null3"/>
      </w:pPr>
      <w:r>
        <w:rPr>
          <w:rFonts w:ascii="仿宋_GB2312" w:hAnsi="仿宋_GB2312" w:cs="仿宋_GB2312" w:eastAsia="仿宋_GB2312"/>
        </w:rPr>
        <w:t>4、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投标人需在项目电子化交易系统中按要求上传相应证明文件或提供《基本资格条件承诺函》并进行电子签章</w:t>
      </w:r>
    </w:p>
    <w:p>
      <w:pPr>
        <w:pStyle w:val="null3"/>
      </w:pPr>
      <w:r>
        <w:rPr>
          <w:rFonts w:ascii="仿宋_GB2312" w:hAnsi="仿宋_GB2312" w:cs="仿宋_GB2312" w:eastAsia="仿宋_GB2312"/>
        </w:rPr>
        <w:t>6、信用状况：投标人不得为“信用中国”网站（www.creditchina.gov.cn）中列入失信被执行人和重大税收违法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p>
      <w:pPr>
        <w:pStyle w:val="null3"/>
      </w:pPr>
      <w:r>
        <w:rPr>
          <w:rFonts w:ascii="仿宋_GB2312" w:hAnsi="仿宋_GB2312" w:cs="仿宋_GB2312" w:eastAsia="仿宋_GB2312"/>
        </w:rPr>
        <w:t>7、企业资质：投标人具有自然资源行政主管部门关于土地估价机构的备案函及住房和城乡建设主管部门关于房地产估价机构的备案书。投标人需在项目电子化交易系统中按要求上传相应证明文件并进行电子签章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p>
      <w:pPr>
        <w:pStyle w:val="null3"/>
      </w:pPr>
      <w:r>
        <w:rPr>
          <w:rFonts w:ascii="仿宋_GB2312" w:hAnsi="仿宋_GB2312" w:cs="仿宋_GB2312" w:eastAsia="仿宋_GB2312"/>
        </w:rPr>
        <w:t>3、财务状况报告：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p>
      <w:pPr>
        <w:pStyle w:val="null3"/>
      </w:pPr>
      <w:r>
        <w:rPr>
          <w:rFonts w:ascii="仿宋_GB2312" w:hAnsi="仿宋_GB2312" w:cs="仿宋_GB2312" w:eastAsia="仿宋_GB2312"/>
        </w:rPr>
        <w:t>4、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投标人需在项目电子化交易系统中按要求上传相应证明文件或提供《基本资格条件承诺函》并进行电子签章</w:t>
      </w:r>
    </w:p>
    <w:p>
      <w:pPr>
        <w:pStyle w:val="null3"/>
      </w:pPr>
      <w:r>
        <w:rPr>
          <w:rFonts w:ascii="仿宋_GB2312" w:hAnsi="仿宋_GB2312" w:cs="仿宋_GB2312" w:eastAsia="仿宋_GB2312"/>
        </w:rPr>
        <w:t>6、信用状况：投标人不得为“信用中国”网站（www.creditchina.gov.cn）中列入失信被执行人和重大税收违法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p>
      <w:pPr>
        <w:pStyle w:val="null3"/>
      </w:pPr>
      <w:r>
        <w:rPr>
          <w:rFonts w:ascii="仿宋_GB2312" w:hAnsi="仿宋_GB2312" w:cs="仿宋_GB2312" w:eastAsia="仿宋_GB2312"/>
        </w:rPr>
        <w:t>7、企业资质：投标人具有城乡规划编制乙级（含乙级）及以上资质。投标人需在项目电子化交易系统中按要求上传相应证明文件并进行电子签章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陕西省西安市高新区成章路丝路创智谷5号楼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张文越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029-81165140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代理服务费用收取对象：中标/中标人 代理服务费收费标准：参照国家计委关于印发《采购代理服务收费管理暂行办法的通知》（计价格[2002]1980号文件）、国家发改委办公厅颁发的《关于采购代理服务收费有关问题的通知》（发改办价格【2003】857号）文件等下浮15%收取，由成交/中标（中标）单位在领取成交（中标）通知书前向受托人支付采购代理服务费用。 采购包1计费基数为预算金额，采购包2计费基数为中标金额</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西安高新技术产业开发区土地储备中心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2026年土地（专项债）征收储备供应计划编制及土地房产评估服务项目，具体详见招标文件。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土地征收储备供应计划编制专项债实施方案编制及申报土地及房产评估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高新区土地征收储备供应计划以及专项债项目图件和数据库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标的名称：土地征收储备供应计划编制专项债实施方案编制及申报土地及房产评估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一、工作内容</w:t>
            </w:r>
          </w:p>
          <w:p>
            <w:pPr>
              <w:pStyle w:val="null3"/>
              <w:ind w:firstLine="400"/>
            </w:pPr>
            <w:r>
              <w:rPr>
                <w:rFonts w:ascii="仿宋_GB2312" w:hAnsi="仿宋_GB2312" w:cs="仿宋_GB2312" w:eastAsia="仿宋_GB2312"/>
              </w:rPr>
              <w:t>1.根据《陕西省自然资源厅办公室关于加快完成2026年度土地储备计划编制工作的通知》《西安市自然资源和规划局转发&lt;陕西省自然资源厅办公室关于加快完成2026年度土地储备计划编制工作的通知&gt;》等要求，开展高新区2026年土地征收储备供应计划编制技术服务及一表编制工作。</w:t>
            </w:r>
          </w:p>
          <w:p>
            <w:pPr>
              <w:pStyle w:val="null3"/>
              <w:ind w:firstLine="400"/>
            </w:pPr>
            <w:r>
              <w:rPr>
                <w:rFonts w:ascii="仿宋_GB2312" w:hAnsi="仿宋_GB2312" w:cs="仿宋_GB2312" w:eastAsia="仿宋_GB2312"/>
              </w:rPr>
              <w:t>2.《西安市自然资源和规划局关于报送土地储备专项债券项目申报材料有关事项的通知》，编制土地收储项目专项债实施方案及申报相关服务工作。</w:t>
            </w:r>
          </w:p>
          <w:p>
            <w:pPr>
              <w:pStyle w:val="null3"/>
              <w:ind w:firstLine="400"/>
            </w:pPr>
            <w:r>
              <w:rPr>
                <w:rFonts w:ascii="仿宋_GB2312" w:hAnsi="仿宋_GB2312" w:cs="仿宋_GB2312" w:eastAsia="仿宋_GB2312"/>
              </w:rPr>
              <w:t>3.根据《城镇土地估价规程》（GB/T 18508-2014）、《国土资源部办公厅关于印发&lt;国有建设用地使用权出让地价评估技术规范&gt;的通知》（国土资厅发〔2018〕4号）、 《房地产估价规范》（GB/T 50291-2015）等相关评估规范要求，以高新区近年来土地及房地产市场发展现状为基础，通过资料收集、市场调研和严密测算，开展土地及房产评估以及相关咨询服务工作。</w:t>
            </w:r>
          </w:p>
          <w:p>
            <w:pPr>
              <w:pStyle w:val="null3"/>
              <w:ind w:firstLine="400"/>
            </w:pPr>
            <w:r>
              <w:rPr>
                <w:rFonts w:ascii="仿宋_GB2312" w:hAnsi="仿宋_GB2312" w:cs="仿宋_GB2312" w:eastAsia="仿宋_GB2312"/>
              </w:rPr>
              <w:t>4.上级部门安排的与土地征收储备供应计划和专项债相关的其他事项。</w:t>
            </w:r>
          </w:p>
          <w:p>
            <w:pPr>
              <w:pStyle w:val="null3"/>
              <w:ind w:firstLine="400"/>
            </w:pPr>
            <w:r>
              <w:rPr>
                <w:rFonts w:ascii="仿宋_GB2312" w:hAnsi="仿宋_GB2312" w:cs="仿宋_GB2312" w:eastAsia="仿宋_GB2312"/>
              </w:rPr>
              <w:t>二、技术要求</w:t>
            </w:r>
          </w:p>
          <w:p>
            <w:pPr>
              <w:pStyle w:val="null3"/>
              <w:ind w:firstLine="400"/>
            </w:pPr>
            <w:r>
              <w:rPr>
                <w:rFonts w:ascii="仿宋_GB2312" w:hAnsi="仿宋_GB2312" w:cs="仿宋_GB2312" w:eastAsia="仿宋_GB2312"/>
              </w:rPr>
              <w:t>1. 投标人应严格按照《陕西省自然资源厅办公室关于加快完成2026年度土地储备计划编制工作的通知》《西安市自然资源和规划局转发&lt;陕西省自然资源厅办公室关于加快完成2026年度土地储备计划编制工作的通知&gt;》《西安市自然资源和规划局关于报送土地储备专项债券项目申报材料有关事项的通知》，完成高新区土地储备计划技术服务及一表编制、土地收储项目专项债实施方案编制工作；投标人应严格按照《城镇土地估价规程》《房地产估价规范》及招标人的委托要求，在规定时间内完成土地、房地产价格评估及相关咨询服务，并出具相应的《土地估价报告》《房地产估价报告》《咨询报告》。</w:t>
            </w:r>
          </w:p>
          <w:p>
            <w:pPr>
              <w:pStyle w:val="null3"/>
              <w:ind w:firstLine="400"/>
            </w:pPr>
            <w:r>
              <w:rPr>
                <w:rFonts w:ascii="仿宋_GB2312" w:hAnsi="仿宋_GB2312" w:cs="仿宋_GB2312" w:eastAsia="仿宋_GB2312"/>
              </w:rPr>
              <w:t>2.投标人应拥有足够的人力、财力、物力和专业技术能力等资源保证按时按质按量完成委托业务，在项目实施过程中不受付款的影响，积极履行“先交付成果后据实结算”的原则，不得因各项理由延误影响采购方工作。</w:t>
            </w:r>
          </w:p>
          <w:p>
            <w:pPr>
              <w:pStyle w:val="null3"/>
              <w:ind w:firstLine="400"/>
            </w:pPr>
            <w:r>
              <w:rPr>
                <w:rFonts w:ascii="仿宋_GB2312" w:hAnsi="仿宋_GB2312" w:cs="仿宋_GB2312" w:eastAsia="仿宋_GB2312"/>
              </w:rPr>
              <w:t>3.投标人应有健全的组织机构和内部管理制度，有完善的质量保证体系和安全管理制度。对涉及密级业务的技术资料、数据、保密信息等进行严格保密，一旦泄密，需承担相应法律责任。</w:t>
            </w:r>
          </w:p>
          <w:p>
            <w:pPr>
              <w:pStyle w:val="null3"/>
              <w:ind w:firstLine="400"/>
            </w:pPr>
            <w:r>
              <w:rPr>
                <w:rFonts w:ascii="仿宋_GB2312" w:hAnsi="仿宋_GB2312" w:cs="仿宋_GB2312" w:eastAsia="仿宋_GB2312"/>
              </w:rPr>
              <w:t>4.如被确认中标，投标人于投标文件中承诺配备的人员必须配备到位，若需更换人员应先征得招标人同意，且替换的人员不低于被替换的人员的资质等级及工作能力。</w:t>
            </w:r>
          </w:p>
          <w:p>
            <w:pPr>
              <w:pStyle w:val="null3"/>
              <w:ind w:firstLine="400"/>
            </w:pPr>
            <w:r>
              <w:rPr>
                <w:rFonts w:ascii="仿宋_GB2312" w:hAnsi="仿宋_GB2312" w:cs="仿宋_GB2312" w:eastAsia="仿宋_GB2312"/>
              </w:rPr>
              <w:t>★</w:t>
            </w:r>
            <w:r>
              <w:rPr>
                <w:rFonts w:ascii="仿宋_GB2312" w:hAnsi="仿宋_GB2312" w:cs="仿宋_GB2312" w:eastAsia="仿宋_GB2312"/>
              </w:rPr>
              <w:t>三、付款方式（因系统设置原因无法准确表述，实际支付方式如下）</w:t>
            </w:r>
          </w:p>
          <w:p>
            <w:pPr>
              <w:pStyle w:val="null3"/>
              <w:ind w:firstLine="400"/>
            </w:pPr>
            <w:r>
              <w:rPr>
                <w:rFonts w:ascii="仿宋_GB2312" w:hAnsi="仿宋_GB2312" w:cs="仿宋_GB2312" w:eastAsia="仿宋_GB2312"/>
              </w:rPr>
              <w:t>2026-2027年度土地征收储备供应计划编制工作经费，每半年在甲方收到乙方项目成果后，经甲方确认后，乙方向甲方提供全额增值税发票，甲方向乙方支付费用。</w:t>
            </w:r>
          </w:p>
          <w:p>
            <w:pPr>
              <w:pStyle w:val="null3"/>
              <w:ind w:firstLine="400"/>
            </w:pPr>
            <w:r>
              <w:rPr>
                <w:rFonts w:ascii="仿宋_GB2312" w:hAnsi="仿宋_GB2312" w:cs="仿宋_GB2312" w:eastAsia="仿宋_GB2312"/>
              </w:rPr>
              <w:t>2026年专项债实施方案编制及申报工作经费分三笔支付，具体为：专项债项目申报资料提交到省厅后支付总费用的40%；专项债项目申报资料提交到自然资源部后支付总费用的40%；专项债项目获部批准后支付总费用的20%。</w:t>
            </w:r>
          </w:p>
          <w:p>
            <w:pPr>
              <w:pStyle w:val="null3"/>
              <w:ind w:firstLine="400"/>
            </w:pPr>
            <w:r>
              <w:rPr>
                <w:rFonts w:ascii="仿宋_GB2312" w:hAnsi="仿宋_GB2312" w:cs="仿宋_GB2312" w:eastAsia="仿宋_GB2312"/>
              </w:rPr>
              <w:t>2026-2027年土地及房地产评估、相关咨询服务工作经费，经甲方确认后，乙方向甲方提供相关结算手续及全额增值税发票，甲方向乙方支付费用。</w:t>
            </w:r>
          </w:p>
          <w:p>
            <w:pPr>
              <w:pStyle w:val="null3"/>
              <w:ind w:firstLine="400"/>
            </w:pPr>
            <w:r>
              <w:rPr>
                <w:rFonts w:ascii="仿宋_GB2312" w:hAnsi="仿宋_GB2312" w:cs="仿宋_GB2312" w:eastAsia="仿宋_GB2312"/>
              </w:rPr>
              <w:t>付款前乙方向甲方提供相关结算手续及全额增值税发票。</w:t>
            </w:r>
          </w:p>
          <w:p>
            <w:pPr>
              <w:pStyle w:val="null3"/>
            </w:pPr>
            <w:r>
              <w:rPr>
                <w:rFonts w:ascii="仿宋_GB2312" w:hAnsi="仿宋_GB2312" w:cs="仿宋_GB2312" w:eastAsia="仿宋_GB2312"/>
              </w:rPr>
              <w:t xml:space="preserve">     </w:t>
            </w:r>
            <w:r>
              <w:rPr>
                <w:rFonts w:ascii="仿宋_GB2312" w:hAnsi="仿宋_GB2312" w:cs="仿宋_GB2312" w:eastAsia="仿宋_GB2312"/>
                <w:b/>
              </w:rPr>
              <w:t xml:space="preserve"> 四、报价</w:t>
            </w:r>
          </w:p>
          <w:p>
            <w:pPr>
              <w:pStyle w:val="null3"/>
            </w:pPr>
            <w:r>
              <w:rPr>
                <w:rFonts w:ascii="仿宋_GB2312" w:hAnsi="仿宋_GB2312" w:cs="仿宋_GB2312" w:eastAsia="仿宋_GB2312"/>
                <w:b/>
              </w:rPr>
              <w:t>（一）</w:t>
            </w:r>
            <w:r>
              <w:rPr>
                <w:rFonts w:ascii="仿宋_GB2312" w:hAnsi="仿宋_GB2312" w:cs="仿宋_GB2312" w:eastAsia="仿宋_GB2312"/>
                <w:b/>
              </w:rPr>
              <w:t>因系统设置原因无法同时填写金额报价及费率报价，各投标人在投标文件及系统中所有需填写总价的地方均填写本采购包预算金额</w:t>
            </w:r>
            <w:r>
              <w:rPr>
                <w:rFonts w:ascii="仿宋_GB2312" w:hAnsi="仿宋_GB2312" w:cs="仿宋_GB2312" w:eastAsia="仿宋_GB2312"/>
                <w:b/>
              </w:rPr>
              <w:t>1700000.00元整，若填写错误后果自负。</w:t>
            </w:r>
          </w:p>
          <w:p>
            <w:pPr>
              <w:pStyle w:val="null3"/>
              <w:ind w:firstLine="400"/>
            </w:pPr>
            <w:r>
              <w:rPr>
                <w:rFonts w:ascii="仿宋_GB2312" w:hAnsi="仿宋_GB2312" w:cs="仿宋_GB2312" w:eastAsia="仿宋_GB2312"/>
                <w:b/>
              </w:rPr>
              <w:t>1、</w:t>
            </w:r>
            <w:r>
              <w:rPr>
                <w:rFonts w:ascii="仿宋_GB2312" w:hAnsi="仿宋_GB2312" w:cs="仿宋_GB2312" w:eastAsia="仿宋_GB2312"/>
                <w:b/>
              </w:rPr>
              <w:t>2026-2027年度土地征收储备供应计划编制工作</w:t>
            </w:r>
            <w:r>
              <w:rPr>
                <w:rFonts w:ascii="仿宋_GB2312" w:hAnsi="仿宋_GB2312" w:cs="仿宋_GB2312" w:eastAsia="仿宋_GB2312"/>
                <w:b/>
              </w:rPr>
              <w:t>为固定金额报价；</w:t>
            </w:r>
          </w:p>
          <w:p>
            <w:pPr>
              <w:pStyle w:val="null3"/>
              <w:ind w:firstLine="400"/>
            </w:pPr>
            <w:r>
              <w:rPr>
                <w:rFonts w:ascii="仿宋_GB2312" w:hAnsi="仿宋_GB2312" w:cs="仿宋_GB2312" w:eastAsia="仿宋_GB2312"/>
                <w:b/>
              </w:rPr>
              <w:t>2、</w:t>
            </w:r>
            <w:r>
              <w:rPr>
                <w:rFonts w:ascii="仿宋_GB2312" w:hAnsi="仿宋_GB2312" w:cs="仿宋_GB2312" w:eastAsia="仿宋_GB2312"/>
                <w:b/>
              </w:rPr>
              <w:t>2026年专项债实施方案编制及申报工作</w:t>
            </w:r>
            <w:r>
              <w:rPr>
                <w:rFonts w:ascii="仿宋_GB2312" w:hAnsi="仿宋_GB2312" w:cs="仿宋_GB2312" w:eastAsia="仿宋_GB2312"/>
                <w:b/>
              </w:rPr>
              <w:t>为固定金额报价；</w:t>
            </w:r>
          </w:p>
          <w:p>
            <w:pPr>
              <w:pStyle w:val="null3"/>
              <w:ind w:firstLine="400"/>
            </w:pPr>
            <w:r>
              <w:rPr>
                <w:rFonts w:ascii="仿宋_GB2312" w:hAnsi="仿宋_GB2312" w:cs="仿宋_GB2312" w:eastAsia="仿宋_GB2312"/>
                <w:b/>
              </w:rPr>
              <w:t>3、</w:t>
            </w:r>
            <w:r>
              <w:rPr>
                <w:rFonts w:ascii="仿宋_GB2312" w:hAnsi="仿宋_GB2312" w:cs="仿宋_GB2312" w:eastAsia="仿宋_GB2312"/>
                <w:b/>
              </w:rPr>
              <w:t>2026-2027年土地及房地产评估、相关咨询服务工作</w:t>
            </w:r>
            <w:r>
              <w:rPr>
                <w:rFonts w:ascii="仿宋_GB2312" w:hAnsi="仿宋_GB2312" w:cs="仿宋_GB2312" w:eastAsia="仿宋_GB2312"/>
                <w:b/>
              </w:rPr>
              <w:t>为费率报价，</w:t>
            </w:r>
          </w:p>
          <w:p>
            <w:pPr>
              <w:pStyle w:val="null3"/>
              <w:ind w:firstLine="400"/>
            </w:pPr>
            <w:r>
              <w:rPr>
                <w:rFonts w:ascii="仿宋_GB2312" w:hAnsi="仿宋_GB2312" w:cs="仿宋_GB2312" w:eastAsia="仿宋_GB2312"/>
                <w:b/>
              </w:rPr>
              <w:t>费率在合同执行期间不做调整。最终支付金额根据实际发生的业务情况，进行据实结算</w:t>
            </w:r>
            <w:r>
              <w:rPr>
                <w:rFonts w:ascii="仿宋_GB2312" w:hAnsi="仿宋_GB2312" w:cs="仿宋_GB2312" w:eastAsia="仿宋_GB2312"/>
                <w:b/>
              </w:rPr>
              <w:t>。</w:t>
            </w:r>
          </w:p>
          <w:p>
            <w:pPr>
              <w:pStyle w:val="null3"/>
              <w:ind w:firstLine="400"/>
            </w:pPr>
            <w:r>
              <w:rPr>
                <w:rFonts w:ascii="仿宋_GB2312" w:hAnsi="仿宋_GB2312" w:cs="仿宋_GB2312" w:eastAsia="仿宋_GB2312"/>
                <w:b/>
              </w:rPr>
              <w:t>本采购包最终结算上限为本采购包预算金额</w:t>
            </w:r>
            <w:r>
              <w:rPr>
                <w:rFonts w:ascii="仿宋_GB2312" w:hAnsi="仿宋_GB2312" w:cs="仿宋_GB2312" w:eastAsia="仿宋_GB2312"/>
                <w:b/>
              </w:rPr>
              <w:t>1700000.00元整。</w:t>
            </w:r>
          </w:p>
          <w:p>
            <w:pPr>
              <w:pStyle w:val="null3"/>
            </w:pPr>
            <w:r>
              <w:rPr>
                <w:rFonts w:ascii="仿宋_GB2312" w:hAnsi="仿宋_GB2312" w:cs="仿宋_GB2312" w:eastAsia="仿宋_GB2312"/>
              </w:rPr>
              <w:t xml:space="preserve">     五、报价分共</w:t>
            </w:r>
            <w:r>
              <w:rPr>
                <w:rFonts w:ascii="仿宋_GB2312" w:hAnsi="仿宋_GB2312" w:cs="仿宋_GB2312" w:eastAsia="仿宋_GB2312"/>
              </w:rPr>
              <w:t>10分，分为固定金额报价部分（5分）及费率报价部分（5分），均按照下述方式进行计算：</w:t>
            </w:r>
          </w:p>
          <w:p>
            <w:pPr>
              <w:pStyle w:val="null3"/>
            </w:pPr>
            <w:r>
              <w:rPr>
                <w:rFonts w:ascii="仿宋_GB2312" w:hAnsi="仿宋_GB2312" w:cs="仿宋_GB2312" w:eastAsia="仿宋_GB2312"/>
              </w:rPr>
              <w:t>1.经初审合格的</w:t>
            </w:r>
            <w:r>
              <w:rPr>
                <w:rFonts w:ascii="仿宋_GB2312" w:hAnsi="仿宋_GB2312" w:cs="仿宋_GB2312" w:eastAsia="仿宋_GB2312"/>
              </w:rPr>
              <w:t>投标文件</w:t>
            </w:r>
            <w:r>
              <w:rPr>
                <w:rFonts w:ascii="仿宋_GB2312" w:hAnsi="仿宋_GB2312" w:cs="仿宋_GB2312" w:eastAsia="仿宋_GB2312"/>
              </w:rPr>
              <w:t>，其报价为有效投标价。</w:t>
            </w:r>
          </w:p>
          <w:p>
            <w:pPr>
              <w:pStyle w:val="null3"/>
            </w:pPr>
            <w:r>
              <w:rPr>
                <w:rFonts w:ascii="仿宋_GB2312" w:hAnsi="仿宋_GB2312" w:cs="仿宋_GB2312" w:eastAsia="仿宋_GB2312"/>
              </w:rPr>
              <w:t>2.</w:t>
            </w:r>
            <w:r>
              <w:rPr>
                <w:rFonts w:ascii="仿宋_GB2312" w:hAnsi="仿宋_GB2312" w:cs="仿宋_GB2312" w:eastAsia="仿宋_GB2312"/>
              </w:rPr>
              <w:t>有效最低报价为基准价得</w:t>
            </w:r>
            <w:r>
              <w:rPr>
                <w:rFonts w:ascii="仿宋_GB2312" w:hAnsi="仿宋_GB2312" w:cs="仿宋_GB2312" w:eastAsia="仿宋_GB2312"/>
              </w:rPr>
              <w:t>5</w:t>
            </w:r>
            <w:r>
              <w:rPr>
                <w:rFonts w:ascii="仿宋_GB2312" w:hAnsi="仿宋_GB2312" w:cs="仿宋_GB2312" w:eastAsia="仿宋_GB2312"/>
              </w:rPr>
              <w:t>分。</w:t>
            </w:r>
          </w:p>
          <w:p>
            <w:pPr>
              <w:pStyle w:val="null3"/>
              <w:jc w:val="both"/>
            </w:pPr>
            <w:r>
              <w:rPr>
                <w:rFonts w:ascii="仿宋_GB2312" w:hAnsi="仿宋_GB2312" w:cs="仿宋_GB2312" w:eastAsia="仿宋_GB2312"/>
                <w:sz w:val="21"/>
              </w:rPr>
              <w:t>3.按（有效最低报价/有效投标报价）×</w:t>
            </w:r>
            <w:r>
              <w:rPr>
                <w:rFonts w:ascii="仿宋_GB2312" w:hAnsi="仿宋_GB2312" w:cs="仿宋_GB2312" w:eastAsia="仿宋_GB2312"/>
                <w:sz w:val="21"/>
              </w:rPr>
              <w:t>5</w:t>
            </w:r>
            <w:r>
              <w:rPr>
                <w:rFonts w:ascii="仿宋_GB2312" w:hAnsi="仿宋_GB2312" w:cs="仿宋_GB2312" w:eastAsia="仿宋_GB2312"/>
                <w:sz w:val="21"/>
              </w:rPr>
              <w:t>的公式计算其得分。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标的名称：高新区土地征收储备供应计划以及专项债项目图件和数据库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按照《西安市土地储备条例》《关于印发规范土地征收拆迁安置储备供应工作实施办法（试行）的通知》要求，结合高新区确定土地储备的任务和方向，为</w:t>
            </w:r>
            <w:r>
              <w:rPr>
                <w:rFonts w:ascii="仿宋_GB2312" w:hAnsi="仿宋_GB2312" w:cs="仿宋_GB2312" w:eastAsia="仿宋_GB2312"/>
              </w:rPr>
              <w:t>2026年度土地征收、储备和供应计划及专项债提供相关技术服务。</w:t>
            </w:r>
          </w:p>
          <w:p>
            <w:pPr>
              <w:pStyle w:val="null3"/>
              <w:ind w:firstLine="400"/>
            </w:pPr>
            <w:r>
              <w:rPr>
                <w:rFonts w:ascii="仿宋_GB2312" w:hAnsi="仿宋_GB2312" w:cs="仿宋_GB2312" w:eastAsia="仿宋_GB2312"/>
              </w:rPr>
              <w:t>二、服务内容</w:t>
            </w:r>
          </w:p>
          <w:p>
            <w:pPr>
              <w:pStyle w:val="null3"/>
              <w:ind w:firstLine="400"/>
            </w:pPr>
            <w:r>
              <w:rPr>
                <w:rFonts w:ascii="仿宋_GB2312" w:hAnsi="仿宋_GB2312" w:cs="仿宋_GB2312" w:eastAsia="仿宋_GB2312"/>
              </w:rPr>
              <w:t>按照《陕西省自然资源厅办公室关于加快完成</w:t>
            </w:r>
            <w:r>
              <w:rPr>
                <w:rFonts w:ascii="仿宋_GB2312" w:hAnsi="仿宋_GB2312" w:cs="仿宋_GB2312" w:eastAsia="仿宋_GB2312"/>
              </w:rPr>
              <w:t>2026年度土地储备计划编制工作的通知》《西安市自然资源和规划局转发&lt;陕西省自然资源厅办公室关于加快完成2026年度土地储备计划编制工作的通知&gt;》等要求，对高新区拟实施的土地征、储、供项目进行分类汇总，形成土地征收储备供应项目分布图及专项债相关图纸，同步完成空间矢量数据整理，配合完成的土地征收储备供应项目规划单元“三图”，最终形成高新区土地征收储备供应计划及专项债图件和数据库。上级部门安排的与土地征收储备供应计划和专项债相关的其他事项。</w:t>
            </w:r>
          </w:p>
          <w:p>
            <w:pPr>
              <w:pStyle w:val="null3"/>
              <w:ind w:firstLine="400"/>
            </w:pPr>
            <w:r>
              <w:rPr>
                <w:rFonts w:ascii="仿宋_GB2312" w:hAnsi="仿宋_GB2312" w:cs="仿宋_GB2312" w:eastAsia="仿宋_GB2312"/>
              </w:rPr>
              <w:t>三、技术要求</w:t>
            </w:r>
          </w:p>
          <w:p>
            <w:pPr>
              <w:pStyle w:val="null3"/>
              <w:ind w:firstLine="400"/>
            </w:pPr>
            <w:r>
              <w:rPr>
                <w:rFonts w:ascii="仿宋_GB2312" w:hAnsi="仿宋_GB2312" w:cs="仿宋_GB2312" w:eastAsia="仿宋_GB2312"/>
              </w:rPr>
              <w:t>符合《西安市土地储备条例》《关于印发规范土地征收拆迁安置储备供应工作实施办法（试行）的通知》要求。</w:t>
            </w:r>
          </w:p>
          <w:p>
            <w:pPr>
              <w:pStyle w:val="null3"/>
              <w:ind w:firstLine="400"/>
            </w:pPr>
            <w:r>
              <w:rPr>
                <w:rFonts w:ascii="仿宋_GB2312" w:hAnsi="仿宋_GB2312" w:cs="仿宋_GB2312" w:eastAsia="仿宋_GB2312"/>
              </w:rPr>
              <w:t>★</w:t>
            </w:r>
            <w:r>
              <w:rPr>
                <w:rFonts w:ascii="仿宋_GB2312" w:hAnsi="仿宋_GB2312" w:cs="仿宋_GB2312" w:eastAsia="仿宋_GB2312"/>
              </w:rPr>
              <w:t>四、付款方式（因系统设置原因无法准确表述，实际支付方式如下）</w:t>
            </w:r>
          </w:p>
          <w:p>
            <w:pPr>
              <w:pStyle w:val="null3"/>
              <w:jc w:val="both"/>
            </w:pPr>
            <w:r>
              <w:rPr>
                <w:rFonts w:ascii="仿宋_GB2312" w:hAnsi="仿宋_GB2312" w:cs="仿宋_GB2312" w:eastAsia="仿宋_GB2312"/>
                <w:sz w:val="21"/>
              </w:rPr>
              <w:t>每半年甲方收到乙方项目成果后，经甲方确认后，乙方向甲方提供全额增值税发票，甲方向乙方支付费用。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以技术参数为准，达到付款条件起30个工作日内，支付合同总金额的50.0%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以技术参数为准，达到付款条件起30个工作日内，支付合同总金额的50.0%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以技术参数为准，达到付款条件起30个工作日内，支付合同总金额的50.0%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以技术参数为准，达到付款条件起30个工作日内，支付合同总金额的50.0%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划分标准：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根据《西安高新区财政金融局关于开展政府采购供应商基本资格条件承诺制试点工作的通知（西高财函〔2024〕111号）》，简化对供应商资格条件等的形式审查，供应商只需以书面形式提供规定格式的《基本资格条件承诺函》(详见投标文件格式第六部分),即可替代以下材料：（1）财务状况报告(表)或其基本开户银行出具的资信证明材料；（2）依法缴纳税收的证明材料；（3）缴纳社会保障金的证明材料；（4）具有履行合同所必需的设备和专业技术能力的证明材料；（5）参加政府采购活动前三年内，在经营活动中没有重大违法记录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中小企业声明函 残疾人福利性单位声明函 商务应答表 服务方案 服务内容及服务要求应答表 标的清单 投标文件封面 采购包1格式.docx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投标人应提交的相关资格证明材料 监狱企业的证明文件 采购包2格式.docx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中小企业声明函 残疾人福利性单位声明函 商务应答表 服务方案 服务内容及服务要求应答表 标的清单 投标文件封面 投标人应提交的相关资格证明材料 监狱企业的证明文件 采购包2格式.docx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投标人具有自然资源行政主管部门关于土地估价机构的备案函及住房和城乡建设主管部门关于房地产估价机构的备案书。投标人需在项目电子化交易系统中按要求上传相应证明文件并进行电子签章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投标人具有城乡规划编制乙级（含乙级）及以上资质。投标人需在项目电子化交易系统中按要求上传相应证明文件并进行电子签章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标的清单 服务内容及服务要求应答表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投标文件签署、签章、有效性</w:t>
            </w:r>
          </w:p>
        </w:tc>
        <w:tc>
          <w:tcPr>
            <w:tcW w:type="dxa" w:w="3322"/>
          </w:tcPr>
          <w:p>
            <w:pPr>
              <w:pStyle w:val="null3"/>
            </w:pPr>
            <w:r>
              <w:rPr>
                <w:rFonts w:ascii="仿宋_GB2312" w:hAnsi="仿宋_GB2312" w:cs="仿宋_GB2312" w:eastAsia="仿宋_GB2312"/>
              </w:rPr>
              <w:t>投标文件签署、盖章均按招标文件要求签字、盖章，且无招标文件不接受的情形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采购包1格式.docx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标的清单 服务内容及服务要求应答表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投标文件签署、签章、有效性</w:t>
            </w:r>
          </w:p>
        </w:tc>
        <w:tc>
          <w:tcPr>
            <w:tcW w:type="dxa" w:w="3322"/>
          </w:tcPr>
          <w:p>
            <w:pPr>
              <w:pStyle w:val="null3"/>
            </w:pPr>
            <w:r>
              <w:rPr>
                <w:rFonts w:ascii="仿宋_GB2312" w:hAnsi="仿宋_GB2312" w:cs="仿宋_GB2312" w:eastAsia="仿宋_GB2312"/>
              </w:rPr>
              <w:t>投标文件签署、盖章均按招标文件要求签字、盖章，且无招标文件不接受的情形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 采购包2格式.docx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 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②需求分析：每完全满足一个评审标准得1分，满分3分； ③项目重难点分析：每完全满足一个评审标准得1分，满分3分。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 ①总体工作方案②项目实施计划③组织实施方案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三、赋分标准（满分18分） ①总体工作方案：每完全满足一个评审标准得2分，满分6分； ②项目实施计划：每完全满足一个评审标准得2分，满分6分； ③组织实施方案：每完全满足一个评审标准得2分，满分6分。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 ①质量保证措施②进度控制措施 二、评审标准 1、完整性：方案必须全面，对评审内容中的各项要求有详细描述； 2、可实施性：切合本项目实际情况，提出步骤清晰、合理的方案； 3、针对性：方案能够紧扣项目实际情况，内容科学合理。 三、赋分标准（满分12分） ①质量保证措施：每完全满足一个评审标准得2分，满分6分； ②进度控制措施：每完全满足一个评审标准得2分，满分6分。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 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①服务承诺：每完全满足一个评审标准得1分，满分3分； ②应急预案：每完全满足一个评审标准得1分，满分3分； ③应急保障措施：每完全满足一个评审标准得1分，满分3分。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一、评审内容 针对本项目提出适用于本项目的服务方案，方案包括： ①安全保证措施；②风险防范措施； 二、评审标准 1、完整性：方案必须全面，对评审内容中的各项要求有详细描述； 2、可实施性：切合本项目实际情况，提出步骤清晰、合理的方案； 3、针对性：方案能够紧扣项目实际情况，内容科学合理。 三、赋分标准（满分6分） ①安全保证措施：每完全满足一个评审标准得1分，满分3分； ②风险防范措施：每完全满足一个评审标准得1分，满分3分；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针对本项目实际需求，提供实质性的合理化建议。每提供1项，得1分，满分4分。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一、评审内容：供应商结合本项目实际，提供项目负责人服务能力方案，至少包含： ①项目负责人统筹管理思路； ②项目负责人服务保障承诺。须提供项目负责人相关证明材料，包括但不限于职称证书、专业证书、从业经历等。 二、分项评审标准： 完整性：方案内容完整、要素齐全；证明材料齐全有效。 可实施性：方案合理可行、便于落地实施。 针对性：符合本项目实际需求与建设目标，专业能力匹配度高。三、赋分标准（满分6分）： ①项目负责人统筹管理思路：每满足一个分项评审标准得 1 分，满分3分； ②项目负责人服务保障承诺：每满足一个分项评审标准得1分，满分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一、评审内容：供应商结合本项目实际，提供项目团队配置与服务方案，至少包含： ①团队专业配置与技术能力； ②团队人员分工与岗位职责； ③团队服务响应与保障措施； ④团队稳定性与履约保障。 须提供团队成员相关证明材料，包括但不限于职称证书、专业证书、学历证书、从业经历等。 二、分项评审标准： 完整性：方案内容完整、要素齐全；证明材料齐全有效。 可实施性：方案合理可行、便于落地实施。 针对性：符合本项目实际需求与建设目标，专业配置匹配度高。三、赋分标准（满分12分）： ①团队专业配置与技术能力：每满足一个分项评审标准得 1分，满分 3分； ②团队人员分工与岗位职责：每满足一个分项评审标准得1分，满分 3分； ③团队服务响应与保障措施：每满足一个分项评审标准得1分，满分 3分； ④团队稳定性与履约保障：每满足一个分项评审标准得 1 分，满分 3 分；未提供该项内容不得分。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针对本项目提出适用于本项目的售后服务方案，包括： ①售后服务内容②保障措施 二、评审标准 1、完整性：方案必须全面，对评审内容中的各项要求有详细描述； 2、可实施性：切合本项目实际情况，提出步骤清晰、合理的方案； 3、针对性：方案能够紧扣项目实际情况，内容科学合理。 三、赋分标准（满分6分） ①售后服务内容：每完全满足一个评审标准得1分，满分3分； ②保障措施：每完全满足一个评审标准得1分，满分3分。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2023年1月1日至今类似项目业绩，以投标人提供的合同或中标（成交）通知书复印件（或扫描件）为准（日期以合同签订时间或中标（成交）通知书时间为准），每提供一份得2分，满分8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采购包1格式.docx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采购包1格式.docx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采购包1格式.docx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 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②需求分析：每完全满足一个评审标准得1分，满分3分； ③项目重难点分析：每完全满足一个评审标准得1分，满分3分。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 ①总体工作方案②项目实施计划③组织实施方案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三、赋分标准（满分18分） ①总体工作方案：每完全满足一个评审标准得2分，满分6分； ②项目实施计划：每完全满足一个评审标准得2分，满分6分； ③组织实施方案：每完全满足一个评审标准得2分，满分6分。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 ①质量保证措施②进度控制措施 二、评审标准 1、完整性：方案必须全面，对评审内容中的各项要求有详细描述； 2、可实施性：切合本项目实际情况，提出步骤清晰、合理的方案； 3、针对性：方案能够紧扣项目实际情况，内容科学合理。 三、赋分标准（满分12分） ①质量保证措施：每完全满足一个评审标准得2分，满分6分； ②进度控制措施：每完全满足一个评审标准得2分，满分6分。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 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①服务承诺：每完全满足一个评审标准得1分，满分3分； ②应急预案：每完全满足一个评审标准得1分，满分3分； ③应急保障措施：每完全满足一个评审标准得1分，满分3分。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一、评审内容 针对本项目提出适用于本项目的服务方案，方案包括： ①安全保证措施；②风险防范措施； 二、评审标准 1、完整性：方案必须全面，对评审内容中的各项要求有详细描述； 2、可实施性：切合本项目实际情况，提出步骤清晰、合理的方案； 3、针对性：方案能够紧扣项目实际情况，内容科学合理。 三、赋分标准（满分6分） ①安全保证措施：每完全满足一个评审标准得1分，满分3分； ②风险防范措施：每完全满足一个评审标准得1分，满分3分；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针对本项目实际需求，提供实质性的合理化建议。每提供1项，得1分，满分4分。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一、评审内容：供应商结合本项目实际，提供项目负责人服务能力方案，至少包含： ①项目负责人统筹管理思路； ②项目负责人服务保障承诺。须提供项目负责人相关证明材料，包括但不限于职称证书、专业证书、从业经历等。 二、分项评审标准： 完整性：方案内容完整、要素齐全；证明材料齐全有效。 可实施性：方案合理可行、便于落地实施。 针对性：符合本项目实际需求与建设目标，专业能力匹配度高。三、赋分标准（满分12分）： ①项目负责人统筹管理思路：每满足一个分项评审标准得 2 分，满分6分； ②项目负责人服务保障承诺：每满足一个分项评审标准得2分，满分 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一、评审内容：供应商结合本项目实际，提供项目团队配置与服务方案，至少包含： ①团队专业配置与技术能力； ②团队人员分工与岗位职责； ③团队服务响应与保障措施； ④团队稳定性与履约保障。 须提供团队成员相关证明材料，包括但不限于职称证书、专业证书、学历证书、从业经历等。 二、分项评审标准： 完整性：方案内容完整、要素齐全；证明材料齐全有效。 可实施性：方案合理可行、便于落地实施。 针对性：符合本项目实际需求与建设目标，专业配置匹配度高。三、赋分标准（满分12分）： ①团队专业配置与技术能力：每满足一个分项评审标准得 1 分，满分 3分； ②团队人员分工与岗位职责：每满足一个分项评审标准得1分，满分 3分； ③团队服务响应与保障措施：每满足一个分项评审标准得1分，满分 3分； ④团队稳定性与履约保障：每满足一个分项评审标准得 1 分，满分 3 分；未提供该项内容不得分。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2023年1月1日至今类似项目业绩，以投标人提供的合同或中标（成交）通知书复印件（或扫描件）为准（日期以合同签订时间或中标（成交）通知书时间为准），每提供一份得2分，满分8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采购包2格式.docx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采购包2格式.docx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采购包2格式.docx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详见附件：采购包1格式.docx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详见附件：采购包2格式.docx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