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BA39B">
      <w:pPr>
        <w:keepNext w:val="0"/>
        <w:keepLines w:val="0"/>
        <w:pageBreakBefore w:val="0"/>
        <w:widowControl/>
        <w:kinsoku/>
        <w:wordWrap/>
        <w:overflowPunct/>
        <w:topLinePunct w:val="0"/>
        <w:autoSpaceDE/>
        <w:autoSpaceDN/>
        <w:bidi w:val="0"/>
        <w:adjustRightInd/>
        <w:snapToGrid/>
        <w:spacing w:line="360" w:lineRule="auto"/>
        <w:ind w:left="0" w:right="0" w:firstLine="883" w:firstLineChars="200"/>
        <w:jc w:val="center"/>
        <w:textAlignment w:val="baseline"/>
        <w:outlineLvl w:val="0"/>
        <w:rPr>
          <w:rFonts w:hint="eastAsia" w:ascii="仿宋" w:hAnsi="仿宋" w:eastAsia="仿宋" w:cs="仿宋"/>
          <w:b/>
          <w:bCs/>
          <w:color w:val="auto"/>
          <w:sz w:val="24"/>
          <w:szCs w:val="24"/>
          <w:highlight w:val="none"/>
          <w:lang w:val="en-US" w:eastAsia="zh-CN"/>
        </w:rPr>
      </w:pPr>
      <w:r>
        <w:rPr>
          <w:rStyle w:val="6"/>
          <w:rFonts w:hint="eastAsia" w:ascii="仿宋" w:hAnsi="仿宋" w:eastAsia="仿宋" w:cs="仿宋"/>
          <w:b/>
          <w:color w:val="auto"/>
          <w:kern w:val="2"/>
          <w:sz w:val="44"/>
          <w:szCs w:val="44"/>
          <w:highlight w:val="none"/>
        </w:rPr>
        <w:t>采购内容及技术要求</w:t>
      </w:r>
    </w:p>
    <w:p w14:paraId="3A68CF0E">
      <w:pPr>
        <w:spacing w:line="360" w:lineRule="auto"/>
        <w:ind w:firstLine="482" w:firstLineChars="200"/>
        <w:rPr>
          <w:rFonts w:ascii="仿宋" w:hAnsi="仿宋" w:eastAsia="仿宋" w:cs="仿宋"/>
          <w:b/>
          <w:bCs/>
        </w:rPr>
      </w:pPr>
      <w:r>
        <w:rPr>
          <w:rFonts w:hint="eastAsia" w:ascii="仿宋" w:hAnsi="仿宋" w:eastAsia="仿宋" w:cs="仿宋"/>
          <w:b/>
          <w:bCs/>
        </w:rPr>
        <w:t>一、服务范围</w:t>
      </w:r>
    </w:p>
    <w:p w14:paraId="2C682A2A">
      <w:pPr>
        <w:spacing w:line="360" w:lineRule="auto"/>
        <w:ind w:firstLine="480" w:firstLineChars="200"/>
        <w:rPr>
          <w:rFonts w:ascii="仿宋" w:hAnsi="仿宋" w:eastAsia="仿宋" w:cs="仿宋"/>
        </w:rPr>
      </w:pPr>
      <w:r>
        <w:rPr>
          <w:rFonts w:hint="eastAsia" w:ascii="仿宋" w:hAnsi="仿宋" w:eastAsia="仿宋" w:cs="仿宋"/>
        </w:rPr>
        <w:t>本次服务项目主要工作内容包括但不限于西咸新区铁一中金湾中学校园公共环境卫生</w:t>
      </w:r>
      <w:r>
        <w:rPr>
          <w:rFonts w:hint="eastAsia" w:ascii="仿宋" w:hAnsi="仿宋" w:eastAsia="仿宋" w:cs="仿宋"/>
          <w:highlight w:val="none"/>
        </w:rPr>
        <w:t>、校园绿化养护</w:t>
      </w:r>
      <w:r>
        <w:rPr>
          <w:rFonts w:hint="eastAsia" w:ascii="仿宋" w:hAnsi="仿宋" w:eastAsia="仿宋" w:cs="仿宋"/>
        </w:rPr>
        <w:t>、治安秩序维护、公建</w:t>
      </w:r>
      <w:bookmarkStart w:id="0" w:name="_GoBack"/>
      <w:bookmarkEnd w:id="0"/>
      <w:r>
        <w:rPr>
          <w:rFonts w:hint="eastAsia" w:ascii="仿宋" w:hAnsi="仿宋" w:eastAsia="仿宋" w:cs="仿宋"/>
        </w:rPr>
        <w:t>设施设备维修保养及客户服务等内容，具体详见下表。</w:t>
      </w:r>
    </w:p>
    <w:tbl>
      <w:tblPr>
        <w:tblStyle w:val="3"/>
        <w:tblW w:w="8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2"/>
        <w:gridCol w:w="776"/>
        <w:gridCol w:w="776"/>
        <w:gridCol w:w="6393"/>
      </w:tblGrid>
      <w:tr w14:paraId="7C910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blHeader/>
          <w:jc w:val="center"/>
        </w:trPr>
        <w:tc>
          <w:tcPr>
            <w:tcW w:w="702" w:type="dxa"/>
            <w:noWrap/>
            <w:vAlign w:val="center"/>
          </w:tcPr>
          <w:p w14:paraId="68426428">
            <w:pPr>
              <w:spacing w:line="288" w:lineRule="auto"/>
              <w:jc w:val="center"/>
              <w:textAlignment w:val="center"/>
              <w:rPr>
                <w:rFonts w:ascii="仿宋" w:hAnsi="仿宋" w:eastAsia="仿宋" w:cs="仿宋"/>
                <w:b/>
                <w:bCs/>
                <w:sz w:val="22"/>
                <w:szCs w:val="22"/>
              </w:rPr>
            </w:pPr>
            <w:r>
              <w:rPr>
                <w:rFonts w:hint="eastAsia" w:ascii="仿宋" w:hAnsi="仿宋" w:eastAsia="仿宋" w:cs="仿宋"/>
                <w:b/>
                <w:bCs/>
                <w:sz w:val="22"/>
                <w:szCs w:val="22"/>
                <w:lang w:bidi="ar"/>
              </w:rPr>
              <w:t>序号</w:t>
            </w:r>
          </w:p>
        </w:tc>
        <w:tc>
          <w:tcPr>
            <w:tcW w:w="1552" w:type="dxa"/>
            <w:gridSpan w:val="2"/>
            <w:noWrap/>
            <w:vAlign w:val="center"/>
          </w:tcPr>
          <w:p w14:paraId="70E08978">
            <w:pPr>
              <w:spacing w:line="288" w:lineRule="auto"/>
              <w:jc w:val="center"/>
              <w:textAlignment w:val="center"/>
              <w:rPr>
                <w:rFonts w:ascii="仿宋" w:hAnsi="仿宋" w:eastAsia="仿宋" w:cs="仿宋"/>
                <w:b/>
                <w:sz w:val="22"/>
                <w:szCs w:val="22"/>
              </w:rPr>
            </w:pPr>
            <w:r>
              <w:rPr>
                <w:rFonts w:hint="eastAsia" w:ascii="仿宋" w:hAnsi="仿宋" w:eastAsia="仿宋" w:cs="仿宋"/>
                <w:b/>
                <w:sz w:val="22"/>
                <w:szCs w:val="22"/>
                <w:lang w:bidi="ar"/>
              </w:rPr>
              <w:t>类   别</w:t>
            </w:r>
          </w:p>
        </w:tc>
        <w:tc>
          <w:tcPr>
            <w:tcW w:w="6393" w:type="dxa"/>
            <w:vAlign w:val="center"/>
          </w:tcPr>
          <w:p w14:paraId="73B66948">
            <w:pPr>
              <w:spacing w:line="288" w:lineRule="auto"/>
              <w:jc w:val="center"/>
              <w:textAlignment w:val="center"/>
              <w:rPr>
                <w:rFonts w:ascii="仿宋" w:hAnsi="仿宋" w:eastAsia="仿宋" w:cs="仿宋"/>
                <w:b/>
                <w:sz w:val="22"/>
                <w:szCs w:val="22"/>
              </w:rPr>
            </w:pPr>
            <w:r>
              <w:rPr>
                <w:rFonts w:hint="eastAsia" w:ascii="仿宋" w:hAnsi="仿宋" w:eastAsia="仿宋" w:cs="仿宋"/>
                <w:b/>
                <w:sz w:val="22"/>
                <w:szCs w:val="22"/>
                <w:lang w:bidi="ar"/>
              </w:rPr>
              <w:t>备       注</w:t>
            </w:r>
          </w:p>
        </w:tc>
      </w:tr>
      <w:tr w14:paraId="38ABF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702" w:type="dxa"/>
            <w:vAlign w:val="center"/>
          </w:tcPr>
          <w:p w14:paraId="33368502">
            <w:pPr>
              <w:spacing w:line="288" w:lineRule="auto"/>
              <w:jc w:val="center"/>
              <w:textAlignment w:val="center"/>
              <w:rPr>
                <w:rFonts w:ascii="仿宋" w:hAnsi="仿宋" w:eastAsia="仿宋" w:cs="仿宋"/>
                <w:sz w:val="22"/>
                <w:szCs w:val="22"/>
              </w:rPr>
            </w:pPr>
            <w:r>
              <w:rPr>
                <w:rFonts w:hint="eastAsia" w:ascii="仿宋" w:hAnsi="仿宋" w:eastAsia="仿宋" w:cs="仿宋"/>
                <w:sz w:val="22"/>
                <w:szCs w:val="22"/>
                <w:lang w:bidi="ar"/>
              </w:rPr>
              <w:t>1</w:t>
            </w:r>
          </w:p>
        </w:tc>
        <w:tc>
          <w:tcPr>
            <w:tcW w:w="1552" w:type="dxa"/>
            <w:gridSpan w:val="2"/>
            <w:vAlign w:val="center"/>
          </w:tcPr>
          <w:p w14:paraId="6DA394E4">
            <w:pPr>
              <w:spacing w:line="288" w:lineRule="auto"/>
              <w:jc w:val="center"/>
              <w:textAlignment w:val="center"/>
              <w:rPr>
                <w:rFonts w:ascii="仿宋" w:hAnsi="仿宋" w:eastAsia="仿宋" w:cs="仿宋"/>
                <w:sz w:val="22"/>
                <w:szCs w:val="22"/>
              </w:rPr>
            </w:pPr>
            <w:r>
              <w:rPr>
                <w:rFonts w:hint="eastAsia" w:ascii="仿宋" w:hAnsi="仿宋" w:eastAsia="仿宋" w:cs="仿宋"/>
                <w:sz w:val="22"/>
                <w:szCs w:val="22"/>
                <w:lang w:bidi="ar"/>
              </w:rPr>
              <w:t>总建筑面积</w:t>
            </w:r>
          </w:p>
        </w:tc>
        <w:tc>
          <w:tcPr>
            <w:tcW w:w="6393" w:type="dxa"/>
            <w:vAlign w:val="center"/>
          </w:tcPr>
          <w:p w14:paraId="7D87F764">
            <w:pPr>
              <w:spacing w:line="288" w:lineRule="auto"/>
              <w:jc w:val="left"/>
              <w:textAlignment w:val="center"/>
              <w:rPr>
                <w:rFonts w:ascii="仿宋" w:hAnsi="仿宋" w:eastAsia="仿宋" w:cs="仿宋"/>
                <w:sz w:val="22"/>
                <w:szCs w:val="22"/>
              </w:rPr>
            </w:pPr>
            <w:r>
              <w:rPr>
                <w:rFonts w:hint="eastAsia" w:ascii="仿宋" w:hAnsi="仿宋" w:eastAsia="仿宋" w:cs="仿宋"/>
                <w:sz w:val="22"/>
                <w:szCs w:val="22"/>
                <w:highlight w:val="none"/>
                <w:lang w:bidi="ar"/>
              </w:rPr>
              <w:t>我校建筑面积98982.40㎡，其中地上建筑面积71678.35㎡，地下建筑面积27304.05㎡。绿地总面积26978.00㎡，其中地面绿地26672.55㎡，屋顶绿地面积200.33㎡，植草砖绿地105.12平方米，乔灌木约2079株。</w:t>
            </w:r>
          </w:p>
        </w:tc>
      </w:tr>
      <w:tr w14:paraId="0081E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702" w:type="dxa"/>
            <w:vAlign w:val="center"/>
          </w:tcPr>
          <w:p w14:paraId="1FAF8303">
            <w:pPr>
              <w:spacing w:line="288" w:lineRule="auto"/>
              <w:jc w:val="center"/>
              <w:textAlignment w:val="center"/>
              <w:rPr>
                <w:rFonts w:ascii="仿宋" w:hAnsi="仿宋" w:eastAsia="仿宋" w:cs="仿宋"/>
                <w:sz w:val="22"/>
                <w:szCs w:val="22"/>
              </w:rPr>
            </w:pPr>
            <w:r>
              <w:rPr>
                <w:rFonts w:hint="eastAsia" w:ascii="仿宋" w:hAnsi="仿宋" w:eastAsia="仿宋" w:cs="仿宋"/>
                <w:sz w:val="22"/>
                <w:szCs w:val="22"/>
                <w:lang w:bidi="ar"/>
              </w:rPr>
              <w:t>2</w:t>
            </w:r>
          </w:p>
        </w:tc>
        <w:tc>
          <w:tcPr>
            <w:tcW w:w="1552" w:type="dxa"/>
            <w:gridSpan w:val="2"/>
            <w:vAlign w:val="center"/>
          </w:tcPr>
          <w:p w14:paraId="0746CF2C">
            <w:pPr>
              <w:spacing w:line="288" w:lineRule="auto"/>
              <w:jc w:val="center"/>
              <w:textAlignment w:val="center"/>
              <w:rPr>
                <w:rFonts w:ascii="仿宋" w:hAnsi="仿宋" w:eastAsia="仿宋" w:cs="仿宋"/>
                <w:sz w:val="22"/>
                <w:szCs w:val="22"/>
              </w:rPr>
            </w:pPr>
            <w:r>
              <w:rPr>
                <w:rFonts w:hint="eastAsia" w:ascii="仿宋" w:hAnsi="仿宋" w:eastAsia="仿宋" w:cs="仿宋"/>
                <w:sz w:val="22"/>
                <w:szCs w:val="22"/>
                <w:lang w:bidi="ar"/>
              </w:rPr>
              <w:t>学校建筑分布</w:t>
            </w:r>
          </w:p>
        </w:tc>
        <w:tc>
          <w:tcPr>
            <w:tcW w:w="6393" w:type="dxa"/>
            <w:vAlign w:val="center"/>
          </w:tcPr>
          <w:p w14:paraId="4D28B036">
            <w:pPr>
              <w:spacing w:line="288" w:lineRule="auto"/>
              <w:jc w:val="left"/>
              <w:textAlignment w:val="center"/>
              <w:rPr>
                <w:rFonts w:ascii="仿宋" w:hAnsi="仿宋" w:eastAsia="仿宋" w:cs="仿宋"/>
                <w:sz w:val="22"/>
                <w:szCs w:val="22"/>
              </w:rPr>
            </w:pPr>
            <w:r>
              <w:rPr>
                <w:rFonts w:hint="eastAsia" w:ascii="仿宋" w:hAnsi="仿宋" w:eastAsia="仿宋" w:cs="仿宋"/>
                <w:sz w:val="22"/>
                <w:szCs w:val="22"/>
                <w:lang w:bidi="ar"/>
              </w:rPr>
              <w:t>我校由教学楼（初中部、高中部、功能部室及百人合班教室），综合办公楼，实验楼A、</w:t>
            </w:r>
            <w:r>
              <w:rPr>
                <w:rFonts w:ascii="仿宋" w:hAnsi="仿宋" w:eastAsia="仿宋" w:cs="仿宋"/>
                <w:sz w:val="22"/>
                <w:szCs w:val="22"/>
                <w:lang w:bidi="ar"/>
              </w:rPr>
              <w:t>B</w:t>
            </w:r>
            <w:r>
              <w:rPr>
                <w:rFonts w:hint="eastAsia" w:ascii="仿宋" w:hAnsi="仿宋" w:eastAsia="仿宋" w:cs="仿宋"/>
                <w:sz w:val="22"/>
                <w:szCs w:val="22"/>
                <w:lang w:bidi="ar"/>
              </w:rPr>
              <w:t>，公寓楼（学生及教师公寓），风雨操场（5</w:t>
            </w:r>
            <w:r>
              <w:rPr>
                <w:rFonts w:ascii="仿宋" w:hAnsi="仿宋" w:eastAsia="仿宋" w:cs="仿宋"/>
                <w:sz w:val="22"/>
                <w:szCs w:val="22"/>
                <w:lang w:bidi="ar"/>
              </w:rPr>
              <w:t>0</w:t>
            </w:r>
            <w:r>
              <w:rPr>
                <w:rFonts w:hint="eastAsia" w:ascii="仿宋" w:hAnsi="仿宋" w:eastAsia="仿宋" w:cs="仿宋"/>
                <w:sz w:val="22"/>
                <w:szCs w:val="22"/>
                <w:lang w:bidi="ar"/>
              </w:rPr>
              <w:t>米标准游泳馆、篮球馆及羽毛球馆），报告厅（千人、四百人报告厅），图书阅览室，400米标准田径运动场，室外运动场（篮球场、网球场及乒乓球场），室外连廊及看台，餐厅，学校大门（南门及消控室、西门）及地下车库A</w:t>
            </w:r>
            <w:r>
              <w:rPr>
                <w:rFonts w:ascii="仿宋" w:hAnsi="仿宋" w:eastAsia="仿宋" w:cs="仿宋"/>
                <w:sz w:val="22"/>
                <w:szCs w:val="22"/>
                <w:lang w:bidi="ar"/>
              </w:rPr>
              <w:t>-D</w:t>
            </w:r>
            <w:r>
              <w:rPr>
                <w:rFonts w:hint="eastAsia" w:ascii="仿宋" w:hAnsi="仿宋" w:eastAsia="仿宋" w:cs="仿宋"/>
                <w:sz w:val="22"/>
                <w:szCs w:val="22"/>
                <w:lang w:bidi="ar"/>
              </w:rPr>
              <w:t>区及设备间等建筑组成。</w:t>
            </w:r>
          </w:p>
        </w:tc>
      </w:tr>
      <w:tr w14:paraId="75F9B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jc w:val="center"/>
        </w:trPr>
        <w:tc>
          <w:tcPr>
            <w:tcW w:w="702" w:type="dxa"/>
            <w:vAlign w:val="center"/>
          </w:tcPr>
          <w:p w14:paraId="46ADC271">
            <w:pPr>
              <w:spacing w:line="288" w:lineRule="auto"/>
              <w:jc w:val="center"/>
              <w:textAlignment w:val="center"/>
              <w:rPr>
                <w:rFonts w:ascii="仿宋" w:hAnsi="仿宋" w:eastAsia="仿宋" w:cs="仿宋"/>
                <w:sz w:val="22"/>
                <w:szCs w:val="22"/>
              </w:rPr>
            </w:pPr>
            <w:r>
              <w:rPr>
                <w:rFonts w:hint="eastAsia" w:ascii="仿宋" w:hAnsi="仿宋" w:eastAsia="仿宋" w:cs="仿宋"/>
                <w:sz w:val="22"/>
                <w:szCs w:val="22"/>
                <w:lang w:bidi="ar"/>
              </w:rPr>
              <w:t>3</w:t>
            </w:r>
          </w:p>
        </w:tc>
        <w:tc>
          <w:tcPr>
            <w:tcW w:w="1552" w:type="dxa"/>
            <w:gridSpan w:val="2"/>
            <w:vAlign w:val="center"/>
          </w:tcPr>
          <w:p w14:paraId="407D0FCD">
            <w:pPr>
              <w:spacing w:line="288" w:lineRule="auto"/>
              <w:jc w:val="center"/>
              <w:textAlignment w:val="center"/>
              <w:rPr>
                <w:rFonts w:ascii="仿宋" w:hAnsi="仿宋" w:eastAsia="仿宋" w:cs="仿宋"/>
                <w:sz w:val="22"/>
                <w:szCs w:val="22"/>
                <w:lang w:bidi="ar"/>
              </w:rPr>
            </w:pPr>
            <w:r>
              <w:rPr>
                <w:rFonts w:hint="eastAsia" w:ascii="仿宋" w:hAnsi="仿宋" w:eastAsia="仿宋" w:cs="仿宋"/>
                <w:sz w:val="22"/>
                <w:szCs w:val="22"/>
                <w:lang w:bidi="ar"/>
              </w:rPr>
              <w:t>物业服务范围及面积</w:t>
            </w:r>
          </w:p>
        </w:tc>
        <w:tc>
          <w:tcPr>
            <w:tcW w:w="6393" w:type="dxa"/>
            <w:vAlign w:val="center"/>
          </w:tcPr>
          <w:p w14:paraId="3EE485DE">
            <w:pPr>
              <w:spacing w:line="288" w:lineRule="auto"/>
              <w:jc w:val="left"/>
              <w:textAlignment w:val="center"/>
              <w:rPr>
                <w:rFonts w:ascii="仿宋" w:hAnsi="仿宋" w:eastAsia="仿宋" w:cs="仿宋"/>
                <w:color w:val="auto"/>
                <w:sz w:val="22"/>
                <w:szCs w:val="22"/>
                <w:highlight w:val="none"/>
                <w:lang w:bidi="ar"/>
              </w:rPr>
            </w:pPr>
            <w:r>
              <w:rPr>
                <w:rFonts w:hint="eastAsia" w:ascii="仿宋" w:hAnsi="仿宋" w:eastAsia="仿宋" w:cs="仿宋"/>
                <w:color w:val="auto"/>
                <w:sz w:val="22"/>
                <w:szCs w:val="22"/>
                <w:highlight w:val="none"/>
                <w:lang w:bidi="ar"/>
              </w:rPr>
              <w:t>教学楼初中部1-</w:t>
            </w:r>
            <w:r>
              <w:rPr>
                <w:rFonts w:hint="eastAsia" w:ascii="仿宋" w:hAnsi="仿宋" w:eastAsia="仿宋" w:cs="仿宋"/>
                <w:color w:val="auto"/>
                <w:sz w:val="22"/>
                <w:szCs w:val="22"/>
                <w:highlight w:val="none"/>
                <w:lang w:val="en-US" w:eastAsia="zh-CN" w:bidi="ar"/>
              </w:rPr>
              <w:t>5</w:t>
            </w:r>
            <w:r>
              <w:rPr>
                <w:rFonts w:hint="eastAsia" w:ascii="仿宋" w:hAnsi="仿宋" w:eastAsia="仿宋" w:cs="仿宋"/>
                <w:color w:val="auto"/>
                <w:sz w:val="22"/>
                <w:szCs w:val="22"/>
                <w:highlight w:val="none"/>
                <w:lang w:bidi="ar"/>
              </w:rPr>
              <w:t>层(含功能部室）、教学楼高中部1-</w:t>
            </w:r>
            <w:r>
              <w:rPr>
                <w:rFonts w:hint="eastAsia" w:ascii="仿宋" w:hAnsi="仿宋" w:eastAsia="仿宋" w:cs="仿宋"/>
                <w:color w:val="auto"/>
                <w:sz w:val="22"/>
                <w:szCs w:val="22"/>
                <w:highlight w:val="none"/>
                <w:lang w:val="en-US" w:eastAsia="zh-CN" w:bidi="ar"/>
              </w:rPr>
              <w:t>5</w:t>
            </w:r>
            <w:r>
              <w:rPr>
                <w:rFonts w:hint="eastAsia" w:ascii="仿宋" w:hAnsi="仿宋" w:eastAsia="仿宋" w:cs="仿宋"/>
                <w:color w:val="auto"/>
                <w:sz w:val="22"/>
                <w:szCs w:val="22"/>
                <w:highlight w:val="none"/>
                <w:lang w:bidi="ar"/>
              </w:rPr>
              <w:t>层(含功能部室、百人合班教室）</w:t>
            </w:r>
            <w:r>
              <w:rPr>
                <w:rFonts w:hint="eastAsia" w:ascii="仿宋" w:hAnsi="仿宋" w:eastAsia="仿宋" w:cs="仿宋"/>
                <w:color w:val="auto"/>
                <w:sz w:val="22"/>
                <w:szCs w:val="22"/>
                <w:lang w:bidi="ar"/>
              </w:rPr>
              <w:t>，</w:t>
            </w:r>
            <w:r>
              <w:rPr>
                <w:rFonts w:hint="eastAsia" w:ascii="仿宋" w:hAnsi="仿宋" w:eastAsia="仿宋" w:cs="仿宋"/>
                <w:color w:val="auto"/>
                <w:sz w:val="22"/>
                <w:szCs w:val="22"/>
                <w:highlight w:val="none"/>
                <w:lang w:bidi="ar"/>
              </w:rPr>
              <w:t>综合办公楼1-4层</w:t>
            </w:r>
            <w:r>
              <w:rPr>
                <w:rFonts w:hint="eastAsia" w:ascii="仿宋" w:hAnsi="仿宋" w:eastAsia="仿宋" w:cs="仿宋"/>
                <w:color w:val="auto"/>
                <w:sz w:val="22"/>
                <w:szCs w:val="22"/>
                <w:lang w:bidi="ar"/>
              </w:rPr>
              <w:t>，</w:t>
            </w:r>
            <w:r>
              <w:rPr>
                <w:rFonts w:hint="eastAsia" w:ascii="仿宋" w:hAnsi="仿宋" w:eastAsia="仿宋" w:cs="仿宋"/>
                <w:color w:val="auto"/>
                <w:sz w:val="22"/>
                <w:szCs w:val="22"/>
                <w:highlight w:val="none"/>
                <w:lang w:bidi="ar"/>
              </w:rPr>
              <w:t>实验楼A、B的1-</w:t>
            </w:r>
            <w:r>
              <w:rPr>
                <w:rFonts w:hint="eastAsia" w:ascii="仿宋" w:hAnsi="仿宋" w:eastAsia="仿宋" w:cs="仿宋"/>
                <w:color w:val="auto"/>
                <w:sz w:val="22"/>
                <w:szCs w:val="22"/>
                <w:highlight w:val="none"/>
                <w:lang w:val="en-US" w:eastAsia="zh-CN" w:bidi="ar"/>
              </w:rPr>
              <w:t>5</w:t>
            </w:r>
            <w:r>
              <w:rPr>
                <w:rFonts w:hint="eastAsia" w:ascii="仿宋" w:hAnsi="仿宋" w:eastAsia="仿宋" w:cs="仿宋"/>
                <w:color w:val="auto"/>
                <w:sz w:val="22"/>
                <w:szCs w:val="22"/>
                <w:highlight w:val="none"/>
                <w:lang w:bidi="ar"/>
              </w:rPr>
              <w:t>层，学生公寓</w:t>
            </w:r>
            <w:r>
              <w:rPr>
                <w:rFonts w:hint="eastAsia" w:ascii="仿宋" w:hAnsi="仿宋" w:eastAsia="仿宋" w:cs="仿宋"/>
                <w:color w:val="auto"/>
                <w:sz w:val="22"/>
                <w:szCs w:val="22"/>
                <w:highlight w:val="none"/>
                <w:lang w:val="en-US" w:eastAsia="zh-CN" w:bidi="ar"/>
              </w:rPr>
              <w:t>1</w:t>
            </w:r>
            <w:r>
              <w:rPr>
                <w:rFonts w:hint="eastAsia" w:ascii="仿宋" w:hAnsi="仿宋" w:eastAsia="仿宋" w:cs="仿宋"/>
                <w:color w:val="auto"/>
                <w:sz w:val="22"/>
                <w:szCs w:val="22"/>
                <w:highlight w:val="none"/>
                <w:lang w:bidi="ar"/>
              </w:rPr>
              <w:t>-6层及教师公寓楼2-3层，风雨操场三层（篮球馆及羽毛球馆），报告厅（千人、四百人报告厅），图书阅览室，室外区域（含田径场、篮球场、网球场、乒乓球场、连廊及看台），餐厅，学校大门（南门及消控室、西门）及地下车库A-D区及所有设备间等区域。</w:t>
            </w:r>
          </w:p>
          <w:p w14:paraId="4E018A4A">
            <w:pPr>
              <w:spacing w:line="288" w:lineRule="auto"/>
              <w:jc w:val="left"/>
              <w:textAlignment w:val="center"/>
              <w:rPr>
                <w:rFonts w:ascii="仿宋" w:hAnsi="仿宋" w:eastAsia="仿宋" w:cs="仿宋"/>
                <w:sz w:val="22"/>
                <w:szCs w:val="22"/>
                <w:lang w:bidi="ar"/>
              </w:rPr>
            </w:pPr>
            <w:r>
              <w:rPr>
                <w:rFonts w:hint="eastAsia" w:ascii="仿宋" w:hAnsi="仿宋" w:eastAsia="仿宋" w:cs="仿宋"/>
                <w:color w:val="auto"/>
                <w:sz w:val="22"/>
                <w:szCs w:val="22"/>
                <w:highlight w:val="none"/>
                <w:lang w:bidi="ar"/>
              </w:rPr>
              <w:t>室内室外服务面积约98982.40㎡。其中教学楼1-5层（含初中部、高中部、功能部室、图书阅览室及合班教室）23350.70㎡，综合办公楼1-4层2493.95㎡，实验楼A、B的1-5层6421.86㎡，学生公寓1-6层及教师公寓楼2-6层12814.59㎡，风雨操场一至三层（篮球馆及羽毛球馆）</w:t>
            </w:r>
            <w:r>
              <w:rPr>
                <w:rFonts w:hint="eastAsia" w:ascii="仿宋" w:hAnsi="仿宋" w:eastAsia="仿宋" w:cs="仿宋"/>
                <w:sz w:val="22"/>
                <w:szCs w:val="22"/>
                <w:highlight w:val="none"/>
                <w:lang w:bidi="ar"/>
              </w:rPr>
              <w:t>2948.02㎡，报告厅（千人、四百人报告厅）4669.81㎡，室外区域（含连廊及看台，田径场、篮球场、网球场、乒乓球场、道路等不计入建筑面积）8783.35㎡，学校大门（南门及消控室、西门）194.89㎡，地下室A-D区及所有设备间27304.05㎡。绿地总面积26978.00㎡，其中地面绿地26672.55㎡，屋顶绿地面积200.33㎡，植草砖绿地105.12㎡，乔灌木约2079株。</w:t>
            </w:r>
          </w:p>
        </w:tc>
      </w:tr>
      <w:tr w14:paraId="5C943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702" w:type="dxa"/>
            <w:vAlign w:val="center"/>
          </w:tcPr>
          <w:p w14:paraId="734C6642">
            <w:pPr>
              <w:spacing w:line="288" w:lineRule="auto"/>
              <w:jc w:val="center"/>
              <w:textAlignment w:val="center"/>
              <w:rPr>
                <w:rFonts w:ascii="仿宋" w:hAnsi="仿宋" w:eastAsia="仿宋" w:cs="仿宋"/>
                <w:sz w:val="22"/>
                <w:szCs w:val="22"/>
                <w:lang w:bidi="ar"/>
              </w:rPr>
            </w:pPr>
            <w:r>
              <w:rPr>
                <w:rFonts w:ascii="仿宋" w:hAnsi="仿宋" w:eastAsia="仿宋" w:cs="仿宋"/>
                <w:sz w:val="22"/>
                <w:szCs w:val="22"/>
                <w:lang w:bidi="ar"/>
              </w:rPr>
              <w:t>4</w:t>
            </w:r>
          </w:p>
        </w:tc>
        <w:tc>
          <w:tcPr>
            <w:tcW w:w="776" w:type="dxa"/>
            <w:vMerge w:val="restart"/>
            <w:vAlign w:val="center"/>
          </w:tcPr>
          <w:p w14:paraId="32C7CFE7">
            <w:pPr>
              <w:spacing w:line="288" w:lineRule="auto"/>
              <w:jc w:val="center"/>
              <w:textAlignment w:val="center"/>
              <w:rPr>
                <w:rFonts w:ascii="仿宋" w:hAnsi="仿宋" w:eastAsia="仿宋" w:cs="仿宋"/>
                <w:sz w:val="22"/>
                <w:szCs w:val="22"/>
                <w:highlight w:val="none"/>
              </w:rPr>
            </w:pPr>
            <w:r>
              <w:rPr>
                <w:rFonts w:hint="eastAsia" w:ascii="仿宋" w:hAnsi="仿宋" w:eastAsia="仿宋" w:cs="仿宋"/>
                <w:sz w:val="22"/>
                <w:szCs w:val="22"/>
                <w:highlight w:val="none"/>
              </w:rPr>
              <w:t>物业管理内容</w:t>
            </w:r>
          </w:p>
        </w:tc>
        <w:tc>
          <w:tcPr>
            <w:tcW w:w="776" w:type="dxa"/>
            <w:vAlign w:val="center"/>
          </w:tcPr>
          <w:p w14:paraId="489334DE">
            <w:pPr>
              <w:jc w:val="center"/>
              <w:textAlignment w:val="center"/>
              <w:rPr>
                <w:rFonts w:hint="eastAsia" w:ascii="仿宋" w:hAnsi="仿宋" w:eastAsia="仿宋" w:cs="仿宋"/>
                <w:sz w:val="22"/>
                <w:szCs w:val="30"/>
                <w:highlight w:val="none"/>
                <w:lang w:bidi="ar"/>
              </w:rPr>
            </w:pPr>
            <w:r>
              <w:rPr>
                <w:rFonts w:hint="eastAsia" w:ascii="仿宋" w:hAnsi="仿宋" w:eastAsia="仿宋" w:cs="仿宋"/>
                <w:sz w:val="22"/>
                <w:szCs w:val="30"/>
                <w:highlight w:val="none"/>
                <w:lang w:bidi="ar"/>
              </w:rPr>
              <w:t>公共区域保洁</w:t>
            </w:r>
          </w:p>
        </w:tc>
        <w:tc>
          <w:tcPr>
            <w:tcW w:w="6393" w:type="dxa"/>
            <w:vAlign w:val="center"/>
          </w:tcPr>
          <w:p w14:paraId="5E68C65E">
            <w:pPr>
              <w:jc w:val="left"/>
              <w:textAlignment w:val="center"/>
              <w:rPr>
                <w:rFonts w:hint="eastAsia" w:ascii="仿宋" w:hAnsi="仿宋" w:eastAsia="仿宋" w:cs="仿宋"/>
                <w:sz w:val="22"/>
                <w:szCs w:val="30"/>
                <w:highlight w:val="none"/>
              </w:rPr>
            </w:pPr>
            <w:r>
              <w:rPr>
                <w:rFonts w:hint="eastAsia" w:ascii="仿宋" w:hAnsi="仿宋" w:eastAsia="仿宋" w:cs="仿宋"/>
                <w:sz w:val="22"/>
                <w:szCs w:val="30"/>
                <w:highlight w:val="none"/>
                <w:lang w:bidi="ar"/>
              </w:rPr>
              <w:t>为我校提供服务区域内的日常保洁服务，包括但不限于公共区域和室内保洁，确保工作时间内服务区域内无垃圾堆积，地面、家具表面等无灰尘。</w:t>
            </w:r>
          </w:p>
        </w:tc>
      </w:tr>
      <w:tr w14:paraId="360A8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702" w:type="dxa"/>
            <w:vAlign w:val="center"/>
          </w:tcPr>
          <w:p w14:paraId="64948C05">
            <w:pPr>
              <w:spacing w:line="288" w:lineRule="auto"/>
              <w:jc w:val="center"/>
              <w:textAlignment w:val="center"/>
              <w:rPr>
                <w:rFonts w:hint="eastAsia" w:ascii="仿宋" w:hAnsi="仿宋" w:eastAsia="仿宋" w:cs="仿宋"/>
                <w:sz w:val="22"/>
                <w:szCs w:val="22"/>
                <w:lang w:bidi="ar"/>
              </w:rPr>
            </w:pPr>
            <w:r>
              <w:rPr>
                <w:rFonts w:ascii="仿宋" w:hAnsi="仿宋" w:eastAsia="仿宋" w:cs="仿宋"/>
                <w:sz w:val="22"/>
                <w:szCs w:val="22"/>
                <w:lang w:bidi="ar"/>
              </w:rPr>
              <w:t>5</w:t>
            </w:r>
          </w:p>
        </w:tc>
        <w:tc>
          <w:tcPr>
            <w:tcW w:w="776" w:type="dxa"/>
            <w:vMerge w:val="continue"/>
            <w:vAlign w:val="center"/>
          </w:tcPr>
          <w:p w14:paraId="39EA8465">
            <w:pPr>
              <w:spacing w:line="288" w:lineRule="auto"/>
              <w:jc w:val="center"/>
              <w:textAlignment w:val="center"/>
              <w:rPr>
                <w:rFonts w:hint="eastAsia" w:ascii="仿宋" w:hAnsi="仿宋" w:eastAsia="仿宋" w:cs="仿宋"/>
                <w:sz w:val="22"/>
                <w:szCs w:val="22"/>
                <w:highlight w:val="none"/>
              </w:rPr>
            </w:pPr>
          </w:p>
        </w:tc>
        <w:tc>
          <w:tcPr>
            <w:tcW w:w="776" w:type="dxa"/>
            <w:vAlign w:val="center"/>
          </w:tcPr>
          <w:p w14:paraId="7FD6DAC8">
            <w:pPr>
              <w:jc w:val="center"/>
              <w:textAlignment w:val="center"/>
              <w:rPr>
                <w:rFonts w:hint="eastAsia" w:ascii="仿宋" w:hAnsi="仿宋" w:eastAsia="仿宋" w:cs="仿宋"/>
                <w:sz w:val="22"/>
                <w:szCs w:val="30"/>
                <w:highlight w:val="none"/>
              </w:rPr>
            </w:pPr>
            <w:r>
              <w:rPr>
                <w:rFonts w:hint="eastAsia" w:ascii="仿宋" w:hAnsi="仿宋" w:eastAsia="仿宋" w:cs="仿宋"/>
                <w:sz w:val="22"/>
                <w:szCs w:val="30"/>
                <w:highlight w:val="none"/>
              </w:rPr>
              <w:t>秩序维护</w:t>
            </w:r>
          </w:p>
        </w:tc>
        <w:tc>
          <w:tcPr>
            <w:tcW w:w="6393" w:type="dxa"/>
            <w:vAlign w:val="center"/>
          </w:tcPr>
          <w:p w14:paraId="0D66897A">
            <w:pPr>
              <w:jc w:val="left"/>
              <w:textAlignment w:val="center"/>
              <w:rPr>
                <w:rFonts w:hint="eastAsia" w:ascii="仿宋" w:hAnsi="仿宋" w:eastAsia="仿宋" w:cs="仿宋"/>
                <w:sz w:val="22"/>
                <w:szCs w:val="30"/>
                <w:highlight w:val="none"/>
              </w:rPr>
            </w:pPr>
            <w:r>
              <w:rPr>
                <w:rFonts w:hint="eastAsia" w:ascii="仿宋" w:hAnsi="仿宋" w:eastAsia="仿宋" w:cs="仿宋"/>
                <w:sz w:val="22"/>
                <w:szCs w:val="30"/>
                <w:highlight w:val="none"/>
              </w:rPr>
              <w:t>为我校提供服务区域内的秩序安全维护服务，确保校园区域内无安全问题。</w:t>
            </w:r>
          </w:p>
        </w:tc>
      </w:tr>
      <w:tr w14:paraId="0E4E04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702" w:type="dxa"/>
            <w:vAlign w:val="center"/>
          </w:tcPr>
          <w:p w14:paraId="2A4AD348">
            <w:pPr>
              <w:spacing w:line="288" w:lineRule="auto"/>
              <w:jc w:val="center"/>
              <w:textAlignment w:val="center"/>
              <w:rPr>
                <w:rFonts w:hint="eastAsia" w:ascii="仿宋" w:hAnsi="仿宋" w:eastAsia="仿宋" w:cs="仿宋"/>
                <w:sz w:val="22"/>
                <w:szCs w:val="22"/>
                <w:lang w:bidi="ar"/>
              </w:rPr>
            </w:pPr>
            <w:r>
              <w:rPr>
                <w:rFonts w:ascii="仿宋" w:hAnsi="仿宋" w:eastAsia="仿宋" w:cs="仿宋"/>
                <w:sz w:val="22"/>
                <w:szCs w:val="22"/>
                <w:lang w:bidi="ar"/>
              </w:rPr>
              <w:t>6</w:t>
            </w:r>
          </w:p>
        </w:tc>
        <w:tc>
          <w:tcPr>
            <w:tcW w:w="776" w:type="dxa"/>
            <w:vMerge w:val="continue"/>
            <w:vAlign w:val="center"/>
          </w:tcPr>
          <w:p w14:paraId="6EC22E83">
            <w:pPr>
              <w:spacing w:line="288" w:lineRule="auto"/>
              <w:jc w:val="center"/>
              <w:textAlignment w:val="center"/>
              <w:rPr>
                <w:rFonts w:hint="eastAsia" w:ascii="仿宋" w:hAnsi="仿宋" w:eastAsia="仿宋" w:cs="仿宋"/>
                <w:sz w:val="22"/>
                <w:szCs w:val="22"/>
                <w:highlight w:val="none"/>
              </w:rPr>
            </w:pPr>
          </w:p>
        </w:tc>
        <w:tc>
          <w:tcPr>
            <w:tcW w:w="776" w:type="dxa"/>
            <w:vAlign w:val="center"/>
          </w:tcPr>
          <w:p w14:paraId="4C1A46C5">
            <w:pPr>
              <w:jc w:val="center"/>
              <w:textAlignment w:val="center"/>
              <w:rPr>
                <w:rFonts w:hint="eastAsia" w:ascii="仿宋" w:hAnsi="仿宋" w:eastAsia="仿宋" w:cs="仿宋"/>
                <w:sz w:val="22"/>
                <w:szCs w:val="30"/>
                <w:highlight w:val="none"/>
              </w:rPr>
            </w:pPr>
            <w:r>
              <w:rPr>
                <w:rFonts w:hint="eastAsia" w:ascii="仿宋" w:hAnsi="仿宋" w:eastAsia="仿宋" w:cs="仿宋"/>
                <w:sz w:val="22"/>
                <w:szCs w:val="30"/>
                <w:highlight w:val="none"/>
                <w:lang w:bidi="ar"/>
              </w:rPr>
              <w:t>维修维护</w:t>
            </w:r>
          </w:p>
        </w:tc>
        <w:tc>
          <w:tcPr>
            <w:tcW w:w="6393" w:type="dxa"/>
            <w:vAlign w:val="center"/>
          </w:tcPr>
          <w:p w14:paraId="65C45F89">
            <w:pPr>
              <w:jc w:val="left"/>
              <w:textAlignment w:val="center"/>
              <w:rPr>
                <w:rFonts w:hint="eastAsia" w:ascii="仿宋" w:hAnsi="仿宋" w:eastAsia="仿宋" w:cs="仿宋"/>
                <w:sz w:val="22"/>
                <w:szCs w:val="30"/>
                <w:highlight w:val="none"/>
              </w:rPr>
            </w:pPr>
            <w:r>
              <w:rPr>
                <w:rFonts w:hint="eastAsia" w:ascii="仿宋" w:hAnsi="仿宋" w:eastAsia="仿宋" w:cs="仿宋"/>
                <w:sz w:val="22"/>
                <w:szCs w:val="30"/>
                <w:highlight w:val="none"/>
              </w:rPr>
              <w:t>为我校提供服务区域内水、电、暖气、新风、空调、电梯、照明、等设施设备的日常维修和维护，提供灯具、开关、锁具等维修耗材，确保维修及时。</w:t>
            </w:r>
            <w:r>
              <w:rPr>
                <w:rFonts w:hint="eastAsia" w:ascii="仿宋" w:hAnsi="仿宋" w:eastAsia="仿宋" w:cs="仿宋"/>
                <w:bCs/>
                <w:sz w:val="22"/>
                <w:szCs w:val="30"/>
                <w:highlight w:val="none"/>
              </w:rPr>
              <w:t>专业技术人员需持有国家相关部门的资格证书上岗。</w:t>
            </w:r>
          </w:p>
        </w:tc>
      </w:tr>
      <w:tr w14:paraId="1FA7F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702" w:type="dxa"/>
            <w:vAlign w:val="center"/>
          </w:tcPr>
          <w:p w14:paraId="53D8D310">
            <w:pPr>
              <w:spacing w:line="288" w:lineRule="auto"/>
              <w:jc w:val="center"/>
              <w:textAlignment w:val="center"/>
              <w:rPr>
                <w:rFonts w:hint="eastAsia" w:ascii="仿宋" w:hAnsi="仿宋" w:eastAsia="仿宋" w:cs="仿宋"/>
                <w:sz w:val="22"/>
                <w:szCs w:val="22"/>
                <w:lang w:bidi="ar"/>
              </w:rPr>
            </w:pPr>
            <w:r>
              <w:rPr>
                <w:rFonts w:ascii="仿宋" w:hAnsi="仿宋" w:eastAsia="仿宋" w:cs="仿宋"/>
                <w:sz w:val="22"/>
                <w:szCs w:val="22"/>
                <w:lang w:bidi="ar"/>
              </w:rPr>
              <w:t>7</w:t>
            </w:r>
          </w:p>
        </w:tc>
        <w:tc>
          <w:tcPr>
            <w:tcW w:w="776" w:type="dxa"/>
            <w:vMerge w:val="continue"/>
            <w:vAlign w:val="center"/>
          </w:tcPr>
          <w:p w14:paraId="733B9270">
            <w:pPr>
              <w:spacing w:line="288" w:lineRule="auto"/>
              <w:jc w:val="center"/>
              <w:textAlignment w:val="center"/>
              <w:rPr>
                <w:rFonts w:hint="eastAsia" w:ascii="仿宋" w:hAnsi="仿宋" w:eastAsia="仿宋" w:cs="仿宋"/>
                <w:sz w:val="22"/>
                <w:szCs w:val="22"/>
                <w:highlight w:val="none"/>
              </w:rPr>
            </w:pPr>
          </w:p>
        </w:tc>
        <w:tc>
          <w:tcPr>
            <w:tcW w:w="776" w:type="dxa"/>
            <w:vAlign w:val="center"/>
          </w:tcPr>
          <w:p w14:paraId="5153591E">
            <w:pPr>
              <w:jc w:val="center"/>
              <w:textAlignment w:val="center"/>
              <w:rPr>
                <w:rFonts w:ascii="仿宋" w:hAnsi="仿宋" w:eastAsia="仿宋" w:cs="仿宋"/>
                <w:sz w:val="22"/>
                <w:szCs w:val="30"/>
                <w:highlight w:val="none"/>
                <w:lang w:bidi="ar"/>
              </w:rPr>
            </w:pPr>
            <w:r>
              <w:rPr>
                <w:rFonts w:hint="eastAsia" w:ascii="仿宋" w:hAnsi="仿宋" w:eastAsia="仿宋" w:cs="仿宋"/>
                <w:sz w:val="22"/>
                <w:szCs w:val="30"/>
                <w:highlight w:val="none"/>
                <w:lang w:bidi="ar"/>
              </w:rPr>
              <w:t>绿化养护</w:t>
            </w:r>
          </w:p>
        </w:tc>
        <w:tc>
          <w:tcPr>
            <w:tcW w:w="6393" w:type="dxa"/>
            <w:vAlign w:val="center"/>
          </w:tcPr>
          <w:p w14:paraId="0B62D7BC">
            <w:pPr>
              <w:jc w:val="left"/>
              <w:textAlignment w:val="center"/>
              <w:rPr>
                <w:rFonts w:hint="eastAsia" w:ascii="仿宋" w:hAnsi="仿宋" w:eastAsia="仿宋" w:cs="仿宋"/>
                <w:sz w:val="22"/>
                <w:szCs w:val="30"/>
                <w:highlight w:val="none"/>
              </w:rPr>
            </w:pPr>
            <w:r>
              <w:rPr>
                <w:rFonts w:hint="eastAsia" w:ascii="仿宋" w:hAnsi="仿宋" w:eastAsia="仿宋" w:cs="仿宋"/>
                <w:sz w:val="22"/>
                <w:szCs w:val="30"/>
                <w:highlight w:val="none"/>
              </w:rPr>
              <w:t>为我校提供服务区域内植物生长状况良好，修剪造型优美，保持叶色青秀，无明显枯枝，死叉，无病虫害。</w:t>
            </w:r>
          </w:p>
        </w:tc>
      </w:tr>
      <w:tr w14:paraId="3CCA47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702" w:type="dxa"/>
            <w:vAlign w:val="center"/>
          </w:tcPr>
          <w:p w14:paraId="5ED19AEE">
            <w:pPr>
              <w:spacing w:line="288" w:lineRule="auto"/>
              <w:jc w:val="center"/>
              <w:textAlignment w:val="center"/>
              <w:rPr>
                <w:rFonts w:ascii="仿宋" w:hAnsi="仿宋" w:eastAsia="仿宋" w:cs="仿宋"/>
                <w:sz w:val="22"/>
                <w:szCs w:val="22"/>
                <w:lang w:bidi="ar"/>
              </w:rPr>
            </w:pPr>
            <w:r>
              <w:rPr>
                <w:rFonts w:ascii="仿宋" w:hAnsi="仿宋" w:eastAsia="仿宋" w:cs="仿宋"/>
                <w:sz w:val="22"/>
                <w:szCs w:val="22"/>
                <w:lang w:bidi="ar"/>
              </w:rPr>
              <w:t>8</w:t>
            </w:r>
          </w:p>
        </w:tc>
        <w:tc>
          <w:tcPr>
            <w:tcW w:w="776" w:type="dxa"/>
            <w:vMerge w:val="continue"/>
            <w:vAlign w:val="center"/>
          </w:tcPr>
          <w:p w14:paraId="602433DF">
            <w:pPr>
              <w:spacing w:line="288" w:lineRule="auto"/>
              <w:jc w:val="center"/>
              <w:textAlignment w:val="center"/>
              <w:rPr>
                <w:rFonts w:ascii="仿宋" w:hAnsi="仿宋" w:eastAsia="仿宋" w:cs="仿宋"/>
                <w:sz w:val="22"/>
                <w:szCs w:val="22"/>
                <w:highlight w:val="none"/>
                <w:lang w:bidi="ar"/>
              </w:rPr>
            </w:pPr>
          </w:p>
        </w:tc>
        <w:tc>
          <w:tcPr>
            <w:tcW w:w="776" w:type="dxa"/>
            <w:vAlign w:val="center"/>
          </w:tcPr>
          <w:p w14:paraId="1A7EED1C">
            <w:pPr>
              <w:jc w:val="center"/>
              <w:textAlignment w:val="center"/>
              <w:rPr>
                <w:rFonts w:hint="eastAsia" w:ascii="仿宋" w:hAnsi="仿宋" w:eastAsia="仿宋" w:cs="仿宋"/>
                <w:sz w:val="22"/>
                <w:szCs w:val="30"/>
                <w:highlight w:val="none"/>
                <w:lang w:bidi="ar"/>
              </w:rPr>
            </w:pPr>
            <w:r>
              <w:rPr>
                <w:rFonts w:hint="eastAsia" w:ascii="仿宋" w:hAnsi="仿宋" w:eastAsia="仿宋" w:cs="仿宋"/>
                <w:sz w:val="22"/>
                <w:szCs w:val="30"/>
                <w:highlight w:val="none"/>
                <w:lang w:bidi="ar"/>
              </w:rPr>
              <w:t>客户服务</w:t>
            </w:r>
          </w:p>
        </w:tc>
        <w:tc>
          <w:tcPr>
            <w:tcW w:w="6393" w:type="dxa"/>
            <w:vAlign w:val="center"/>
          </w:tcPr>
          <w:p w14:paraId="7DC1AE8E">
            <w:pPr>
              <w:jc w:val="left"/>
              <w:textAlignment w:val="center"/>
              <w:rPr>
                <w:rFonts w:hint="eastAsia" w:ascii="仿宋" w:hAnsi="仿宋" w:eastAsia="仿宋" w:cs="仿宋"/>
                <w:sz w:val="22"/>
                <w:szCs w:val="30"/>
                <w:highlight w:val="none"/>
                <w:lang w:eastAsia="zh-CN"/>
              </w:rPr>
            </w:pPr>
            <w:r>
              <w:rPr>
                <w:rFonts w:hint="eastAsia" w:ascii="仿宋" w:hAnsi="仿宋" w:eastAsia="仿宋" w:cs="仿宋"/>
                <w:sz w:val="22"/>
                <w:szCs w:val="30"/>
                <w:highlight w:val="none"/>
              </w:rPr>
              <w:t>配合工程问题排查及跟进、校园重要活动、学校服务档案记录及资料整理等工作</w:t>
            </w:r>
            <w:r>
              <w:rPr>
                <w:rFonts w:hint="eastAsia" w:ascii="仿宋" w:hAnsi="仿宋" w:eastAsia="仿宋" w:cs="仿宋"/>
                <w:sz w:val="22"/>
                <w:szCs w:val="30"/>
                <w:highlight w:val="none"/>
                <w:lang w:eastAsia="zh-CN"/>
              </w:rPr>
              <w:t>。</w:t>
            </w:r>
          </w:p>
        </w:tc>
      </w:tr>
    </w:tbl>
    <w:p w14:paraId="075AE447">
      <w:pPr>
        <w:spacing w:line="360" w:lineRule="auto"/>
        <w:ind w:firstLine="482" w:firstLineChars="200"/>
        <w:rPr>
          <w:rFonts w:ascii="仿宋" w:hAnsi="仿宋" w:eastAsia="仿宋" w:cs="仿宋_GB2312"/>
          <w:b/>
          <w:bCs/>
        </w:rPr>
      </w:pPr>
      <w:r>
        <w:rPr>
          <w:rFonts w:hint="eastAsia" w:ascii="仿宋" w:hAnsi="仿宋" w:eastAsia="仿宋" w:cs="仿宋_GB2312"/>
          <w:b/>
          <w:bCs/>
        </w:rPr>
        <w:t>二、服务要求</w:t>
      </w:r>
    </w:p>
    <w:p w14:paraId="5FD62ECE">
      <w:pPr>
        <w:spacing w:line="360" w:lineRule="auto"/>
        <w:ind w:firstLine="480" w:firstLineChars="200"/>
        <w:rPr>
          <w:rFonts w:ascii="仿宋" w:hAnsi="仿宋" w:eastAsia="仿宋" w:cs="仿宋_GB2312"/>
          <w:highlight w:val="none"/>
        </w:rPr>
      </w:pPr>
      <w:r>
        <w:rPr>
          <w:rFonts w:hint="eastAsia" w:ascii="仿宋" w:hAnsi="仿宋" w:eastAsia="仿宋" w:cs="仿宋_GB2312"/>
          <w:highlight w:val="none"/>
        </w:rPr>
        <w:t>1、物业服务人员配置要求</w:t>
      </w:r>
    </w:p>
    <w:p w14:paraId="50668298">
      <w:pPr>
        <w:spacing w:line="360" w:lineRule="auto"/>
        <w:ind w:firstLine="480" w:firstLineChars="200"/>
        <w:rPr>
          <w:rFonts w:ascii="仿宋" w:hAnsi="仿宋" w:eastAsia="仿宋" w:cs="仿宋_GB2312"/>
          <w:color w:val="0000FF"/>
          <w:highlight w:val="none"/>
        </w:rPr>
      </w:pPr>
      <w:r>
        <w:rPr>
          <w:rFonts w:ascii="仿宋" w:hAnsi="仿宋" w:eastAsia="仿宋" w:cs="仿宋_GB2312"/>
          <w:highlight w:val="none"/>
        </w:rPr>
        <w:t>为该项目最多配置专职物业服务人数为49人（含管理人员2名），其中环境卫生服务人数22人，秩序服务13人，工程维修服务6人</w:t>
      </w:r>
      <w:r>
        <w:rPr>
          <w:rFonts w:hint="eastAsia" w:ascii="仿宋" w:hAnsi="仿宋" w:eastAsia="仿宋" w:cs="仿宋_GB2312"/>
          <w:highlight w:val="none"/>
        </w:rPr>
        <w:t>，绿化服务4人，消控室2人</w:t>
      </w:r>
      <w:r>
        <w:rPr>
          <w:rFonts w:ascii="仿宋" w:hAnsi="仿宋" w:eastAsia="仿宋" w:cs="仿宋_GB2312"/>
          <w:highlight w:val="none"/>
        </w:rPr>
        <w:t>。</w:t>
      </w:r>
      <w:r>
        <w:rPr>
          <w:rFonts w:hint="eastAsia" w:ascii="仿宋" w:hAnsi="仿宋" w:eastAsia="仿宋" w:cs="仿宋_GB2312"/>
          <w:highlight w:val="none"/>
        </w:rPr>
        <w:t>具体详见下表：</w:t>
      </w:r>
    </w:p>
    <w:tbl>
      <w:tblPr>
        <w:tblStyle w:val="4"/>
        <w:tblW w:w="498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1"/>
        <w:gridCol w:w="2036"/>
        <w:gridCol w:w="1973"/>
        <w:gridCol w:w="4136"/>
      </w:tblGrid>
      <w:tr w14:paraId="0554A3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blHeader/>
        </w:trPr>
        <w:tc>
          <w:tcPr>
            <w:tcW w:w="605" w:type="pct"/>
            <w:vAlign w:val="center"/>
          </w:tcPr>
          <w:p w14:paraId="28DC29E1">
            <w:pPr>
              <w:widowControl/>
              <w:spacing w:line="288" w:lineRule="auto"/>
              <w:jc w:val="center"/>
              <w:rPr>
                <w:rFonts w:ascii="仿宋" w:hAnsi="仿宋" w:eastAsia="仿宋" w:cs="仿宋"/>
                <w:b/>
                <w:bCs/>
                <w:sz w:val="22"/>
                <w:szCs w:val="22"/>
                <w:highlight w:val="none"/>
              </w:rPr>
            </w:pPr>
            <w:r>
              <w:rPr>
                <w:rFonts w:hint="eastAsia" w:ascii="仿宋" w:hAnsi="仿宋" w:eastAsia="仿宋" w:cs="仿宋"/>
                <w:b/>
                <w:bCs/>
                <w:sz w:val="22"/>
                <w:szCs w:val="22"/>
                <w:highlight w:val="none"/>
              </w:rPr>
              <w:t>序号</w:t>
            </w:r>
          </w:p>
        </w:tc>
        <w:tc>
          <w:tcPr>
            <w:tcW w:w="1098" w:type="pct"/>
            <w:vAlign w:val="center"/>
          </w:tcPr>
          <w:p w14:paraId="0AE1BAD6">
            <w:pPr>
              <w:widowControl/>
              <w:spacing w:line="288" w:lineRule="auto"/>
              <w:jc w:val="center"/>
              <w:rPr>
                <w:rFonts w:ascii="仿宋" w:hAnsi="仿宋" w:eastAsia="仿宋" w:cs="仿宋"/>
                <w:b/>
                <w:bCs/>
                <w:sz w:val="22"/>
                <w:szCs w:val="22"/>
                <w:highlight w:val="none"/>
              </w:rPr>
            </w:pPr>
            <w:r>
              <w:rPr>
                <w:rFonts w:hint="eastAsia" w:ascii="仿宋" w:hAnsi="仿宋" w:eastAsia="仿宋" w:cs="仿宋"/>
                <w:b/>
                <w:bCs/>
                <w:sz w:val="22"/>
                <w:szCs w:val="22"/>
                <w:highlight w:val="none"/>
              </w:rPr>
              <w:t>岗位</w:t>
            </w:r>
          </w:p>
        </w:tc>
        <w:tc>
          <w:tcPr>
            <w:tcW w:w="1064" w:type="pct"/>
            <w:vAlign w:val="center"/>
          </w:tcPr>
          <w:p w14:paraId="46063B8B">
            <w:pPr>
              <w:widowControl/>
              <w:spacing w:line="288" w:lineRule="auto"/>
              <w:jc w:val="center"/>
              <w:rPr>
                <w:rFonts w:ascii="仿宋" w:hAnsi="仿宋" w:eastAsia="仿宋" w:cs="仿宋"/>
                <w:b/>
                <w:bCs/>
                <w:sz w:val="22"/>
                <w:szCs w:val="22"/>
                <w:highlight w:val="none"/>
              </w:rPr>
            </w:pPr>
            <w:r>
              <w:rPr>
                <w:rFonts w:hint="eastAsia" w:ascii="仿宋" w:hAnsi="仿宋" w:eastAsia="仿宋" w:cs="仿宋"/>
                <w:b/>
                <w:bCs/>
                <w:sz w:val="22"/>
                <w:szCs w:val="22"/>
                <w:highlight w:val="none"/>
              </w:rPr>
              <w:t>人数</w:t>
            </w:r>
          </w:p>
        </w:tc>
        <w:tc>
          <w:tcPr>
            <w:tcW w:w="2231" w:type="pct"/>
            <w:vAlign w:val="center"/>
          </w:tcPr>
          <w:p w14:paraId="600FD8A3">
            <w:pPr>
              <w:widowControl/>
              <w:spacing w:line="288" w:lineRule="auto"/>
              <w:jc w:val="center"/>
              <w:rPr>
                <w:rFonts w:ascii="仿宋" w:hAnsi="仿宋" w:eastAsia="仿宋" w:cs="仿宋"/>
                <w:b/>
                <w:bCs/>
                <w:sz w:val="22"/>
                <w:szCs w:val="22"/>
                <w:highlight w:val="none"/>
              </w:rPr>
            </w:pPr>
            <w:r>
              <w:rPr>
                <w:rFonts w:hint="eastAsia" w:ascii="仿宋" w:hAnsi="仿宋" w:eastAsia="仿宋" w:cs="仿宋"/>
                <w:b/>
                <w:bCs/>
                <w:sz w:val="22"/>
                <w:szCs w:val="22"/>
                <w:highlight w:val="none"/>
              </w:rPr>
              <w:t>备注</w:t>
            </w:r>
          </w:p>
        </w:tc>
      </w:tr>
      <w:tr w14:paraId="022F1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05" w:type="pct"/>
            <w:vAlign w:val="center"/>
          </w:tcPr>
          <w:p w14:paraId="0BA8C86B">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1</w:t>
            </w:r>
          </w:p>
        </w:tc>
        <w:tc>
          <w:tcPr>
            <w:tcW w:w="1098" w:type="pct"/>
            <w:vAlign w:val="center"/>
          </w:tcPr>
          <w:p w14:paraId="535BF43C">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项目经理</w:t>
            </w:r>
          </w:p>
        </w:tc>
        <w:tc>
          <w:tcPr>
            <w:tcW w:w="1064" w:type="pct"/>
            <w:vAlign w:val="center"/>
          </w:tcPr>
          <w:p w14:paraId="12B9745D">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1</w:t>
            </w:r>
          </w:p>
        </w:tc>
        <w:tc>
          <w:tcPr>
            <w:tcW w:w="2231" w:type="pct"/>
            <w:vAlign w:val="center"/>
          </w:tcPr>
          <w:p w14:paraId="5C917A1F">
            <w:pPr>
              <w:widowControl/>
              <w:spacing w:line="288" w:lineRule="auto"/>
              <w:jc w:val="center"/>
              <w:rPr>
                <w:rFonts w:ascii="仿宋" w:hAnsi="仿宋" w:eastAsia="仿宋" w:cs="仿宋"/>
                <w:sz w:val="22"/>
                <w:szCs w:val="22"/>
                <w:highlight w:val="none"/>
              </w:rPr>
            </w:pPr>
          </w:p>
        </w:tc>
      </w:tr>
      <w:tr w14:paraId="7E433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05" w:type="pct"/>
            <w:vAlign w:val="center"/>
          </w:tcPr>
          <w:p w14:paraId="5CD64114">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2</w:t>
            </w:r>
          </w:p>
        </w:tc>
        <w:tc>
          <w:tcPr>
            <w:tcW w:w="1098" w:type="pct"/>
            <w:vAlign w:val="center"/>
          </w:tcPr>
          <w:p w14:paraId="638C55C3">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综合主管</w:t>
            </w:r>
          </w:p>
        </w:tc>
        <w:tc>
          <w:tcPr>
            <w:tcW w:w="1064" w:type="pct"/>
            <w:vAlign w:val="center"/>
          </w:tcPr>
          <w:p w14:paraId="1D50801C">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1</w:t>
            </w:r>
          </w:p>
        </w:tc>
        <w:tc>
          <w:tcPr>
            <w:tcW w:w="2231" w:type="pct"/>
            <w:vAlign w:val="center"/>
          </w:tcPr>
          <w:p w14:paraId="53EE6882">
            <w:pPr>
              <w:widowControl/>
              <w:spacing w:line="288" w:lineRule="auto"/>
              <w:jc w:val="center"/>
              <w:rPr>
                <w:rFonts w:ascii="仿宋" w:hAnsi="仿宋" w:eastAsia="仿宋" w:cs="仿宋"/>
                <w:sz w:val="22"/>
                <w:szCs w:val="22"/>
                <w:highlight w:val="none"/>
              </w:rPr>
            </w:pPr>
          </w:p>
        </w:tc>
      </w:tr>
      <w:tr w14:paraId="00BEC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pct"/>
            <w:vAlign w:val="center"/>
          </w:tcPr>
          <w:p w14:paraId="72BC4C8C">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3</w:t>
            </w:r>
          </w:p>
        </w:tc>
        <w:tc>
          <w:tcPr>
            <w:tcW w:w="1098" w:type="pct"/>
            <w:vAlign w:val="center"/>
          </w:tcPr>
          <w:p w14:paraId="06EBE2D7">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保洁班长</w:t>
            </w:r>
          </w:p>
        </w:tc>
        <w:tc>
          <w:tcPr>
            <w:tcW w:w="1064" w:type="pct"/>
            <w:vAlign w:val="center"/>
          </w:tcPr>
          <w:p w14:paraId="39D58FFD">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1</w:t>
            </w:r>
          </w:p>
        </w:tc>
        <w:tc>
          <w:tcPr>
            <w:tcW w:w="2231" w:type="pct"/>
            <w:vAlign w:val="center"/>
          </w:tcPr>
          <w:p w14:paraId="5BE3E351">
            <w:pPr>
              <w:widowControl/>
              <w:spacing w:line="288" w:lineRule="auto"/>
              <w:jc w:val="center"/>
              <w:rPr>
                <w:rFonts w:ascii="仿宋" w:hAnsi="仿宋" w:eastAsia="仿宋" w:cs="仿宋"/>
                <w:sz w:val="22"/>
                <w:szCs w:val="22"/>
                <w:highlight w:val="none"/>
              </w:rPr>
            </w:pPr>
          </w:p>
        </w:tc>
      </w:tr>
      <w:tr w14:paraId="5BAF9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pct"/>
            <w:vAlign w:val="center"/>
          </w:tcPr>
          <w:p w14:paraId="3EFDE475">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4</w:t>
            </w:r>
          </w:p>
        </w:tc>
        <w:tc>
          <w:tcPr>
            <w:tcW w:w="1098" w:type="pct"/>
            <w:vAlign w:val="center"/>
          </w:tcPr>
          <w:p w14:paraId="52F7906B">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保洁人员</w:t>
            </w:r>
          </w:p>
        </w:tc>
        <w:tc>
          <w:tcPr>
            <w:tcW w:w="1064" w:type="pct"/>
            <w:vAlign w:val="center"/>
          </w:tcPr>
          <w:p w14:paraId="7A4DBBB2">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2</w:t>
            </w:r>
            <w:r>
              <w:rPr>
                <w:rFonts w:ascii="仿宋" w:hAnsi="仿宋" w:eastAsia="仿宋" w:cs="仿宋"/>
                <w:sz w:val="22"/>
                <w:szCs w:val="22"/>
                <w:highlight w:val="none"/>
              </w:rPr>
              <w:t>1</w:t>
            </w:r>
          </w:p>
        </w:tc>
        <w:tc>
          <w:tcPr>
            <w:tcW w:w="2231" w:type="pct"/>
            <w:vAlign w:val="center"/>
          </w:tcPr>
          <w:p w14:paraId="0C739A24">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室内保洁1</w:t>
            </w:r>
            <w:r>
              <w:rPr>
                <w:rFonts w:ascii="仿宋" w:hAnsi="仿宋" w:eastAsia="仿宋" w:cs="仿宋"/>
                <w:sz w:val="22"/>
                <w:szCs w:val="22"/>
                <w:highlight w:val="none"/>
              </w:rPr>
              <w:t>7</w:t>
            </w:r>
            <w:r>
              <w:rPr>
                <w:rFonts w:hint="eastAsia" w:ascii="仿宋" w:hAnsi="仿宋" w:eastAsia="仿宋" w:cs="仿宋"/>
                <w:sz w:val="22"/>
                <w:szCs w:val="22"/>
                <w:highlight w:val="none"/>
              </w:rPr>
              <w:t>人，室外保洁</w:t>
            </w:r>
            <w:r>
              <w:rPr>
                <w:rFonts w:hint="eastAsia" w:ascii="仿宋" w:hAnsi="仿宋" w:eastAsia="仿宋" w:cs="仿宋"/>
                <w:sz w:val="22"/>
                <w:szCs w:val="22"/>
                <w:highlight w:val="none"/>
                <w:lang w:val="en-US" w:eastAsia="zh-CN"/>
              </w:rPr>
              <w:t>3</w:t>
            </w:r>
            <w:r>
              <w:rPr>
                <w:rFonts w:hint="eastAsia" w:ascii="仿宋" w:hAnsi="仿宋" w:eastAsia="仿宋" w:cs="仿宋"/>
                <w:sz w:val="22"/>
                <w:szCs w:val="22"/>
                <w:highlight w:val="none"/>
              </w:rPr>
              <w:t>人，地下室保洁1人</w:t>
            </w:r>
          </w:p>
        </w:tc>
      </w:tr>
      <w:tr w14:paraId="11CFC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pct"/>
            <w:vAlign w:val="center"/>
          </w:tcPr>
          <w:p w14:paraId="6AD3238F">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5</w:t>
            </w:r>
          </w:p>
        </w:tc>
        <w:tc>
          <w:tcPr>
            <w:tcW w:w="1098" w:type="pct"/>
            <w:vAlign w:val="center"/>
          </w:tcPr>
          <w:p w14:paraId="78995129">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保安班长</w:t>
            </w:r>
          </w:p>
        </w:tc>
        <w:tc>
          <w:tcPr>
            <w:tcW w:w="1064" w:type="pct"/>
            <w:vAlign w:val="center"/>
          </w:tcPr>
          <w:p w14:paraId="431A1DDC">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2</w:t>
            </w:r>
          </w:p>
        </w:tc>
        <w:tc>
          <w:tcPr>
            <w:tcW w:w="2231" w:type="pct"/>
            <w:vAlign w:val="center"/>
          </w:tcPr>
          <w:p w14:paraId="2969EE9E">
            <w:pPr>
              <w:widowControl/>
              <w:spacing w:line="288" w:lineRule="auto"/>
              <w:jc w:val="center"/>
              <w:rPr>
                <w:rFonts w:ascii="仿宋" w:hAnsi="仿宋" w:eastAsia="仿宋" w:cs="仿宋"/>
                <w:sz w:val="22"/>
                <w:szCs w:val="22"/>
                <w:highlight w:val="none"/>
              </w:rPr>
            </w:pPr>
          </w:p>
        </w:tc>
      </w:tr>
      <w:tr w14:paraId="493C8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pct"/>
            <w:vAlign w:val="center"/>
          </w:tcPr>
          <w:p w14:paraId="0F9EBAB7">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6</w:t>
            </w:r>
          </w:p>
        </w:tc>
        <w:tc>
          <w:tcPr>
            <w:tcW w:w="1098" w:type="pct"/>
            <w:vAlign w:val="center"/>
          </w:tcPr>
          <w:p w14:paraId="2CAEC11A">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保安人员</w:t>
            </w:r>
          </w:p>
        </w:tc>
        <w:tc>
          <w:tcPr>
            <w:tcW w:w="1064" w:type="pct"/>
            <w:vAlign w:val="center"/>
          </w:tcPr>
          <w:p w14:paraId="119A5DEF">
            <w:pPr>
              <w:widowControl/>
              <w:spacing w:line="288" w:lineRule="auto"/>
              <w:jc w:val="center"/>
              <w:rPr>
                <w:rFonts w:ascii="仿宋" w:hAnsi="仿宋" w:eastAsia="仿宋" w:cs="仿宋"/>
                <w:sz w:val="22"/>
                <w:szCs w:val="22"/>
                <w:highlight w:val="none"/>
              </w:rPr>
            </w:pPr>
            <w:r>
              <w:rPr>
                <w:rFonts w:ascii="仿宋" w:hAnsi="仿宋" w:eastAsia="仿宋" w:cs="仿宋"/>
                <w:sz w:val="22"/>
                <w:szCs w:val="22"/>
                <w:highlight w:val="none"/>
              </w:rPr>
              <w:t>11</w:t>
            </w:r>
          </w:p>
        </w:tc>
        <w:tc>
          <w:tcPr>
            <w:tcW w:w="2231" w:type="pct"/>
            <w:vAlign w:val="center"/>
          </w:tcPr>
          <w:p w14:paraId="0A50E57A">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白班、夜班大门门岗6人，巡查岗</w:t>
            </w:r>
            <w:r>
              <w:rPr>
                <w:rFonts w:ascii="仿宋" w:hAnsi="仿宋" w:eastAsia="仿宋" w:cs="仿宋"/>
                <w:sz w:val="22"/>
                <w:szCs w:val="22"/>
                <w:highlight w:val="none"/>
              </w:rPr>
              <w:t>5</w:t>
            </w:r>
            <w:r>
              <w:rPr>
                <w:rFonts w:hint="eastAsia" w:ascii="仿宋" w:hAnsi="仿宋" w:eastAsia="仿宋" w:cs="仿宋"/>
                <w:sz w:val="22"/>
                <w:szCs w:val="22"/>
                <w:highlight w:val="none"/>
              </w:rPr>
              <w:t>人</w:t>
            </w:r>
          </w:p>
        </w:tc>
      </w:tr>
      <w:tr w14:paraId="25585B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pct"/>
            <w:vAlign w:val="center"/>
          </w:tcPr>
          <w:p w14:paraId="37C7410E">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7</w:t>
            </w:r>
          </w:p>
        </w:tc>
        <w:tc>
          <w:tcPr>
            <w:tcW w:w="1098" w:type="pct"/>
            <w:vAlign w:val="center"/>
          </w:tcPr>
          <w:p w14:paraId="1B795847">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消防监控人员</w:t>
            </w:r>
          </w:p>
        </w:tc>
        <w:tc>
          <w:tcPr>
            <w:tcW w:w="1064" w:type="pct"/>
            <w:vAlign w:val="center"/>
          </w:tcPr>
          <w:p w14:paraId="60C6A4E1">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2</w:t>
            </w:r>
          </w:p>
        </w:tc>
        <w:tc>
          <w:tcPr>
            <w:tcW w:w="2231" w:type="pct"/>
            <w:vAlign w:val="center"/>
          </w:tcPr>
          <w:p w14:paraId="224B256C">
            <w:pPr>
              <w:widowControl/>
              <w:spacing w:line="288" w:lineRule="auto"/>
              <w:jc w:val="center"/>
              <w:rPr>
                <w:rFonts w:ascii="仿宋" w:hAnsi="仿宋" w:eastAsia="仿宋" w:cs="仿宋"/>
                <w:sz w:val="22"/>
                <w:szCs w:val="22"/>
                <w:highlight w:val="none"/>
              </w:rPr>
            </w:pPr>
          </w:p>
        </w:tc>
      </w:tr>
      <w:tr w14:paraId="77E829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pct"/>
            <w:vAlign w:val="center"/>
          </w:tcPr>
          <w:p w14:paraId="6A557B4F">
            <w:pPr>
              <w:widowControl w:val="0"/>
              <w:spacing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8</w:t>
            </w:r>
          </w:p>
        </w:tc>
        <w:tc>
          <w:tcPr>
            <w:tcW w:w="1098" w:type="pct"/>
            <w:vAlign w:val="center"/>
          </w:tcPr>
          <w:p w14:paraId="19BBBA31">
            <w:pPr>
              <w:widowControl w:val="0"/>
              <w:spacing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工程维修班长</w:t>
            </w:r>
          </w:p>
        </w:tc>
        <w:tc>
          <w:tcPr>
            <w:tcW w:w="1064" w:type="pct"/>
            <w:vAlign w:val="center"/>
          </w:tcPr>
          <w:p w14:paraId="343A446F">
            <w:pPr>
              <w:widowControl w:val="0"/>
              <w:spacing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w:t>
            </w:r>
          </w:p>
        </w:tc>
        <w:tc>
          <w:tcPr>
            <w:tcW w:w="2231" w:type="pct"/>
            <w:vAlign w:val="center"/>
          </w:tcPr>
          <w:p w14:paraId="3174EFF8">
            <w:pPr>
              <w:widowControl w:val="0"/>
              <w:spacing w:line="288" w:lineRule="auto"/>
              <w:jc w:val="center"/>
              <w:rPr>
                <w:rFonts w:ascii="仿宋" w:hAnsi="仿宋" w:eastAsia="仿宋" w:cs="仿宋"/>
                <w:sz w:val="22"/>
                <w:szCs w:val="22"/>
                <w:highlight w:val="none"/>
              </w:rPr>
            </w:pPr>
          </w:p>
        </w:tc>
      </w:tr>
      <w:tr w14:paraId="7D1DF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pct"/>
            <w:vAlign w:val="center"/>
          </w:tcPr>
          <w:p w14:paraId="76362271">
            <w:pPr>
              <w:widowControl/>
              <w:spacing w:line="288" w:lineRule="auto"/>
              <w:jc w:val="center"/>
              <w:rPr>
                <w:rFonts w:ascii="仿宋" w:hAnsi="仿宋" w:eastAsia="仿宋" w:cs="仿宋"/>
                <w:sz w:val="22"/>
                <w:szCs w:val="22"/>
                <w:highlight w:val="none"/>
              </w:rPr>
            </w:pPr>
            <w:r>
              <w:rPr>
                <w:rFonts w:ascii="仿宋" w:hAnsi="仿宋" w:eastAsia="仿宋" w:cs="仿宋"/>
                <w:sz w:val="22"/>
                <w:szCs w:val="22"/>
                <w:highlight w:val="none"/>
              </w:rPr>
              <w:t>9</w:t>
            </w:r>
          </w:p>
        </w:tc>
        <w:tc>
          <w:tcPr>
            <w:tcW w:w="1098" w:type="pct"/>
            <w:vAlign w:val="center"/>
          </w:tcPr>
          <w:p w14:paraId="2D108676">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工程维修人员</w:t>
            </w:r>
          </w:p>
        </w:tc>
        <w:tc>
          <w:tcPr>
            <w:tcW w:w="1064" w:type="pct"/>
            <w:vAlign w:val="center"/>
          </w:tcPr>
          <w:p w14:paraId="5E27792A">
            <w:pPr>
              <w:widowControl/>
              <w:spacing w:line="288" w:lineRule="auto"/>
              <w:jc w:val="center"/>
              <w:rPr>
                <w:rFonts w:ascii="仿宋" w:hAnsi="仿宋" w:eastAsia="仿宋" w:cs="仿宋"/>
                <w:sz w:val="22"/>
                <w:szCs w:val="22"/>
                <w:highlight w:val="none"/>
              </w:rPr>
            </w:pPr>
            <w:r>
              <w:rPr>
                <w:rFonts w:ascii="仿宋" w:hAnsi="仿宋" w:eastAsia="仿宋" w:cs="仿宋"/>
                <w:sz w:val="22"/>
                <w:szCs w:val="22"/>
                <w:highlight w:val="none"/>
              </w:rPr>
              <w:t>5</w:t>
            </w:r>
          </w:p>
        </w:tc>
        <w:tc>
          <w:tcPr>
            <w:tcW w:w="2231" w:type="pct"/>
            <w:vAlign w:val="center"/>
          </w:tcPr>
          <w:p w14:paraId="28E675B8">
            <w:pPr>
              <w:widowControl/>
              <w:spacing w:line="288" w:lineRule="auto"/>
              <w:jc w:val="center"/>
              <w:rPr>
                <w:rFonts w:ascii="仿宋" w:hAnsi="仿宋" w:eastAsia="仿宋" w:cs="仿宋"/>
                <w:sz w:val="22"/>
                <w:szCs w:val="22"/>
                <w:highlight w:val="none"/>
              </w:rPr>
            </w:pPr>
            <w:r>
              <w:rPr>
                <w:rFonts w:ascii="仿宋" w:hAnsi="仿宋" w:eastAsia="仿宋" w:cs="仿宋_GB2312"/>
                <w:sz w:val="22"/>
                <w:szCs w:val="22"/>
                <w:highlight w:val="none"/>
              </w:rPr>
              <w:t>维修人员包括但不限于暖通、给排水、高低压配电等专业技术人员</w:t>
            </w:r>
          </w:p>
        </w:tc>
      </w:tr>
      <w:tr w14:paraId="228A7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pct"/>
            <w:vAlign w:val="center"/>
          </w:tcPr>
          <w:p w14:paraId="4438169A">
            <w:pPr>
              <w:widowControl w:val="0"/>
              <w:spacing w:line="288" w:lineRule="auto"/>
              <w:jc w:val="center"/>
              <w:rPr>
                <w:rFonts w:hint="eastAsia" w:ascii="仿宋" w:hAnsi="仿宋" w:eastAsia="仿宋" w:cs="仿宋"/>
                <w:sz w:val="22"/>
                <w:szCs w:val="22"/>
                <w:highlight w:val="none"/>
              </w:rPr>
            </w:pPr>
            <w:r>
              <w:rPr>
                <w:rFonts w:ascii="仿宋" w:hAnsi="仿宋" w:eastAsia="仿宋" w:cs="仿宋"/>
                <w:sz w:val="22"/>
                <w:szCs w:val="22"/>
                <w:highlight w:val="none"/>
              </w:rPr>
              <w:t>10</w:t>
            </w:r>
          </w:p>
        </w:tc>
        <w:tc>
          <w:tcPr>
            <w:tcW w:w="1098" w:type="pct"/>
            <w:vAlign w:val="center"/>
          </w:tcPr>
          <w:p w14:paraId="4889F140">
            <w:pPr>
              <w:widowControl w:val="0"/>
              <w:spacing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绿化班长</w:t>
            </w:r>
          </w:p>
        </w:tc>
        <w:tc>
          <w:tcPr>
            <w:tcW w:w="1064" w:type="pct"/>
            <w:vAlign w:val="center"/>
          </w:tcPr>
          <w:p w14:paraId="53CC8D9C">
            <w:pPr>
              <w:widowControl w:val="0"/>
              <w:spacing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w:t>
            </w:r>
          </w:p>
        </w:tc>
        <w:tc>
          <w:tcPr>
            <w:tcW w:w="2231" w:type="pct"/>
            <w:vAlign w:val="center"/>
          </w:tcPr>
          <w:p w14:paraId="3D77AB14">
            <w:pPr>
              <w:widowControl w:val="0"/>
              <w:spacing w:line="288" w:lineRule="auto"/>
              <w:jc w:val="center"/>
              <w:rPr>
                <w:rFonts w:ascii="仿宋" w:hAnsi="仿宋" w:eastAsia="仿宋" w:cs="仿宋_GB2312"/>
                <w:sz w:val="22"/>
                <w:szCs w:val="22"/>
                <w:highlight w:val="none"/>
              </w:rPr>
            </w:pPr>
          </w:p>
        </w:tc>
      </w:tr>
      <w:tr w14:paraId="0D0B7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5" w:type="pct"/>
            <w:vAlign w:val="center"/>
          </w:tcPr>
          <w:p w14:paraId="271B14D1">
            <w:pPr>
              <w:widowControl w:val="0"/>
              <w:spacing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1</w:t>
            </w:r>
            <w:r>
              <w:rPr>
                <w:rFonts w:ascii="仿宋" w:hAnsi="仿宋" w:eastAsia="仿宋" w:cs="仿宋"/>
                <w:sz w:val="22"/>
                <w:szCs w:val="22"/>
                <w:highlight w:val="none"/>
              </w:rPr>
              <w:t>1</w:t>
            </w:r>
          </w:p>
        </w:tc>
        <w:tc>
          <w:tcPr>
            <w:tcW w:w="1098" w:type="pct"/>
            <w:vAlign w:val="center"/>
          </w:tcPr>
          <w:p w14:paraId="46ACF7C5">
            <w:pPr>
              <w:widowControl w:val="0"/>
              <w:spacing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绿化人员</w:t>
            </w:r>
          </w:p>
        </w:tc>
        <w:tc>
          <w:tcPr>
            <w:tcW w:w="1064" w:type="pct"/>
            <w:vAlign w:val="center"/>
          </w:tcPr>
          <w:p w14:paraId="44961220">
            <w:pPr>
              <w:widowControl w:val="0"/>
              <w:spacing w:line="288" w:lineRule="auto"/>
              <w:jc w:val="center"/>
              <w:rPr>
                <w:rFonts w:hint="eastAsia" w:ascii="仿宋" w:hAnsi="仿宋" w:eastAsia="仿宋" w:cs="仿宋"/>
                <w:sz w:val="22"/>
                <w:szCs w:val="22"/>
                <w:highlight w:val="none"/>
              </w:rPr>
            </w:pPr>
            <w:r>
              <w:rPr>
                <w:rFonts w:hint="eastAsia" w:ascii="仿宋" w:hAnsi="仿宋" w:eastAsia="仿宋" w:cs="仿宋"/>
                <w:sz w:val="22"/>
                <w:szCs w:val="22"/>
                <w:highlight w:val="none"/>
              </w:rPr>
              <w:t>3</w:t>
            </w:r>
          </w:p>
        </w:tc>
        <w:tc>
          <w:tcPr>
            <w:tcW w:w="2231" w:type="pct"/>
            <w:vAlign w:val="center"/>
          </w:tcPr>
          <w:p w14:paraId="1E24AB7F">
            <w:pPr>
              <w:widowControl w:val="0"/>
              <w:spacing w:line="288" w:lineRule="auto"/>
              <w:jc w:val="center"/>
              <w:rPr>
                <w:rFonts w:ascii="仿宋" w:hAnsi="仿宋" w:eastAsia="仿宋" w:cs="仿宋_GB2312"/>
                <w:sz w:val="22"/>
                <w:szCs w:val="22"/>
                <w:highlight w:val="none"/>
              </w:rPr>
            </w:pPr>
          </w:p>
        </w:tc>
      </w:tr>
      <w:tr w14:paraId="5BE98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3" w:type="pct"/>
            <w:gridSpan w:val="2"/>
            <w:vAlign w:val="center"/>
          </w:tcPr>
          <w:p w14:paraId="12DB5FC9">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合计</w:t>
            </w:r>
          </w:p>
        </w:tc>
        <w:tc>
          <w:tcPr>
            <w:tcW w:w="1064" w:type="pct"/>
            <w:vAlign w:val="center"/>
          </w:tcPr>
          <w:p w14:paraId="2A5C824D">
            <w:pPr>
              <w:widowControl/>
              <w:spacing w:line="288" w:lineRule="auto"/>
              <w:jc w:val="center"/>
              <w:rPr>
                <w:rFonts w:ascii="仿宋" w:hAnsi="仿宋" w:eastAsia="仿宋" w:cs="仿宋"/>
                <w:sz w:val="22"/>
                <w:szCs w:val="22"/>
                <w:highlight w:val="none"/>
              </w:rPr>
            </w:pPr>
            <w:r>
              <w:rPr>
                <w:rFonts w:hint="eastAsia" w:ascii="仿宋" w:hAnsi="仿宋" w:eastAsia="仿宋" w:cs="仿宋"/>
                <w:sz w:val="22"/>
                <w:szCs w:val="22"/>
                <w:highlight w:val="none"/>
              </w:rPr>
              <w:t>4</w:t>
            </w:r>
            <w:r>
              <w:rPr>
                <w:rFonts w:ascii="仿宋" w:hAnsi="仿宋" w:eastAsia="仿宋" w:cs="仿宋"/>
                <w:sz w:val="22"/>
                <w:szCs w:val="22"/>
                <w:highlight w:val="none"/>
              </w:rPr>
              <w:t>9</w:t>
            </w:r>
          </w:p>
        </w:tc>
        <w:tc>
          <w:tcPr>
            <w:tcW w:w="2231" w:type="pct"/>
            <w:vAlign w:val="center"/>
          </w:tcPr>
          <w:p w14:paraId="39AAB164">
            <w:pPr>
              <w:widowControl/>
              <w:spacing w:line="288" w:lineRule="auto"/>
              <w:jc w:val="center"/>
              <w:rPr>
                <w:rFonts w:ascii="仿宋" w:hAnsi="仿宋" w:eastAsia="仿宋" w:cs="仿宋"/>
                <w:sz w:val="22"/>
                <w:szCs w:val="22"/>
                <w:highlight w:val="none"/>
              </w:rPr>
            </w:pPr>
          </w:p>
        </w:tc>
      </w:tr>
    </w:tbl>
    <w:p w14:paraId="6F3AA510">
      <w:pPr>
        <w:spacing w:line="360" w:lineRule="auto"/>
        <w:ind w:firstLine="480" w:firstLineChars="200"/>
        <w:rPr>
          <w:rFonts w:ascii="仿宋" w:hAnsi="仿宋" w:eastAsia="仿宋" w:cs="仿宋"/>
          <w:szCs w:val="24"/>
        </w:rPr>
      </w:pPr>
      <w:r>
        <w:rPr>
          <w:rFonts w:hint="eastAsia" w:ascii="仿宋" w:hAnsi="仿宋" w:eastAsia="仿宋" w:cs="仿宋"/>
          <w:szCs w:val="24"/>
        </w:rPr>
        <w:t>2、物业服务团队基本要求</w:t>
      </w:r>
    </w:p>
    <w:p w14:paraId="1DB9BBAE">
      <w:pPr>
        <w:spacing w:line="360" w:lineRule="auto"/>
        <w:ind w:firstLine="480" w:firstLineChars="200"/>
        <w:rPr>
          <w:rFonts w:ascii="仿宋" w:hAnsi="仿宋" w:eastAsia="仿宋" w:cs="仿宋"/>
          <w:szCs w:val="24"/>
        </w:rPr>
      </w:pPr>
      <w:r>
        <w:rPr>
          <w:rFonts w:hint="eastAsia" w:ascii="仿宋" w:hAnsi="仿宋" w:eastAsia="仿宋" w:cs="仿宋"/>
          <w:szCs w:val="24"/>
        </w:rPr>
        <w:t>要求身体健康，不得有心脑血管类、精神类、传染类以及癫痫等其他影响工作正常开展的疾病。无犯罪史及违法行为记录，成交供应商在与采购人签订服务合同时须同时提供服务人员的无犯罪证明、身份证、保安证（仅安保人员提供）等。年龄区间要求20岁至5</w:t>
      </w:r>
      <w:r>
        <w:rPr>
          <w:rFonts w:ascii="仿宋" w:hAnsi="仿宋" w:eastAsia="仿宋" w:cs="仿宋"/>
          <w:szCs w:val="24"/>
        </w:rPr>
        <w:t>5</w:t>
      </w:r>
      <w:r>
        <w:rPr>
          <w:rFonts w:hint="eastAsia" w:ascii="仿宋" w:hAnsi="仿宋" w:eastAsia="仿宋" w:cs="仿宋"/>
          <w:szCs w:val="24"/>
        </w:rPr>
        <w:t>岁。</w:t>
      </w:r>
    </w:p>
    <w:p w14:paraId="6C281C53">
      <w:pPr>
        <w:spacing w:line="360" w:lineRule="auto"/>
        <w:ind w:firstLine="482" w:firstLineChars="200"/>
        <w:rPr>
          <w:rFonts w:ascii="仿宋" w:hAnsi="仿宋" w:eastAsia="仿宋" w:cs="仿宋"/>
          <w:b/>
          <w:bCs/>
          <w:szCs w:val="24"/>
        </w:rPr>
      </w:pPr>
      <w:r>
        <w:rPr>
          <w:rFonts w:hint="eastAsia" w:ascii="仿宋" w:hAnsi="仿宋" w:eastAsia="仿宋" w:cs="仿宋"/>
          <w:b/>
          <w:bCs/>
          <w:szCs w:val="24"/>
        </w:rPr>
        <w:t>三、服务标准</w:t>
      </w:r>
    </w:p>
    <w:p w14:paraId="2D958187">
      <w:pPr>
        <w:spacing w:line="360" w:lineRule="auto"/>
        <w:ind w:firstLine="482" w:firstLineChars="200"/>
        <w:rPr>
          <w:rFonts w:ascii="仿宋" w:hAnsi="仿宋" w:eastAsia="仿宋" w:cs="仿宋"/>
          <w:b/>
          <w:bCs/>
          <w:szCs w:val="24"/>
        </w:rPr>
      </w:pPr>
      <w:r>
        <w:rPr>
          <w:rFonts w:hint="eastAsia" w:ascii="仿宋" w:hAnsi="仿宋" w:eastAsia="仿宋" w:cs="仿宋"/>
          <w:b/>
          <w:bCs/>
          <w:szCs w:val="24"/>
        </w:rPr>
        <w:t>1、总体管理目标</w:t>
      </w:r>
    </w:p>
    <w:p w14:paraId="4E5EDAD7">
      <w:pPr>
        <w:spacing w:line="360" w:lineRule="auto"/>
        <w:ind w:firstLine="480" w:firstLineChars="200"/>
        <w:rPr>
          <w:rFonts w:ascii="仿宋" w:hAnsi="仿宋" w:eastAsia="仿宋" w:cs="仿宋"/>
          <w:szCs w:val="24"/>
        </w:rPr>
      </w:pPr>
      <w:r>
        <w:rPr>
          <w:rFonts w:hint="eastAsia" w:ascii="仿宋" w:hAnsi="仿宋" w:eastAsia="仿宋" w:cs="仿宋"/>
          <w:szCs w:val="24"/>
        </w:rPr>
        <w:t>客户综合满意度：95%以上。</w:t>
      </w:r>
    </w:p>
    <w:p w14:paraId="6D3EFDBF">
      <w:pPr>
        <w:spacing w:line="360" w:lineRule="auto"/>
        <w:ind w:firstLine="480" w:firstLineChars="200"/>
        <w:rPr>
          <w:rFonts w:ascii="仿宋" w:hAnsi="仿宋" w:eastAsia="仿宋" w:cs="仿宋"/>
          <w:szCs w:val="24"/>
        </w:rPr>
      </w:pPr>
      <w:r>
        <w:rPr>
          <w:rFonts w:hint="eastAsia" w:ascii="仿宋" w:hAnsi="仿宋" w:eastAsia="仿宋" w:cs="仿宋"/>
          <w:szCs w:val="24"/>
        </w:rPr>
        <w:t>维修及时率：95%以上。</w:t>
      </w:r>
    </w:p>
    <w:p w14:paraId="5C2E054E">
      <w:pPr>
        <w:spacing w:line="360" w:lineRule="auto"/>
        <w:ind w:firstLine="480" w:firstLineChars="200"/>
        <w:rPr>
          <w:rFonts w:ascii="仿宋" w:hAnsi="仿宋" w:eastAsia="仿宋" w:cs="仿宋"/>
          <w:szCs w:val="24"/>
        </w:rPr>
      </w:pPr>
      <w:r>
        <w:rPr>
          <w:rFonts w:hint="eastAsia" w:ascii="仿宋" w:hAnsi="仿宋" w:eastAsia="仿宋" w:cs="仿宋"/>
          <w:szCs w:val="24"/>
        </w:rPr>
        <w:t>保洁达标率：95%以上。</w:t>
      </w:r>
    </w:p>
    <w:p w14:paraId="769E35C0">
      <w:pPr>
        <w:spacing w:line="360" w:lineRule="auto"/>
        <w:ind w:firstLine="480" w:firstLineChars="200"/>
        <w:rPr>
          <w:rFonts w:ascii="仿宋" w:hAnsi="仿宋" w:eastAsia="仿宋" w:cs="仿宋"/>
          <w:szCs w:val="24"/>
          <w:highlight w:val="none"/>
        </w:rPr>
      </w:pPr>
      <w:r>
        <w:rPr>
          <w:rFonts w:hint="eastAsia" w:ascii="仿宋" w:hAnsi="仿宋" w:eastAsia="仿宋" w:cs="仿宋"/>
          <w:szCs w:val="24"/>
          <w:highlight w:val="none"/>
        </w:rPr>
        <w:t>绿化达标率：95%以上。</w:t>
      </w:r>
    </w:p>
    <w:p w14:paraId="78A0C2AC">
      <w:pPr>
        <w:spacing w:line="360" w:lineRule="auto"/>
        <w:ind w:firstLine="480" w:firstLineChars="200"/>
        <w:rPr>
          <w:rFonts w:ascii="仿宋" w:hAnsi="仿宋" w:eastAsia="仿宋" w:cs="仿宋"/>
          <w:szCs w:val="24"/>
        </w:rPr>
      </w:pPr>
      <w:r>
        <w:rPr>
          <w:rFonts w:hint="eastAsia" w:ascii="仿宋" w:hAnsi="仿宋" w:eastAsia="仿宋" w:cs="仿宋"/>
          <w:szCs w:val="24"/>
        </w:rPr>
        <w:t>秩序安全事故发生率：0%。</w:t>
      </w:r>
    </w:p>
    <w:p w14:paraId="0A9A1CBD">
      <w:pPr>
        <w:spacing w:line="360" w:lineRule="auto"/>
        <w:ind w:firstLine="482" w:firstLineChars="200"/>
        <w:rPr>
          <w:rFonts w:ascii="仿宋" w:hAnsi="仿宋" w:eastAsia="仿宋" w:cs="仿宋"/>
          <w:b/>
          <w:bCs/>
          <w:szCs w:val="24"/>
        </w:rPr>
      </w:pPr>
      <w:r>
        <w:rPr>
          <w:rFonts w:hint="eastAsia" w:ascii="仿宋" w:hAnsi="仿宋" w:eastAsia="仿宋" w:cs="仿宋"/>
          <w:b/>
          <w:bCs/>
          <w:szCs w:val="24"/>
        </w:rPr>
        <w:t>2、</w:t>
      </w:r>
      <w:r>
        <w:rPr>
          <w:rFonts w:hint="eastAsia" w:ascii="仿宋" w:hAnsi="仿宋" w:eastAsia="仿宋" w:cs="仿宋"/>
          <w:b/>
          <w:bCs/>
          <w:szCs w:val="24"/>
          <w:lang w:val="en-US" w:eastAsia="zh-CN"/>
        </w:rPr>
        <w:t>公共区域保洁</w:t>
      </w:r>
      <w:r>
        <w:rPr>
          <w:rFonts w:hint="eastAsia" w:ascii="仿宋" w:hAnsi="仿宋" w:eastAsia="仿宋" w:cs="仿宋"/>
          <w:b/>
          <w:bCs/>
          <w:szCs w:val="24"/>
        </w:rPr>
        <w:t>服务标准</w:t>
      </w:r>
    </w:p>
    <w:p w14:paraId="31D0132F">
      <w:pPr>
        <w:spacing w:line="360" w:lineRule="auto"/>
        <w:ind w:firstLine="480" w:firstLineChars="200"/>
        <w:rPr>
          <w:rFonts w:ascii="仿宋" w:hAnsi="仿宋" w:eastAsia="仿宋" w:cs="仿宋"/>
          <w:szCs w:val="24"/>
        </w:rPr>
      </w:pPr>
      <w:r>
        <w:rPr>
          <w:rFonts w:hint="eastAsia" w:ascii="仿宋" w:hAnsi="仿宋" w:eastAsia="仿宋" w:cs="仿宋"/>
          <w:szCs w:val="24"/>
        </w:rPr>
        <w:t>(1)教学楼、办公楼及实验楼等公共走廊区域，保证每天早上七点至下午六点卫生干净、整洁。</w:t>
      </w:r>
    </w:p>
    <w:p w14:paraId="42633A83">
      <w:pPr>
        <w:spacing w:line="360" w:lineRule="auto"/>
        <w:ind w:firstLine="480" w:firstLineChars="200"/>
        <w:rPr>
          <w:rFonts w:ascii="仿宋" w:hAnsi="仿宋" w:eastAsia="仿宋" w:cs="仿宋"/>
          <w:szCs w:val="24"/>
        </w:rPr>
      </w:pPr>
      <w:r>
        <w:rPr>
          <w:rFonts w:hint="eastAsia" w:ascii="仿宋" w:hAnsi="仿宋" w:eastAsia="仿宋" w:cs="仿宋"/>
          <w:szCs w:val="24"/>
        </w:rPr>
        <w:t>(2)每个课间后收拾走廊及垃圾桶，保证垃圾桶及时清理。</w:t>
      </w:r>
    </w:p>
    <w:p w14:paraId="6EB1A8C6">
      <w:pPr>
        <w:spacing w:line="360" w:lineRule="auto"/>
        <w:ind w:firstLine="480" w:firstLineChars="200"/>
        <w:rPr>
          <w:rFonts w:ascii="仿宋" w:hAnsi="仿宋" w:eastAsia="仿宋" w:cs="仿宋"/>
          <w:szCs w:val="24"/>
        </w:rPr>
      </w:pPr>
      <w:r>
        <w:rPr>
          <w:rFonts w:hint="eastAsia" w:ascii="仿宋" w:hAnsi="仿宋" w:eastAsia="仿宋" w:cs="仿宋"/>
          <w:szCs w:val="24"/>
        </w:rPr>
        <w:t>(3)室内外公共场所、主次干道干净整洁，有垃圾立即清理，目视无烟头、碎纸、果皮等垃圾、无积水、无尘土、无痰迹。</w:t>
      </w:r>
    </w:p>
    <w:p w14:paraId="2FFE6805">
      <w:pPr>
        <w:spacing w:line="360" w:lineRule="auto"/>
        <w:ind w:firstLine="480" w:firstLineChars="200"/>
        <w:rPr>
          <w:rFonts w:ascii="仿宋" w:hAnsi="仿宋" w:eastAsia="仿宋" w:cs="仿宋"/>
          <w:szCs w:val="24"/>
        </w:rPr>
      </w:pPr>
      <w:r>
        <w:rPr>
          <w:rFonts w:hint="eastAsia" w:ascii="仿宋" w:hAnsi="仿宋" w:eastAsia="仿宋" w:cs="仿宋"/>
          <w:szCs w:val="24"/>
        </w:rPr>
        <w:t>(4)按照要求进行垃圾分类，垃圾的处理和收集做到及时清理，清理完成后立即消毒，清运途中垃圾无抛洒。</w:t>
      </w:r>
    </w:p>
    <w:p w14:paraId="6AC5F1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ascii="仿宋" w:hAnsi="仿宋" w:eastAsia="仿宋" w:cs="仿宋"/>
          <w:szCs w:val="24"/>
        </w:rPr>
      </w:pPr>
      <w:r>
        <w:rPr>
          <w:rFonts w:hint="eastAsia" w:ascii="仿宋" w:hAnsi="仿宋" w:eastAsia="仿宋" w:cs="仿宋"/>
          <w:szCs w:val="24"/>
        </w:rPr>
        <w:t>(5)校园保洁区域内（含楼体外立面）的玻璃、门、窗目视明亮，无灰尘、污迹、无水珠。</w:t>
      </w:r>
    </w:p>
    <w:p w14:paraId="5525281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ascii="仿宋" w:hAnsi="仿宋" w:eastAsia="仿宋" w:cs="仿宋"/>
          <w:szCs w:val="24"/>
        </w:rPr>
      </w:pPr>
      <w:r>
        <w:rPr>
          <w:rFonts w:hint="eastAsia" w:ascii="仿宋" w:hAnsi="仿宋" w:eastAsia="仿宋" w:cs="仿宋"/>
          <w:szCs w:val="24"/>
        </w:rPr>
        <w:t>(6)每个课间后收拾公共卫生间，确保隔断、便池、面池、台面、镜面等干净整洁，纸篓内垃圾不超出2/3，保持卫生间内空气畅通无异味，卫生间、洗手台等按要求配置卫生纸、洗手液等。</w:t>
      </w:r>
    </w:p>
    <w:p w14:paraId="46695A05">
      <w:pPr>
        <w:spacing w:line="360" w:lineRule="auto"/>
        <w:ind w:firstLine="480" w:firstLineChars="200"/>
        <w:rPr>
          <w:rFonts w:ascii="仿宋" w:hAnsi="仿宋" w:eastAsia="仿宋" w:cs="仿宋"/>
          <w:szCs w:val="24"/>
        </w:rPr>
      </w:pPr>
      <w:r>
        <w:rPr>
          <w:rFonts w:hint="eastAsia" w:ascii="仿宋" w:hAnsi="仿宋" w:eastAsia="仿宋" w:cs="仿宋"/>
          <w:szCs w:val="24"/>
        </w:rPr>
        <w:t>(7)垃圾桶摆放在指定位置并加盖密闭，桶外壁干净无垃圾粘附物。</w:t>
      </w:r>
    </w:p>
    <w:p w14:paraId="3DDF6CAC">
      <w:pPr>
        <w:spacing w:line="360" w:lineRule="auto"/>
        <w:ind w:firstLine="480" w:firstLineChars="200"/>
        <w:rPr>
          <w:rFonts w:ascii="仿宋" w:hAnsi="仿宋" w:eastAsia="仿宋" w:cs="仿宋"/>
          <w:szCs w:val="24"/>
        </w:rPr>
      </w:pPr>
      <w:r>
        <w:rPr>
          <w:rFonts w:hint="eastAsia" w:ascii="仿宋" w:hAnsi="仿宋" w:eastAsia="仿宋" w:cs="仿宋"/>
          <w:szCs w:val="24"/>
        </w:rPr>
        <w:t>(8)目视公共照明灯罩表面干净，无积尘。</w:t>
      </w:r>
    </w:p>
    <w:p w14:paraId="49BB461E">
      <w:pPr>
        <w:spacing w:line="360" w:lineRule="auto"/>
        <w:ind w:firstLine="480" w:firstLineChars="200"/>
        <w:rPr>
          <w:rFonts w:ascii="仿宋" w:hAnsi="仿宋" w:eastAsia="仿宋" w:cs="仿宋"/>
          <w:szCs w:val="24"/>
        </w:rPr>
      </w:pPr>
      <w:r>
        <w:rPr>
          <w:rFonts w:hint="eastAsia" w:ascii="仿宋" w:hAnsi="仿宋" w:eastAsia="仿宋" w:cs="仿宋"/>
          <w:szCs w:val="24"/>
        </w:rPr>
        <w:t>(9)消火栓（箱）玻璃明亮目视无尘，箱顶、侧无尘，无明显污迹，无明显积尘、无蛛网。</w:t>
      </w:r>
    </w:p>
    <w:p w14:paraId="2C774F34">
      <w:pPr>
        <w:spacing w:line="360" w:lineRule="auto"/>
        <w:ind w:firstLine="480" w:firstLineChars="200"/>
        <w:rPr>
          <w:rFonts w:ascii="仿宋" w:hAnsi="仿宋" w:eastAsia="仿宋" w:cs="仿宋"/>
          <w:szCs w:val="24"/>
        </w:rPr>
      </w:pPr>
      <w:r>
        <w:rPr>
          <w:rFonts w:hint="eastAsia" w:ascii="仿宋" w:hAnsi="仿宋" w:eastAsia="仿宋" w:cs="仿宋"/>
          <w:szCs w:val="24"/>
        </w:rPr>
        <w:t>(10)楼梯扶手及楼梯梯级目视干净无垃圾，无杂物，无明显污迹。</w:t>
      </w:r>
    </w:p>
    <w:p w14:paraId="5A11329E">
      <w:pPr>
        <w:spacing w:line="360" w:lineRule="auto"/>
        <w:ind w:firstLine="480" w:firstLineChars="200"/>
        <w:rPr>
          <w:rFonts w:ascii="仿宋" w:hAnsi="仿宋" w:eastAsia="仿宋" w:cs="仿宋"/>
          <w:szCs w:val="24"/>
        </w:rPr>
      </w:pPr>
      <w:r>
        <w:rPr>
          <w:rFonts w:hint="eastAsia" w:ascii="仿宋" w:hAnsi="仿宋" w:eastAsia="仿宋" w:cs="仿宋"/>
          <w:szCs w:val="24"/>
        </w:rPr>
        <w:t>(11)各种指示牌、标识，目视无明显积尘、无水珠、无破损。</w:t>
      </w:r>
    </w:p>
    <w:p w14:paraId="7C8CB608">
      <w:pPr>
        <w:spacing w:line="360" w:lineRule="auto"/>
        <w:ind w:firstLine="480" w:firstLineChars="200"/>
        <w:rPr>
          <w:rFonts w:ascii="仿宋" w:hAnsi="仿宋" w:eastAsia="仿宋" w:cs="仿宋"/>
          <w:szCs w:val="24"/>
        </w:rPr>
      </w:pPr>
      <w:r>
        <w:rPr>
          <w:rFonts w:hint="eastAsia" w:ascii="仿宋" w:hAnsi="仿宋" w:eastAsia="仿宋" w:cs="仿宋"/>
          <w:szCs w:val="24"/>
        </w:rPr>
        <w:t>(12)集中绿地草坪目视干净，无明显废纸、塑料袋、瓶罐等垃圾。</w:t>
      </w:r>
    </w:p>
    <w:p w14:paraId="4BE57D80">
      <w:pPr>
        <w:spacing w:line="360" w:lineRule="auto"/>
        <w:ind w:firstLine="480" w:firstLineChars="200"/>
        <w:rPr>
          <w:rFonts w:ascii="仿宋" w:hAnsi="仿宋" w:eastAsia="仿宋" w:cs="仿宋"/>
          <w:szCs w:val="24"/>
        </w:rPr>
      </w:pPr>
      <w:r>
        <w:rPr>
          <w:rFonts w:hint="eastAsia" w:ascii="仿宋" w:hAnsi="仿宋" w:eastAsia="仿宋" w:cs="仿宋"/>
          <w:szCs w:val="24"/>
        </w:rPr>
        <w:t>(13)地面其它公共设施随时清洁污染处，无乱张贴、无乱涂划、无破损。</w:t>
      </w:r>
    </w:p>
    <w:p w14:paraId="7DEC1016">
      <w:pPr>
        <w:spacing w:line="360" w:lineRule="auto"/>
        <w:ind w:firstLine="482" w:firstLineChars="200"/>
        <w:rPr>
          <w:rFonts w:ascii="仿宋" w:hAnsi="仿宋" w:eastAsia="仿宋" w:cs="仿宋"/>
          <w:b/>
          <w:bCs/>
          <w:szCs w:val="24"/>
        </w:rPr>
      </w:pPr>
      <w:r>
        <w:rPr>
          <w:rFonts w:hint="eastAsia" w:ascii="仿宋" w:hAnsi="仿宋" w:eastAsia="仿宋" w:cs="仿宋"/>
          <w:b/>
          <w:bCs/>
          <w:szCs w:val="24"/>
        </w:rPr>
        <w:t>3、</w:t>
      </w:r>
      <w:r>
        <w:rPr>
          <w:rFonts w:hint="eastAsia" w:ascii="仿宋" w:hAnsi="仿宋" w:eastAsia="仿宋" w:cs="仿宋"/>
          <w:b/>
          <w:bCs/>
          <w:szCs w:val="24"/>
          <w:lang w:val="en-US" w:eastAsia="zh-CN"/>
        </w:rPr>
        <w:t>秩序维护</w:t>
      </w:r>
      <w:r>
        <w:rPr>
          <w:rFonts w:hint="eastAsia" w:ascii="仿宋" w:hAnsi="仿宋" w:eastAsia="仿宋" w:cs="仿宋"/>
          <w:b/>
          <w:bCs/>
          <w:szCs w:val="24"/>
        </w:rPr>
        <w:t>服务标准</w:t>
      </w:r>
    </w:p>
    <w:p w14:paraId="6C8F8852">
      <w:pPr>
        <w:spacing w:line="360" w:lineRule="auto"/>
        <w:ind w:firstLine="480" w:firstLineChars="200"/>
        <w:rPr>
          <w:rFonts w:ascii="仿宋" w:hAnsi="仿宋" w:eastAsia="仿宋" w:cs="仿宋"/>
          <w:szCs w:val="24"/>
        </w:rPr>
      </w:pPr>
      <w:r>
        <w:rPr>
          <w:rFonts w:hint="eastAsia" w:ascii="仿宋" w:hAnsi="仿宋" w:eastAsia="仿宋" w:cs="仿宋"/>
          <w:szCs w:val="24"/>
        </w:rPr>
        <w:t>(1)出入口24小时值班，定点立岗，文明服务，来访人员出入登记，重要区位设岗并定时巡查，严格执行交接班制度。</w:t>
      </w:r>
    </w:p>
    <w:p w14:paraId="6471961D">
      <w:pPr>
        <w:spacing w:line="360" w:lineRule="auto"/>
        <w:ind w:firstLine="480" w:firstLineChars="200"/>
        <w:rPr>
          <w:rFonts w:ascii="仿宋" w:hAnsi="仿宋" w:eastAsia="仿宋" w:cs="仿宋"/>
          <w:szCs w:val="24"/>
        </w:rPr>
      </w:pPr>
      <w:r>
        <w:rPr>
          <w:rFonts w:hint="eastAsia" w:ascii="仿宋" w:hAnsi="仿宋" w:eastAsia="仿宋" w:cs="仿宋"/>
          <w:szCs w:val="24"/>
        </w:rPr>
        <w:t>(2)定岗检查登记，来访人员须确认登记后方可放行，严禁闲杂、可疑人员进入。</w:t>
      </w:r>
    </w:p>
    <w:p w14:paraId="6E4B859B">
      <w:pPr>
        <w:spacing w:line="360" w:lineRule="auto"/>
        <w:ind w:firstLine="480" w:firstLineChars="200"/>
        <w:rPr>
          <w:rFonts w:ascii="仿宋" w:hAnsi="仿宋" w:eastAsia="仿宋" w:cs="仿宋"/>
          <w:szCs w:val="24"/>
        </w:rPr>
      </w:pPr>
      <w:r>
        <w:rPr>
          <w:rFonts w:hint="eastAsia" w:ascii="仿宋" w:hAnsi="仿宋" w:eastAsia="仿宋" w:cs="仿宋"/>
          <w:szCs w:val="24"/>
        </w:rPr>
        <w:t>(3)日流动巡查不少于8次，严格控制和严密防范被盗、刑事、治安案件的发生。</w:t>
      </w:r>
    </w:p>
    <w:p w14:paraId="07560D61">
      <w:pPr>
        <w:spacing w:line="360" w:lineRule="auto"/>
        <w:ind w:firstLine="480" w:firstLineChars="200"/>
        <w:rPr>
          <w:rFonts w:ascii="仿宋" w:hAnsi="仿宋" w:eastAsia="仿宋" w:cs="仿宋"/>
          <w:szCs w:val="24"/>
        </w:rPr>
      </w:pPr>
      <w:r>
        <w:rPr>
          <w:rFonts w:hint="eastAsia" w:ascii="仿宋" w:hAnsi="仿宋" w:eastAsia="仿宋" w:cs="仿宋"/>
          <w:szCs w:val="24"/>
        </w:rPr>
        <w:t>(4)做好物品出入校园的管理登记，对搬出大宗物品时要有出门单。</w:t>
      </w:r>
    </w:p>
    <w:p w14:paraId="29CEBD91">
      <w:pPr>
        <w:spacing w:line="360" w:lineRule="auto"/>
        <w:ind w:firstLine="480" w:firstLineChars="200"/>
        <w:rPr>
          <w:rFonts w:ascii="仿宋" w:hAnsi="仿宋" w:eastAsia="仿宋" w:cs="仿宋"/>
          <w:szCs w:val="24"/>
        </w:rPr>
      </w:pPr>
      <w:r>
        <w:rPr>
          <w:rFonts w:hint="eastAsia" w:ascii="仿宋" w:hAnsi="仿宋" w:eastAsia="仿宋" w:cs="仿宋"/>
          <w:szCs w:val="24"/>
        </w:rPr>
        <w:t>(5)严格管理校园安全，避免火灾、盗窃、破坏、治安等事件的发生。</w:t>
      </w:r>
    </w:p>
    <w:p w14:paraId="0D8BBBE7">
      <w:pPr>
        <w:spacing w:line="360" w:lineRule="auto"/>
        <w:ind w:firstLine="480" w:firstLineChars="200"/>
        <w:rPr>
          <w:rFonts w:ascii="仿宋" w:hAnsi="仿宋" w:eastAsia="仿宋" w:cs="仿宋"/>
          <w:szCs w:val="24"/>
        </w:rPr>
      </w:pPr>
      <w:r>
        <w:rPr>
          <w:rFonts w:hint="eastAsia" w:ascii="仿宋" w:hAnsi="仿宋" w:eastAsia="仿宋" w:cs="仿宋"/>
          <w:szCs w:val="24"/>
        </w:rPr>
        <w:t>(6)熟悉监控室设备功能，设专人值守，进行熟练操作，24小时监控，记录详细、准确。</w:t>
      </w:r>
    </w:p>
    <w:p w14:paraId="3EDC16AD">
      <w:pPr>
        <w:spacing w:line="360" w:lineRule="auto"/>
        <w:ind w:firstLine="480" w:firstLineChars="200"/>
        <w:rPr>
          <w:rFonts w:ascii="仿宋" w:hAnsi="仿宋" w:eastAsia="仿宋" w:cs="仿宋"/>
          <w:szCs w:val="24"/>
        </w:rPr>
      </w:pPr>
      <w:r>
        <w:rPr>
          <w:rFonts w:hint="eastAsia" w:ascii="仿宋" w:hAnsi="仿宋" w:eastAsia="仿宋" w:cs="仿宋"/>
          <w:szCs w:val="24"/>
        </w:rPr>
        <w:t>(7)建立各类突发事件的应急预案，并定期进行演习；发生突发事件及时到达现场，采取措施，及时上报、控制局面。</w:t>
      </w:r>
    </w:p>
    <w:p w14:paraId="131707D5">
      <w:pPr>
        <w:spacing w:line="360" w:lineRule="auto"/>
        <w:ind w:firstLine="480" w:firstLineChars="200"/>
        <w:rPr>
          <w:rFonts w:ascii="仿宋" w:hAnsi="仿宋" w:eastAsia="仿宋" w:cs="仿宋"/>
          <w:szCs w:val="24"/>
        </w:rPr>
      </w:pPr>
      <w:r>
        <w:rPr>
          <w:rFonts w:hint="eastAsia" w:ascii="仿宋" w:hAnsi="仿宋" w:eastAsia="仿宋" w:cs="仿宋"/>
          <w:szCs w:val="24"/>
        </w:rPr>
        <w:t>(8)对公共场所进行检查，无堆放易燃、易爆物品，无乱搭线，消防通道无堵塞，防火门无破损能正常使用。</w:t>
      </w:r>
    </w:p>
    <w:p w14:paraId="60BFAC2C">
      <w:pPr>
        <w:spacing w:line="360" w:lineRule="auto"/>
        <w:ind w:firstLine="480" w:firstLineChars="200"/>
        <w:rPr>
          <w:rFonts w:ascii="仿宋" w:hAnsi="仿宋" w:eastAsia="仿宋" w:cs="仿宋"/>
          <w:szCs w:val="24"/>
        </w:rPr>
      </w:pPr>
      <w:r>
        <w:rPr>
          <w:rFonts w:hint="eastAsia" w:ascii="仿宋" w:hAnsi="仿宋" w:eastAsia="仿宋" w:cs="仿宋"/>
          <w:szCs w:val="24"/>
        </w:rPr>
        <w:t>(9)定期对消防设备进行检查；消防系统管路阀门运转良好。</w:t>
      </w:r>
    </w:p>
    <w:p w14:paraId="54F294C1">
      <w:pPr>
        <w:spacing w:line="360" w:lineRule="auto"/>
        <w:ind w:firstLine="480" w:firstLineChars="200"/>
        <w:rPr>
          <w:rFonts w:ascii="仿宋" w:hAnsi="仿宋" w:eastAsia="仿宋" w:cs="仿宋"/>
          <w:szCs w:val="24"/>
        </w:rPr>
      </w:pPr>
      <w:r>
        <w:rPr>
          <w:rFonts w:hint="eastAsia" w:ascii="仿宋" w:hAnsi="仿宋" w:eastAsia="仿宋" w:cs="仿宋"/>
          <w:szCs w:val="24"/>
        </w:rPr>
        <w:t>(10)全年火灾发生率为零。</w:t>
      </w:r>
    </w:p>
    <w:p w14:paraId="631E2A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ascii="仿宋" w:hAnsi="仿宋" w:eastAsia="仿宋" w:cs="仿宋"/>
          <w:szCs w:val="24"/>
        </w:rPr>
      </w:pPr>
      <w:r>
        <w:rPr>
          <w:rFonts w:hint="eastAsia" w:ascii="仿宋" w:hAnsi="仿宋" w:eastAsia="仿宋" w:cs="仿宋"/>
          <w:szCs w:val="24"/>
        </w:rPr>
        <w:t>(11)特种人员持证上岗。</w:t>
      </w:r>
    </w:p>
    <w:p w14:paraId="311B9D4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baseline"/>
        <w:rPr>
          <w:rFonts w:ascii="仿宋" w:hAnsi="仿宋" w:eastAsia="仿宋" w:cs="仿宋"/>
          <w:szCs w:val="24"/>
        </w:rPr>
      </w:pPr>
      <w:r>
        <w:rPr>
          <w:rFonts w:hint="eastAsia" w:ascii="仿宋" w:hAnsi="仿宋" w:eastAsia="仿宋" w:cs="仿宋"/>
          <w:szCs w:val="24"/>
        </w:rPr>
        <w:t>(12)协助公安、城管等执法人员处理违法和上访事件，协助城市管理局处理各方投诉，协助消防部门定期检查。</w:t>
      </w:r>
    </w:p>
    <w:p w14:paraId="5103C638">
      <w:pPr>
        <w:spacing w:line="360" w:lineRule="auto"/>
        <w:ind w:firstLine="480" w:firstLineChars="200"/>
        <w:rPr>
          <w:rFonts w:ascii="仿宋" w:hAnsi="仿宋" w:eastAsia="仿宋" w:cs="仿宋"/>
          <w:szCs w:val="24"/>
        </w:rPr>
      </w:pPr>
      <w:r>
        <w:rPr>
          <w:rFonts w:hint="eastAsia" w:ascii="仿宋" w:hAnsi="仿宋" w:eastAsia="仿宋" w:cs="仿宋"/>
          <w:szCs w:val="24"/>
        </w:rPr>
        <w:t>(13)做好极端天气的应对并配合校方进行应急处理。</w:t>
      </w:r>
    </w:p>
    <w:p w14:paraId="5D1FB00D">
      <w:pPr>
        <w:spacing w:line="360" w:lineRule="auto"/>
        <w:ind w:firstLine="482" w:firstLineChars="200"/>
        <w:rPr>
          <w:rFonts w:ascii="仿宋" w:hAnsi="仿宋" w:eastAsia="仿宋" w:cs="仿宋"/>
          <w:b/>
          <w:bCs/>
          <w:szCs w:val="24"/>
        </w:rPr>
      </w:pPr>
      <w:r>
        <w:rPr>
          <w:rFonts w:hint="eastAsia" w:ascii="仿宋" w:hAnsi="仿宋" w:eastAsia="仿宋" w:cs="仿宋"/>
          <w:b/>
          <w:bCs/>
          <w:szCs w:val="24"/>
        </w:rPr>
        <w:t>4、</w:t>
      </w:r>
      <w:r>
        <w:rPr>
          <w:rFonts w:hint="eastAsia" w:ascii="仿宋" w:hAnsi="仿宋" w:eastAsia="仿宋" w:cs="仿宋"/>
          <w:b/>
          <w:bCs/>
          <w:szCs w:val="24"/>
          <w:lang w:val="en-US" w:eastAsia="zh-CN"/>
        </w:rPr>
        <w:t>维修维护</w:t>
      </w:r>
      <w:r>
        <w:rPr>
          <w:rFonts w:hint="eastAsia" w:ascii="仿宋" w:hAnsi="仿宋" w:eastAsia="仿宋" w:cs="仿宋"/>
          <w:b/>
          <w:bCs/>
          <w:szCs w:val="24"/>
        </w:rPr>
        <w:t>服务标准</w:t>
      </w:r>
    </w:p>
    <w:p w14:paraId="66E4D1A3">
      <w:pPr>
        <w:spacing w:line="360" w:lineRule="auto"/>
        <w:ind w:firstLine="480" w:firstLineChars="200"/>
        <w:rPr>
          <w:rFonts w:ascii="仿宋" w:hAnsi="仿宋" w:eastAsia="仿宋" w:cs="仿宋"/>
          <w:szCs w:val="24"/>
        </w:rPr>
      </w:pPr>
      <w:r>
        <w:rPr>
          <w:rFonts w:hint="eastAsia" w:ascii="仿宋" w:hAnsi="仿宋" w:eastAsia="仿宋" w:cs="仿宋"/>
          <w:szCs w:val="24"/>
        </w:rPr>
        <w:t>(1)日常维护人员必须要有相关从业资格证明，持证上岗。</w:t>
      </w:r>
    </w:p>
    <w:p w14:paraId="77C70A24">
      <w:pPr>
        <w:spacing w:line="360" w:lineRule="auto"/>
        <w:ind w:firstLine="480" w:firstLineChars="200"/>
        <w:rPr>
          <w:rFonts w:ascii="仿宋" w:hAnsi="仿宋" w:eastAsia="仿宋" w:cs="仿宋"/>
          <w:szCs w:val="24"/>
        </w:rPr>
      </w:pPr>
      <w:r>
        <w:rPr>
          <w:rFonts w:hint="eastAsia" w:ascii="仿宋" w:hAnsi="仿宋" w:eastAsia="仿宋" w:cs="仿宋"/>
          <w:szCs w:val="24"/>
        </w:rPr>
        <w:t>(2)建立设备、设施维修保养计划，确保设备设施工作正常，定期对设备设施进行维修保养，并做好相关检查记录。</w:t>
      </w:r>
    </w:p>
    <w:p w14:paraId="42287CD6">
      <w:pPr>
        <w:spacing w:line="360" w:lineRule="auto"/>
        <w:ind w:firstLine="480" w:firstLineChars="200"/>
        <w:rPr>
          <w:rFonts w:ascii="仿宋" w:hAnsi="仿宋" w:eastAsia="仿宋" w:cs="仿宋"/>
          <w:szCs w:val="24"/>
        </w:rPr>
      </w:pPr>
      <w:r>
        <w:rPr>
          <w:rFonts w:hint="eastAsia" w:ascii="仿宋" w:hAnsi="仿宋" w:eastAsia="仿宋" w:cs="仿宋"/>
          <w:szCs w:val="24"/>
        </w:rPr>
        <w:t>(3)消防系统设备设施定期检查，确保设施设备安全正常运行。</w:t>
      </w:r>
    </w:p>
    <w:p w14:paraId="6A749B7A">
      <w:pPr>
        <w:spacing w:line="360" w:lineRule="auto"/>
        <w:ind w:firstLine="480" w:firstLineChars="200"/>
        <w:rPr>
          <w:rFonts w:ascii="仿宋" w:hAnsi="仿宋" w:eastAsia="仿宋" w:cs="仿宋"/>
          <w:szCs w:val="24"/>
        </w:rPr>
      </w:pPr>
      <w:r>
        <w:rPr>
          <w:rFonts w:hint="eastAsia" w:ascii="仿宋" w:hAnsi="仿宋" w:eastAsia="仿宋" w:cs="仿宋"/>
          <w:szCs w:val="24"/>
        </w:rPr>
        <w:t>(4)办公设备、家具等定期检查保养及其他维修任务。</w:t>
      </w:r>
    </w:p>
    <w:p w14:paraId="13522D36">
      <w:pPr>
        <w:spacing w:line="360" w:lineRule="auto"/>
        <w:ind w:firstLine="480" w:firstLineChars="200"/>
        <w:rPr>
          <w:rFonts w:ascii="仿宋" w:hAnsi="仿宋" w:eastAsia="仿宋" w:cs="仿宋"/>
          <w:szCs w:val="24"/>
        </w:rPr>
      </w:pPr>
      <w:r>
        <w:rPr>
          <w:rFonts w:hint="eastAsia" w:ascii="仿宋" w:hAnsi="仿宋" w:eastAsia="仿宋" w:cs="仿宋"/>
          <w:szCs w:val="24"/>
        </w:rPr>
        <w:t>(5)各楼层房屋装修的维护、保养。</w:t>
      </w:r>
    </w:p>
    <w:p w14:paraId="72890617">
      <w:pPr>
        <w:spacing w:line="360" w:lineRule="auto"/>
        <w:ind w:firstLine="480" w:firstLineChars="200"/>
        <w:rPr>
          <w:rFonts w:ascii="仿宋" w:hAnsi="仿宋" w:eastAsia="仿宋" w:cs="仿宋"/>
          <w:szCs w:val="24"/>
        </w:rPr>
      </w:pPr>
      <w:r>
        <w:rPr>
          <w:rFonts w:hint="eastAsia" w:ascii="仿宋" w:hAnsi="仿宋" w:eastAsia="仿宋" w:cs="仿宋"/>
          <w:szCs w:val="24"/>
        </w:rPr>
        <w:t>(6)校园内水电设施设备定期巡查，及时维修，并做好相关记录。</w:t>
      </w:r>
    </w:p>
    <w:p w14:paraId="4170CBEE">
      <w:pPr>
        <w:spacing w:line="360" w:lineRule="auto"/>
        <w:ind w:firstLine="480" w:firstLineChars="200"/>
        <w:rPr>
          <w:rFonts w:ascii="仿宋" w:hAnsi="仿宋" w:eastAsia="仿宋" w:cs="仿宋"/>
          <w:szCs w:val="24"/>
        </w:rPr>
      </w:pPr>
      <w:r>
        <w:rPr>
          <w:rFonts w:hint="eastAsia" w:ascii="仿宋" w:hAnsi="仿宋" w:eastAsia="仿宋" w:cs="仿宋"/>
          <w:szCs w:val="24"/>
        </w:rPr>
        <w:t>(7)制定节能降耗工作计划，配合校方相关部门落地并严格执行。</w:t>
      </w:r>
    </w:p>
    <w:p w14:paraId="5AC91301">
      <w:pPr>
        <w:spacing w:line="360" w:lineRule="auto"/>
        <w:ind w:firstLine="480" w:firstLineChars="200"/>
        <w:rPr>
          <w:rFonts w:ascii="仿宋" w:hAnsi="仿宋" w:eastAsia="仿宋" w:cs="仿宋"/>
          <w:szCs w:val="24"/>
        </w:rPr>
      </w:pPr>
      <w:r>
        <w:rPr>
          <w:rFonts w:hint="eastAsia" w:ascii="仿宋" w:hAnsi="仿宋" w:eastAsia="仿宋" w:cs="仿宋"/>
          <w:szCs w:val="24"/>
        </w:rPr>
        <w:t>(8)重要活动提供现场技术保障，做好会议准备过程中设备保障工作。</w:t>
      </w:r>
    </w:p>
    <w:p w14:paraId="56863409">
      <w:pPr>
        <w:spacing w:line="360" w:lineRule="auto"/>
        <w:ind w:firstLine="480" w:firstLineChars="200"/>
        <w:rPr>
          <w:rFonts w:ascii="仿宋" w:hAnsi="仿宋" w:eastAsia="仿宋" w:cs="仿宋"/>
          <w:szCs w:val="24"/>
        </w:rPr>
      </w:pPr>
      <w:r>
        <w:rPr>
          <w:rFonts w:hint="eastAsia" w:ascii="仿宋" w:hAnsi="仿宋" w:eastAsia="仿宋" w:cs="仿宋"/>
          <w:szCs w:val="24"/>
        </w:rPr>
        <w:t>(9)维修记录完整、真实、准确、无丢失。</w:t>
      </w:r>
    </w:p>
    <w:p w14:paraId="2FB42970">
      <w:pPr>
        <w:spacing w:line="360" w:lineRule="auto"/>
        <w:ind w:firstLine="480" w:firstLineChars="200"/>
        <w:rPr>
          <w:rFonts w:ascii="仿宋" w:hAnsi="仿宋" w:eastAsia="仿宋" w:cs="仿宋"/>
          <w:szCs w:val="24"/>
        </w:rPr>
      </w:pPr>
      <w:r>
        <w:rPr>
          <w:rFonts w:hint="eastAsia" w:ascii="仿宋" w:hAnsi="仿宋" w:eastAsia="仿宋" w:cs="仿宋"/>
          <w:szCs w:val="24"/>
        </w:rPr>
        <w:t>(10)实行24小时报修值班制度，急修10分钟到达现场，一般维修30分钟或约定时间到达现场，确保维修及时，维修质量合格。</w:t>
      </w:r>
    </w:p>
    <w:p w14:paraId="2522B9F5">
      <w:pPr>
        <w:pStyle w:val="7"/>
        <w:tabs>
          <w:tab w:val="left" w:pos="840"/>
        </w:tabs>
        <w:spacing w:after="0" w:line="520" w:lineRule="exact"/>
        <w:ind w:left="0" w:leftChars="0" w:firstLine="482" w:firstLineChars="200"/>
        <w:jc w:val="left"/>
        <w:textAlignment w:val="baseline"/>
        <w:rPr>
          <w:rFonts w:hint="eastAsia" w:ascii="仿宋" w:hAnsi="仿宋" w:eastAsia="仿宋" w:cs="仿宋"/>
          <w:sz w:val="24"/>
          <w:szCs w:val="30"/>
          <w:lang w:val="en-US" w:eastAsia="zh-CN"/>
        </w:rPr>
      </w:pPr>
      <w:r>
        <w:rPr>
          <w:rFonts w:hint="eastAsia" w:ascii="仿宋" w:hAnsi="仿宋" w:eastAsia="仿宋" w:cs="仿宋"/>
          <w:b/>
          <w:bCs/>
          <w:szCs w:val="24"/>
        </w:rPr>
        <w:t>5、</w:t>
      </w:r>
      <w:r>
        <w:rPr>
          <w:rFonts w:hint="eastAsia" w:ascii="仿宋" w:hAnsi="仿宋" w:eastAsia="仿宋" w:cs="仿宋"/>
          <w:b/>
          <w:sz w:val="24"/>
          <w:szCs w:val="30"/>
        </w:rPr>
        <w:t>绿化养护</w:t>
      </w:r>
      <w:r>
        <w:rPr>
          <w:rFonts w:hint="eastAsia" w:ascii="仿宋" w:hAnsi="仿宋" w:eastAsia="仿宋" w:cs="仿宋"/>
          <w:b/>
          <w:sz w:val="24"/>
          <w:szCs w:val="30"/>
          <w:lang w:val="en-US" w:eastAsia="zh-CN"/>
        </w:rPr>
        <w:t>服务标准</w:t>
      </w:r>
    </w:p>
    <w:p w14:paraId="7D2A947D">
      <w:pPr>
        <w:pStyle w:val="7"/>
        <w:tabs>
          <w:tab w:val="left" w:pos="840"/>
        </w:tabs>
        <w:spacing w:after="0" w:line="520" w:lineRule="exact"/>
        <w:ind w:left="0" w:leftChars="0" w:firstLine="480" w:firstLineChars="200"/>
        <w:jc w:val="left"/>
        <w:textAlignment w:val="baseline"/>
        <w:rPr>
          <w:rFonts w:ascii="仿宋" w:hAnsi="仿宋" w:eastAsia="仿宋" w:cs="仿宋"/>
          <w:sz w:val="24"/>
          <w:szCs w:val="30"/>
        </w:rPr>
      </w:pPr>
      <w:r>
        <w:rPr>
          <w:rFonts w:ascii="仿宋" w:hAnsi="仿宋" w:eastAsia="仿宋" w:cs="仿宋"/>
          <w:sz w:val="24"/>
          <w:szCs w:val="30"/>
        </w:rPr>
        <w:t>(1)乔木:单株生长旺盛，树形自然，按照规范要求做到及时修剪。适时浇水、锄草、施肥，病虫危害程度控制在5%以下，存活率达99%以上，基本无缺株。对树木喷药不造成药害，树穴内无杂草、杂物，树冠上无悬挂物，对死树及时清理，补植乔木品种符合要求，背景林杂草高度不超过10厘米。根据植物生态习性有防寒措施。</w:t>
      </w:r>
    </w:p>
    <w:p w14:paraId="22963A4D">
      <w:pPr>
        <w:pStyle w:val="7"/>
        <w:tabs>
          <w:tab w:val="left" w:pos="840"/>
        </w:tabs>
        <w:spacing w:after="0" w:line="520" w:lineRule="exact"/>
        <w:ind w:left="0" w:leftChars="0" w:firstLine="480" w:firstLineChars="200"/>
        <w:jc w:val="left"/>
        <w:textAlignment w:val="baseline"/>
        <w:rPr>
          <w:rFonts w:ascii="仿宋" w:hAnsi="仿宋" w:eastAsia="仿宋" w:cs="仿宋"/>
          <w:sz w:val="24"/>
          <w:szCs w:val="30"/>
        </w:rPr>
      </w:pPr>
      <w:r>
        <w:rPr>
          <w:rFonts w:ascii="仿宋" w:hAnsi="仿宋" w:eastAsia="仿宋" w:cs="仿宋"/>
          <w:sz w:val="24"/>
          <w:szCs w:val="30"/>
        </w:rPr>
        <w:t>(2)花灌木:适时浇水施肥，生长均匀，冠形美观。根据植物生态习性，按照规范要求做好冬季、花前、花后修剪。</w:t>
      </w:r>
    </w:p>
    <w:p w14:paraId="3F2B60A2">
      <w:pPr>
        <w:pStyle w:val="7"/>
        <w:tabs>
          <w:tab w:val="left" w:pos="840"/>
        </w:tabs>
        <w:spacing w:after="0" w:line="520" w:lineRule="exact"/>
        <w:ind w:left="0" w:leftChars="0" w:firstLine="480" w:firstLineChars="200"/>
        <w:jc w:val="left"/>
        <w:textAlignment w:val="baseline"/>
        <w:rPr>
          <w:rFonts w:ascii="仿宋" w:hAnsi="仿宋" w:eastAsia="仿宋" w:cs="仿宋"/>
          <w:sz w:val="24"/>
          <w:szCs w:val="30"/>
        </w:rPr>
      </w:pPr>
      <w:r>
        <w:rPr>
          <w:rFonts w:ascii="仿宋" w:hAnsi="仿宋" w:eastAsia="仿宋" w:cs="仿宋"/>
          <w:sz w:val="24"/>
          <w:szCs w:val="30"/>
        </w:rPr>
        <w:t>模纹、绿篱、球类符合几何图案要求，冠面无缺损，立面整齐，平面无断档，枯死</w:t>
      </w:r>
      <w:r>
        <w:rPr>
          <w:rFonts w:hint="eastAsia" w:ascii="仿宋" w:hAnsi="仿宋" w:eastAsia="仿宋" w:cs="仿宋"/>
          <w:sz w:val="24"/>
          <w:szCs w:val="30"/>
        </w:rPr>
        <w:t>株</w:t>
      </w:r>
      <w:r>
        <w:rPr>
          <w:rFonts w:ascii="仿宋" w:hAnsi="仿宋" w:eastAsia="仿宋" w:cs="仿宋"/>
          <w:sz w:val="24"/>
          <w:szCs w:val="30"/>
        </w:rPr>
        <w:t>及时补植，存活率达95%以上，无明显病虫害，地面整洁。灌木松土不造成裸根，灌木丛中无垃圾。</w:t>
      </w:r>
    </w:p>
    <w:p w14:paraId="459C1CE3">
      <w:pPr>
        <w:pStyle w:val="7"/>
        <w:keepNext w:val="0"/>
        <w:keepLines w:val="0"/>
        <w:pageBreakBefore w:val="0"/>
        <w:widowControl w:val="0"/>
        <w:tabs>
          <w:tab w:val="left" w:pos="840"/>
        </w:tabs>
        <w:kinsoku/>
        <w:wordWrap/>
        <w:overflowPunct/>
        <w:topLinePunct w:val="0"/>
        <w:autoSpaceDE/>
        <w:autoSpaceDN/>
        <w:bidi w:val="0"/>
        <w:adjustRightInd/>
        <w:snapToGrid/>
        <w:spacing w:after="0" w:line="520" w:lineRule="exact"/>
        <w:ind w:left="0" w:leftChars="0" w:firstLine="480" w:firstLineChars="200"/>
        <w:jc w:val="left"/>
        <w:textAlignment w:val="baseline"/>
        <w:rPr>
          <w:rFonts w:ascii="仿宋" w:hAnsi="仿宋" w:eastAsia="仿宋" w:cs="仿宋"/>
          <w:sz w:val="24"/>
          <w:szCs w:val="30"/>
        </w:rPr>
      </w:pPr>
      <w:r>
        <w:rPr>
          <w:rFonts w:ascii="仿宋" w:hAnsi="仿宋" w:eastAsia="仿宋" w:cs="仿宋"/>
          <w:sz w:val="24"/>
          <w:szCs w:val="30"/>
        </w:rPr>
        <w:t>施肥每年2-4次，药物防治6次以上，喷药不造成药害。根据植物生态习性有防寒措施。</w:t>
      </w:r>
    </w:p>
    <w:p w14:paraId="1E1C6041">
      <w:pPr>
        <w:pStyle w:val="7"/>
        <w:keepNext w:val="0"/>
        <w:keepLines w:val="0"/>
        <w:pageBreakBefore w:val="0"/>
        <w:widowControl w:val="0"/>
        <w:tabs>
          <w:tab w:val="left" w:pos="840"/>
        </w:tabs>
        <w:kinsoku/>
        <w:wordWrap/>
        <w:overflowPunct/>
        <w:topLinePunct w:val="0"/>
        <w:autoSpaceDE/>
        <w:autoSpaceDN/>
        <w:bidi w:val="0"/>
        <w:adjustRightInd/>
        <w:snapToGrid/>
        <w:spacing w:after="0" w:line="520" w:lineRule="exact"/>
        <w:ind w:left="0" w:leftChars="0" w:firstLine="480" w:firstLineChars="200"/>
        <w:jc w:val="left"/>
        <w:textAlignment w:val="baseline"/>
        <w:rPr>
          <w:rFonts w:ascii="仿宋" w:hAnsi="仿宋" w:eastAsia="仿宋" w:cs="仿宋"/>
          <w:sz w:val="24"/>
          <w:szCs w:val="30"/>
        </w:rPr>
      </w:pPr>
      <w:r>
        <w:rPr>
          <w:rFonts w:ascii="仿宋" w:hAnsi="仿宋" w:eastAsia="仿宋" w:cs="仿宋"/>
          <w:sz w:val="24"/>
          <w:szCs w:val="30"/>
        </w:rPr>
        <w:t>(3)草坪(包括冷季型草坪、白花三叶草坪):草坪高度不超过10cm，保持草坪生长良好，草色青绿，无病虫害，无攀援寄生植物。</w:t>
      </w:r>
    </w:p>
    <w:p w14:paraId="30D54F27">
      <w:pPr>
        <w:pStyle w:val="7"/>
        <w:tabs>
          <w:tab w:val="left" w:pos="840"/>
        </w:tabs>
        <w:spacing w:after="0" w:line="520" w:lineRule="exact"/>
        <w:ind w:left="0" w:leftChars="0" w:firstLine="480" w:firstLineChars="200"/>
        <w:jc w:val="left"/>
        <w:textAlignment w:val="baseline"/>
        <w:rPr>
          <w:rFonts w:ascii="仿宋" w:hAnsi="仿宋" w:eastAsia="仿宋" w:cs="仿宋"/>
          <w:sz w:val="24"/>
          <w:szCs w:val="30"/>
        </w:rPr>
      </w:pPr>
      <w:r>
        <w:rPr>
          <w:rFonts w:ascii="仿宋" w:hAnsi="仿宋" w:eastAsia="仿宋" w:cs="仿宋"/>
          <w:sz w:val="24"/>
          <w:szCs w:val="30"/>
        </w:rPr>
        <w:t>坪地覆盖率较高，生长整齐，施肥修剪及时，高度适宜(冷季型草坪高度保持5-8厘米)，无明显色差，墒情较好，无明显旱涝，坪面基本无杂草、污物，无冲刷沟，草坪边角规整，绿地内不焚烧垃圾，垃圾及生产工具不乱放，基本无病虫害，冷季型草生长期多于300天，白花三叶草生长期多于270天。</w:t>
      </w:r>
    </w:p>
    <w:p w14:paraId="1648E0E2">
      <w:pPr>
        <w:pStyle w:val="7"/>
        <w:tabs>
          <w:tab w:val="left" w:pos="840"/>
        </w:tabs>
        <w:spacing w:after="0" w:line="520" w:lineRule="exact"/>
        <w:ind w:left="0" w:leftChars="0" w:firstLine="480" w:firstLineChars="200"/>
        <w:jc w:val="left"/>
        <w:textAlignment w:val="baseline"/>
        <w:rPr>
          <w:rFonts w:ascii="仿宋" w:hAnsi="仿宋" w:eastAsia="仿宋" w:cs="仿宋"/>
          <w:sz w:val="24"/>
          <w:szCs w:val="30"/>
        </w:rPr>
      </w:pPr>
      <w:r>
        <w:rPr>
          <w:rFonts w:ascii="仿宋" w:hAnsi="仿宋" w:eastAsia="仿宋" w:cs="仿宋"/>
          <w:sz w:val="24"/>
          <w:szCs w:val="30"/>
        </w:rPr>
        <w:t>(4)草花:花坛、花带轮廓清晰、整洁美观，无残缺。栽植适时，更新及时，保持三季有花，品种适宜，生长正常。按照规范要求及时修剪花卉，喷药不造成药害。及时清理枯萎、倒伏、死的花卉，并及时补植。密度、高度适宜，基本无断垄、缺株现象。基本无杂草。</w:t>
      </w:r>
    </w:p>
    <w:p w14:paraId="1A39B33B">
      <w:pPr>
        <w:spacing w:line="360" w:lineRule="auto"/>
        <w:ind w:firstLine="480" w:firstLineChars="200"/>
        <w:rPr>
          <w:rFonts w:ascii="仿宋" w:hAnsi="仿宋" w:eastAsia="仿宋" w:cs="仿宋"/>
          <w:b/>
          <w:bCs/>
          <w:szCs w:val="24"/>
        </w:rPr>
      </w:pPr>
      <w:r>
        <w:rPr>
          <w:rFonts w:ascii="仿宋" w:hAnsi="仿宋" w:eastAsia="仿宋" w:cs="仿宋"/>
          <w:szCs w:val="30"/>
        </w:rPr>
        <w:t>绿化设施维护:供水管线、喷灌设施、挡土墙基本完好，维护及时无损坏，园林小品、景石等基本完好，基本无乱贴乱画现象，保持清洁卫生</w:t>
      </w:r>
      <w:r>
        <w:rPr>
          <w:rFonts w:hint="eastAsia" w:ascii="仿宋" w:hAnsi="仿宋" w:eastAsia="仿宋" w:cs="仿宋"/>
          <w:szCs w:val="30"/>
        </w:rPr>
        <w:t>。</w:t>
      </w:r>
    </w:p>
    <w:p w14:paraId="582D9E5F">
      <w:pPr>
        <w:spacing w:line="360" w:lineRule="auto"/>
        <w:ind w:firstLine="482" w:firstLineChars="200"/>
        <w:rPr>
          <w:rFonts w:ascii="仿宋" w:hAnsi="仿宋" w:eastAsia="仿宋" w:cs="仿宋"/>
          <w:b/>
          <w:bCs/>
          <w:szCs w:val="24"/>
        </w:rPr>
      </w:pPr>
      <w:r>
        <w:rPr>
          <w:rFonts w:hint="eastAsia" w:ascii="仿宋" w:hAnsi="仿宋" w:eastAsia="仿宋" w:cs="仿宋"/>
          <w:b/>
          <w:bCs/>
          <w:szCs w:val="24"/>
        </w:rPr>
        <w:t>6、客户服务服务标准</w:t>
      </w:r>
    </w:p>
    <w:p w14:paraId="17941B8F">
      <w:pPr>
        <w:spacing w:line="360" w:lineRule="auto"/>
        <w:ind w:firstLine="480" w:firstLineChars="200"/>
        <w:rPr>
          <w:rFonts w:ascii="仿宋" w:hAnsi="仿宋" w:eastAsia="仿宋" w:cs="仿宋"/>
          <w:szCs w:val="24"/>
        </w:rPr>
      </w:pPr>
      <w:r>
        <w:rPr>
          <w:rFonts w:hint="eastAsia" w:ascii="仿宋" w:hAnsi="仿宋" w:eastAsia="仿宋" w:cs="仿宋"/>
          <w:szCs w:val="24"/>
        </w:rPr>
        <w:t>(1)服务人员在服务过程中保持良好的精神状态，热情、耐心、周到。</w:t>
      </w:r>
    </w:p>
    <w:p w14:paraId="5FDE28F0">
      <w:pPr>
        <w:spacing w:line="360" w:lineRule="auto"/>
        <w:ind w:firstLine="480" w:firstLineChars="200"/>
        <w:rPr>
          <w:rFonts w:ascii="仿宋" w:hAnsi="仿宋" w:eastAsia="仿宋" w:cs="仿宋"/>
          <w:szCs w:val="24"/>
        </w:rPr>
      </w:pPr>
      <w:r>
        <w:rPr>
          <w:rFonts w:hint="eastAsia" w:ascii="仿宋" w:hAnsi="仿宋" w:eastAsia="仿宋" w:cs="仿宋"/>
          <w:szCs w:val="24"/>
        </w:rPr>
        <w:t>(2)统一着装、整齐清洁，仪容仪表整洁端庄，站姿端正，坐姿稳重。</w:t>
      </w:r>
    </w:p>
    <w:p w14:paraId="68E7DAEE">
      <w:pPr>
        <w:spacing w:line="360" w:lineRule="auto"/>
        <w:ind w:firstLine="480" w:firstLineChars="200"/>
        <w:rPr>
          <w:rFonts w:ascii="仿宋" w:hAnsi="仿宋" w:eastAsia="仿宋" w:cs="仿宋"/>
          <w:szCs w:val="24"/>
        </w:rPr>
      </w:pPr>
      <w:r>
        <w:rPr>
          <w:rFonts w:hint="eastAsia" w:ascii="仿宋" w:hAnsi="仿宋" w:eastAsia="仿宋" w:cs="仿宋"/>
          <w:szCs w:val="24"/>
        </w:rPr>
        <w:t>(3)有完善的物业档案管理制度，资料齐全。</w:t>
      </w:r>
    </w:p>
    <w:p w14:paraId="42101C7C">
      <w:pPr>
        <w:spacing w:line="360" w:lineRule="auto"/>
        <w:ind w:firstLine="480" w:firstLineChars="200"/>
        <w:rPr>
          <w:rFonts w:ascii="仿宋" w:hAnsi="仿宋" w:eastAsia="仿宋" w:cs="仿宋"/>
          <w:szCs w:val="24"/>
        </w:rPr>
      </w:pPr>
      <w:r>
        <w:rPr>
          <w:rFonts w:hint="eastAsia" w:ascii="仿宋" w:hAnsi="仿宋" w:eastAsia="仿宋" w:cs="仿宋"/>
          <w:szCs w:val="24"/>
        </w:rPr>
        <w:t>(4)物业正式进场后，配合校方完成工程移交的承接查验工作，并提出合理化建议。</w:t>
      </w:r>
    </w:p>
    <w:p w14:paraId="204857D7">
      <w:pPr>
        <w:spacing w:line="360" w:lineRule="auto"/>
        <w:ind w:firstLine="480" w:firstLineChars="200"/>
        <w:rPr>
          <w:rFonts w:ascii="仿宋" w:hAnsi="仿宋" w:eastAsia="仿宋" w:cs="仿宋"/>
          <w:szCs w:val="24"/>
        </w:rPr>
      </w:pPr>
      <w:r>
        <w:rPr>
          <w:rFonts w:hint="eastAsia" w:ascii="仿宋" w:hAnsi="仿宋" w:eastAsia="仿宋" w:cs="仿宋"/>
          <w:szCs w:val="24"/>
        </w:rPr>
        <w:t>(5)接收相关专业技能的培训，掌握物业管理基本法律法规，熟悉校园的基本情况，能正确使用相关专业设备。</w:t>
      </w:r>
    </w:p>
    <w:p w14:paraId="54CE708A">
      <w:pPr>
        <w:spacing w:line="360" w:lineRule="auto"/>
        <w:ind w:firstLine="480" w:firstLineChars="200"/>
        <w:rPr>
          <w:rFonts w:ascii="仿宋" w:hAnsi="仿宋" w:eastAsia="仿宋" w:cs="仿宋"/>
          <w:szCs w:val="24"/>
        </w:rPr>
      </w:pPr>
      <w:r>
        <w:rPr>
          <w:rFonts w:hint="eastAsia" w:ascii="仿宋" w:hAnsi="仿宋" w:eastAsia="仿宋" w:cs="仿宋"/>
          <w:szCs w:val="24"/>
        </w:rPr>
        <w:t>(6)提供传真接收发送、报纸信件送递等服务。</w:t>
      </w:r>
    </w:p>
    <w:p w14:paraId="650D6AE9">
      <w:pPr>
        <w:spacing w:line="360" w:lineRule="auto"/>
        <w:ind w:firstLine="480" w:firstLineChars="200"/>
        <w:rPr>
          <w:rFonts w:ascii="仿宋" w:hAnsi="仿宋" w:eastAsia="仿宋" w:cs="仿宋"/>
          <w:szCs w:val="24"/>
        </w:rPr>
      </w:pPr>
      <w:r>
        <w:rPr>
          <w:rFonts w:hint="eastAsia" w:ascii="仿宋" w:hAnsi="仿宋" w:eastAsia="仿宋" w:cs="仿宋"/>
          <w:szCs w:val="24"/>
        </w:rPr>
        <w:t>(7)为来访人员提供接待、咨询、引导服务。</w:t>
      </w:r>
    </w:p>
    <w:p w14:paraId="5A7DD426">
      <w:pPr>
        <w:spacing w:line="360" w:lineRule="auto"/>
        <w:ind w:firstLine="480" w:firstLineChars="200"/>
        <w:rPr>
          <w:rFonts w:ascii="仿宋" w:hAnsi="仿宋" w:eastAsia="仿宋" w:cs="仿宋"/>
          <w:szCs w:val="24"/>
        </w:rPr>
      </w:pPr>
      <w:r>
        <w:rPr>
          <w:rFonts w:hint="eastAsia" w:ascii="仿宋" w:hAnsi="仿宋" w:eastAsia="仿宋" w:cs="仿宋"/>
          <w:szCs w:val="24"/>
        </w:rPr>
        <w:t>(8)配合校方完成校园文化活动等服务。</w:t>
      </w:r>
    </w:p>
    <w:p w14:paraId="0E585A9F">
      <w:pPr>
        <w:spacing w:line="360" w:lineRule="auto"/>
        <w:ind w:firstLine="480" w:firstLineChars="200"/>
        <w:rPr>
          <w:rFonts w:ascii="仿宋" w:hAnsi="仿宋" w:eastAsia="仿宋" w:cs="仿宋"/>
          <w:szCs w:val="24"/>
        </w:rPr>
      </w:pPr>
      <w:r>
        <w:rPr>
          <w:rFonts w:hint="eastAsia" w:ascii="仿宋" w:hAnsi="仿宋" w:eastAsia="仿宋" w:cs="仿宋"/>
          <w:szCs w:val="24"/>
        </w:rPr>
        <w:t>(9)日常报修接待服务，及时受理传达。</w:t>
      </w:r>
    </w:p>
    <w:p w14:paraId="46F01D3F">
      <w:pPr>
        <w:spacing w:line="360" w:lineRule="auto"/>
        <w:ind w:firstLine="480" w:firstLineChars="200"/>
        <w:rPr>
          <w:rFonts w:ascii="仿宋" w:hAnsi="仿宋" w:eastAsia="仿宋" w:cs="仿宋"/>
          <w:szCs w:val="24"/>
        </w:rPr>
      </w:pPr>
      <w:r>
        <w:rPr>
          <w:rFonts w:hint="eastAsia" w:ascii="仿宋" w:hAnsi="仿宋" w:eastAsia="仿宋" w:cs="仿宋"/>
          <w:szCs w:val="24"/>
        </w:rPr>
        <w:t>(10)及时上报、处理回复及投诉等问题。</w:t>
      </w:r>
    </w:p>
    <w:p w14:paraId="588ED141">
      <w:pPr>
        <w:spacing w:line="360" w:lineRule="auto"/>
        <w:ind w:firstLine="482" w:firstLineChars="200"/>
        <w:rPr>
          <w:rFonts w:ascii="仿宋" w:hAnsi="仿宋" w:eastAsia="仿宋" w:cs="仿宋"/>
          <w:b/>
          <w:bCs/>
          <w:szCs w:val="24"/>
        </w:rPr>
      </w:pPr>
      <w:r>
        <w:rPr>
          <w:rFonts w:hint="eastAsia" w:ascii="仿宋" w:hAnsi="仿宋" w:eastAsia="仿宋" w:cs="仿宋"/>
          <w:b/>
          <w:bCs/>
          <w:szCs w:val="24"/>
        </w:rPr>
        <w:t>四、服务期</w:t>
      </w:r>
    </w:p>
    <w:p w14:paraId="0A22DE2E">
      <w:pPr>
        <w:ind w:firstLine="480" w:firstLineChars="200"/>
      </w:pPr>
      <w:r>
        <w:rPr>
          <w:rFonts w:hint="eastAsia" w:ascii="仿宋" w:hAnsi="仿宋" w:eastAsia="仿宋" w:cs="仿宋"/>
          <w:szCs w:val="24"/>
        </w:rPr>
        <w:t>自合同签订之日起一年。</w:t>
      </w: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44"/>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E90FC6"/>
    <w:rsid w:val="0AE90FC6"/>
    <w:rsid w:val="1F666E76"/>
    <w:rsid w:val="3495005A"/>
    <w:rsid w:val="398426A9"/>
    <w:rsid w:val="49C03530"/>
    <w:rsid w:val="5377574D"/>
    <w:rsid w:val="5A336A44"/>
    <w:rsid w:val="6A402801"/>
    <w:rsid w:val="6BF7030C"/>
    <w:rsid w:val="6F485F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jc w:val="both"/>
      <w:textAlignment w:val="baseline"/>
    </w:pPr>
    <w:rPr>
      <w:rFonts w:ascii="宋体" w:hAnsi="Times New Roman" w:eastAsia="宋体" w:cstheme="minorBidi"/>
      <w:sz w:val="24"/>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itle"/>
    <w:basedOn w:val="1"/>
    <w:next w:val="1"/>
    <w:qFormat/>
    <w:uiPriority w:val="0"/>
    <w:pPr>
      <w:spacing w:before="240" w:after="60"/>
      <w:jc w:val="center"/>
    </w:pPr>
    <w:rPr>
      <w:rFonts w:ascii="Cambria" w:hAnsi="Cambria" w:cs="Times New Roman"/>
      <w:b/>
      <w:bCs/>
      <w:kern w:val="2"/>
      <w:sz w:val="32"/>
      <w:szCs w:val="32"/>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
    <w:name w:val="NormalCharacter"/>
    <w:autoRedefine/>
    <w:qFormat/>
    <w:uiPriority w:val="0"/>
  </w:style>
  <w:style w:type="paragraph" w:customStyle="1" w:styleId="7">
    <w:name w:val="Body Text Indent"/>
    <w:basedOn w:val="1"/>
    <w:qFormat/>
    <w:uiPriority w:val="0"/>
    <w:pPr>
      <w:spacing w:after="120"/>
      <w:ind w:left="420" w:leftChars="200"/>
    </w:pPr>
    <w:rPr>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2026-08-03T08:15:00Z</dcterms:created>
  <dc:creator>小圆</dc:creator>
  <cp:lastModifiedBy>小圆</cp:lastModifiedBy>
  <dcterms:modified xsi:type="dcterms:W3CDTF">2026-08-03T08:15:22Z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A2253D1D5B7F48158B57BE664C0D9AA7_11</vt:lpwstr>
  </property>
  <property fmtid="{D5CDD505-2E9C-101B-9397-08002B2CF9AE}" pid="4" name="KSOTemplateDocerSaveRecord">
    <vt:lpwstr>eyJoZGlkIjoiZmVlZjYzZGZmNWQwNzA2MzU3ODYyMTUwNWY1MDBmNDkiLCJ1c2VySWQiOiIxMjc4NTIyMTE1In0=</vt:lpwstr>
  </property>
</Properties>
</file>