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8F0378">
      <w:pPr>
        <w:pStyle w:val="4"/>
        <w:rPr>
          <w:rFonts w:ascii="仿宋_GB2312" w:hAnsi="仿宋_GB2312" w:eastAsia="仿宋_GB2312" w:cs="仿宋_GB2312"/>
        </w:rPr>
      </w:pPr>
    </w:p>
    <w:p w14:paraId="2628CBC9">
      <w:pPr>
        <w:pStyle w:val="4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采购需求</w:t>
      </w:r>
    </w:p>
    <w:p w14:paraId="0376F7CD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5C98ADB6">
      <w:pPr>
        <w:pStyle w:val="4"/>
      </w:pPr>
      <w:r>
        <w:rPr>
          <w:rFonts w:ascii="仿宋_GB2312" w:hAnsi="仿宋_GB2312" w:eastAsia="仿宋_GB2312" w:cs="仿宋_GB2312"/>
        </w:rPr>
        <w:t>标的名称：电动自行车及主要配件.危险化学品.纺织品等产品质量监督抽检项目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100"/>
        <w:gridCol w:w="6645"/>
      </w:tblGrid>
      <w:tr w14:paraId="60CC35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6FA24977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00" w:type="dxa"/>
          </w:tcPr>
          <w:p w14:paraId="301CBDA8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645" w:type="dxa"/>
          </w:tcPr>
          <w:p w14:paraId="373AE50A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93264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14F3CF62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00" w:type="dxa"/>
          </w:tcPr>
          <w:p w14:paraId="00455337">
            <w:pPr>
              <w:spacing w:line="360" w:lineRule="auto"/>
            </w:pPr>
          </w:p>
        </w:tc>
        <w:tc>
          <w:tcPr>
            <w:tcW w:w="6645" w:type="dxa"/>
          </w:tcPr>
          <w:p w14:paraId="6B0015AA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</w:rPr>
              <w:t>一、基本要求</w:t>
            </w:r>
          </w:p>
          <w:p w14:paraId="635BFB35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1、功能要求：招标确定一家国家批准认证的第三方承检机构完成我局车用柴油、电动自行车及主要配件、危险化学品、燃气灶及配件消防产品、保温材料等产品质量监督抽检任务。</w:t>
            </w:r>
          </w:p>
          <w:p w14:paraId="17D6D40E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2、服务期限：合同签订之日起至2026年11月30日（具体以合同签订时间为准）</w:t>
            </w:r>
          </w:p>
          <w:p w14:paraId="501E138D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3、服务地点：渭南市区域范围内。</w:t>
            </w:r>
          </w:p>
          <w:p w14:paraId="3ABDB28C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二、需执行的国家相关标准、行业标准、地方标准或者其他标准、规范标准</w:t>
            </w:r>
          </w:p>
          <w:p w14:paraId="0A876181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严格按照 《电动自行车安全技术规范》（GB 17761-2024）、《电动自行车电气安全要求》（GB42295-2022）、《电动自行车用锂离子蓄电池安全技术规范》（GB 43854-2024）、《电动自行车用锂离子蓄电池》GB /T36972-2018、《电动自行车用锂离子蓄电池及充电器第3部分：锂离子蓄电池及充电器》QB /T2947.3-2008、《电动助力车用阀控式铅酸蓄电池第1部分：技术条件》GB /T22199.1-2017、《电动自行车用充电器安全技术要求》GB 42296-2022、《电动自行车用充电器技术要求》GB/T 36944-2018、《醇基液体燃料》GB16663--1996（2004）、《工业用甲醇》 GB 338-2011、《M100车用甲醇燃料》GB/T42416--2023、《副产盐酸》HG/T3783--2021、《工业硫酸》 GB/T534--2014、《正丁醇》GB/T6027-2023 、《液体无水氨》BG/T536--2017、《溶解乙炔》GB/T6819--2004、《羊绒衫》FZ/T 73009-2021 、《羊毛衫》FZ/T 73005-2021 、《羽绒服》FZ/T 73053-2015 等相关要求，开展抽样检验工作。</w:t>
            </w:r>
          </w:p>
          <w:p w14:paraId="551B9E9A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三、服务指标的具体要求</w:t>
            </w:r>
          </w:p>
          <w:p w14:paraId="45BD18C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1、能提供高效抽检服务，能接受抽样工作委托，有专门团队负责采样。</w:t>
            </w:r>
          </w:p>
          <w:p w14:paraId="2870A568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2、有能满足采样、运输、设备、检验工作车辆等硬件设施及条件。</w:t>
            </w:r>
          </w:p>
          <w:p w14:paraId="1B9DCFBC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3、有专业水准的检验技术服务团队，检测结果公正、客观、真实、及时、准确，报告复检维持率高。</w:t>
            </w:r>
          </w:p>
          <w:p w14:paraId="429134DC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4、供应商须提供相关的业务咨询、报告分析等服务，抽检报告分析工作应该由供应商专业分析人员进行分析、撰写、汇总，并及时报送采购人，不得延迟。</w:t>
            </w:r>
          </w:p>
          <w:p w14:paraId="5C34C068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5、本项目抽检区域为临渭区、高新区、富平县、蒲城县、白水县、华州区、华阴市、潼关县、大荔县、澄城县、合阳县。</w:t>
            </w:r>
          </w:p>
          <w:p w14:paraId="0ED6D4D4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6、承检机构若出具虚假、错误检验数据和结论，一经发现，立即取消合作资格，并承担一切法律责任，以后年度不得参与本市检验任务。内容及需求</w:t>
            </w:r>
          </w:p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42"/>
              <w:gridCol w:w="1100"/>
              <w:gridCol w:w="1017"/>
              <w:gridCol w:w="1450"/>
              <w:gridCol w:w="1336"/>
              <w:gridCol w:w="873"/>
            </w:tblGrid>
            <w:tr w14:paraId="756BC0A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642" w:type="dxa"/>
                  <w:vMerge w:val="restart"/>
                </w:tcPr>
                <w:p w14:paraId="6D907797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1100" w:type="dxa"/>
                  <w:vMerge w:val="restart"/>
                </w:tcPr>
                <w:p w14:paraId="406ED1F4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标项名称</w:t>
                  </w:r>
                </w:p>
              </w:tc>
              <w:tc>
                <w:tcPr>
                  <w:tcW w:w="1017" w:type="dxa"/>
                  <w:vMerge w:val="restart"/>
                </w:tcPr>
                <w:p w14:paraId="7630ADDA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采购数量</w:t>
                  </w:r>
                </w:p>
              </w:tc>
              <w:tc>
                <w:tcPr>
                  <w:tcW w:w="2786" w:type="dxa"/>
                  <w:gridSpan w:val="2"/>
                </w:tcPr>
                <w:p w14:paraId="60F8C3D1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简要技术要求、用途</w:t>
                  </w:r>
                </w:p>
              </w:tc>
              <w:tc>
                <w:tcPr>
                  <w:tcW w:w="873" w:type="dxa"/>
                </w:tcPr>
                <w:p w14:paraId="4A15DF05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备注</w:t>
                  </w:r>
                </w:p>
              </w:tc>
            </w:tr>
            <w:tr w14:paraId="12D4843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wAfter w:w="0" w:type="auto"/>
                <w:trHeight w:val="314" w:hRule="atLeast"/>
              </w:trPr>
              <w:tc>
                <w:tcPr>
                  <w:tcW w:w="642" w:type="dxa"/>
                  <w:vMerge w:val="continue"/>
                </w:tcPr>
                <w:p w14:paraId="7FD2F982">
                  <w:pPr>
                    <w:spacing w:line="360" w:lineRule="auto"/>
                  </w:pPr>
                </w:p>
              </w:tc>
              <w:tc>
                <w:tcPr>
                  <w:tcW w:w="1100" w:type="dxa"/>
                  <w:vMerge w:val="continue"/>
                </w:tcPr>
                <w:p w14:paraId="6EBB936D">
                  <w:pPr>
                    <w:spacing w:line="360" w:lineRule="auto"/>
                  </w:pPr>
                </w:p>
              </w:tc>
              <w:tc>
                <w:tcPr>
                  <w:tcW w:w="1017" w:type="dxa"/>
                  <w:vMerge w:val="continue"/>
                </w:tcPr>
                <w:p w14:paraId="33275664">
                  <w:pPr>
                    <w:spacing w:line="360" w:lineRule="auto"/>
                  </w:pPr>
                </w:p>
              </w:tc>
              <w:tc>
                <w:tcPr>
                  <w:tcW w:w="1450" w:type="dxa"/>
                </w:tcPr>
                <w:p w14:paraId="1BA88B33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名称</w:t>
                  </w:r>
                </w:p>
              </w:tc>
              <w:tc>
                <w:tcPr>
                  <w:tcW w:w="1336" w:type="dxa"/>
                </w:tcPr>
                <w:p w14:paraId="2918D528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数量</w:t>
                  </w:r>
                </w:p>
              </w:tc>
              <w:tc>
                <w:tcPr>
                  <w:tcW w:w="873" w:type="dxa"/>
                </w:tcPr>
                <w:p w14:paraId="7C1BB319">
                  <w:pPr>
                    <w:pStyle w:val="4"/>
                    <w:spacing w:line="360" w:lineRule="auto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10DD77E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75" w:hRule="atLeast"/>
              </w:trPr>
              <w:tc>
                <w:tcPr>
                  <w:tcW w:w="642" w:type="dxa"/>
                  <w:vMerge w:val="restart"/>
                </w:tcPr>
                <w:p w14:paraId="52A04A73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1100" w:type="dxa"/>
                  <w:vMerge w:val="restart"/>
                </w:tcPr>
                <w:p w14:paraId="2040937D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电动自行车及主要配件、危险化学品、纺织品</w:t>
                  </w:r>
                  <w:bookmarkStart w:id="0" w:name="_GoBack"/>
                  <w:bookmarkEnd w:id="0"/>
                  <w:r>
                    <w:rPr>
                      <w:rFonts w:ascii="仿宋_GB2312" w:hAnsi="仿宋_GB2312" w:eastAsia="仿宋_GB2312" w:cs="仿宋_GB2312"/>
                    </w:rPr>
                    <w:t>等产品质量监督抽检项目</w:t>
                  </w:r>
                </w:p>
                <w:p w14:paraId="1EE96082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  <w:tc>
                <w:tcPr>
                  <w:tcW w:w="1017" w:type="dxa"/>
                  <w:vMerge w:val="restart"/>
                </w:tcPr>
                <w:p w14:paraId="4D4D88D3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1家</w:t>
                  </w:r>
                </w:p>
              </w:tc>
              <w:tc>
                <w:tcPr>
                  <w:tcW w:w="1450" w:type="dxa"/>
                </w:tcPr>
                <w:p w14:paraId="35A95D59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电动自行车</w:t>
                  </w:r>
                </w:p>
              </w:tc>
              <w:tc>
                <w:tcPr>
                  <w:tcW w:w="1336" w:type="dxa"/>
                </w:tcPr>
                <w:p w14:paraId="1C850FFB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在销售单位抽取15个样品</w:t>
                  </w:r>
                </w:p>
              </w:tc>
              <w:tc>
                <w:tcPr>
                  <w:tcW w:w="873" w:type="dxa"/>
                </w:tcPr>
                <w:p w14:paraId="52F0D03E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6719A36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wAfter w:w="0" w:type="auto"/>
                <w:trHeight w:val="1275" w:hRule="atLeast"/>
              </w:trPr>
              <w:tc>
                <w:tcPr>
                  <w:tcW w:w="642" w:type="dxa"/>
                  <w:vMerge w:val="continue"/>
                </w:tcPr>
                <w:p w14:paraId="7D444B5F">
                  <w:pPr>
                    <w:spacing w:line="360" w:lineRule="auto"/>
                  </w:pPr>
                </w:p>
              </w:tc>
              <w:tc>
                <w:tcPr>
                  <w:tcW w:w="1100" w:type="dxa"/>
                  <w:vMerge w:val="continue"/>
                </w:tcPr>
                <w:p w14:paraId="38211373">
                  <w:pPr>
                    <w:spacing w:line="360" w:lineRule="auto"/>
                  </w:pPr>
                </w:p>
              </w:tc>
              <w:tc>
                <w:tcPr>
                  <w:tcW w:w="1017" w:type="dxa"/>
                  <w:vMerge w:val="continue"/>
                </w:tcPr>
                <w:p w14:paraId="1FB3B51D">
                  <w:pPr>
                    <w:spacing w:line="360" w:lineRule="auto"/>
                  </w:pPr>
                </w:p>
              </w:tc>
              <w:tc>
                <w:tcPr>
                  <w:tcW w:w="1450" w:type="dxa"/>
                </w:tcPr>
                <w:p w14:paraId="00423D82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电动自行车电池</w:t>
                  </w:r>
                </w:p>
              </w:tc>
              <w:tc>
                <w:tcPr>
                  <w:tcW w:w="1336" w:type="dxa"/>
                </w:tcPr>
                <w:p w14:paraId="20403A4D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在销售单位抽取10个样品</w:t>
                  </w:r>
                </w:p>
              </w:tc>
              <w:tc>
                <w:tcPr>
                  <w:tcW w:w="873" w:type="dxa"/>
                </w:tcPr>
                <w:p w14:paraId="014E548C">
                  <w:pPr>
                    <w:pStyle w:val="4"/>
                    <w:spacing w:line="360" w:lineRule="auto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763EC54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wAfter w:w="0" w:type="auto"/>
                <w:trHeight w:val="1275" w:hRule="atLeast"/>
              </w:trPr>
              <w:tc>
                <w:tcPr>
                  <w:tcW w:w="642" w:type="dxa"/>
                  <w:vMerge w:val="continue"/>
                </w:tcPr>
                <w:p w14:paraId="4EFCE702">
                  <w:pPr>
                    <w:spacing w:line="360" w:lineRule="auto"/>
                  </w:pPr>
                </w:p>
              </w:tc>
              <w:tc>
                <w:tcPr>
                  <w:tcW w:w="1100" w:type="dxa"/>
                  <w:vMerge w:val="continue"/>
                </w:tcPr>
                <w:p w14:paraId="361122FE">
                  <w:pPr>
                    <w:spacing w:line="360" w:lineRule="auto"/>
                  </w:pPr>
                </w:p>
              </w:tc>
              <w:tc>
                <w:tcPr>
                  <w:tcW w:w="1017" w:type="dxa"/>
                  <w:vMerge w:val="continue"/>
                </w:tcPr>
                <w:p w14:paraId="75DA96B8">
                  <w:pPr>
                    <w:spacing w:line="360" w:lineRule="auto"/>
                  </w:pPr>
                </w:p>
              </w:tc>
              <w:tc>
                <w:tcPr>
                  <w:tcW w:w="1450" w:type="dxa"/>
                </w:tcPr>
                <w:p w14:paraId="3FC27FED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电动自行车充电器</w:t>
                  </w:r>
                </w:p>
              </w:tc>
              <w:tc>
                <w:tcPr>
                  <w:tcW w:w="1336" w:type="dxa"/>
                </w:tcPr>
                <w:p w14:paraId="00949F59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在销售单位抽取10个样品</w:t>
                  </w:r>
                </w:p>
              </w:tc>
              <w:tc>
                <w:tcPr>
                  <w:tcW w:w="873" w:type="dxa"/>
                </w:tcPr>
                <w:p w14:paraId="78C243A3">
                  <w:pPr>
                    <w:pStyle w:val="4"/>
                    <w:spacing w:line="360" w:lineRule="auto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4E02EC3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wAfter w:w="0" w:type="auto"/>
                <w:trHeight w:val="1244" w:hRule="atLeast"/>
              </w:trPr>
              <w:tc>
                <w:tcPr>
                  <w:tcW w:w="642" w:type="dxa"/>
                  <w:vMerge w:val="continue"/>
                </w:tcPr>
                <w:p w14:paraId="0B58F813">
                  <w:pPr>
                    <w:spacing w:line="360" w:lineRule="auto"/>
                  </w:pPr>
                </w:p>
              </w:tc>
              <w:tc>
                <w:tcPr>
                  <w:tcW w:w="1100" w:type="dxa"/>
                  <w:vMerge w:val="continue"/>
                </w:tcPr>
                <w:p w14:paraId="379C4896">
                  <w:pPr>
                    <w:spacing w:line="360" w:lineRule="auto"/>
                  </w:pPr>
                </w:p>
              </w:tc>
              <w:tc>
                <w:tcPr>
                  <w:tcW w:w="1017" w:type="dxa"/>
                  <w:vMerge w:val="continue"/>
                </w:tcPr>
                <w:p w14:paraId="10F5BB95">
                  <w:pPr>
                    <w:spacing w:line="360" w:lineRule="auto"/>
                  </w:pPr>
                </w:p>
              </w:tc>
              <w:tc>
                <w:tcPr>
                  <w:tcW w:w="1450" w:type="dxa"/>
                </w:tcPr>
                <w:p w14:paraId="6E6D6B8E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危险化学品（副产盐酸、工业硫酸、正丁醇、液体无水氨、溶解乙炔等）</w:t>
                  </w:r>
                </w:p>
              </w:tc>
              <w:tc>
                <w:tcPr>
                  <w:tcW w:w="1336" w:type="dxa"/>
                </w:tcPr>
                <w:p w14:paraId="6678E82A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在生产销售单位抽取12个样品</w:t>
                  </w:r>
                </w:p>
              </w:tc>
              <w:tc>
                <w:tcPr>
                  <w:tcW w:w="873" w:type="dxa"/>
                </w:tcPr>
                <w:p w14:paraId="743E9F3B">
                  <w:pPr>
                    <w:pStyle w:val="4"/>
                    <w:spacing w:line="360" w:lineRule="auto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553C6CF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wAfter w:w="0" w:type="auto"/>
                <w:trHeight w:val="1554" w:hRule="atLeast"/>
              </w:trPr>
              <w:tc>
                <w:tcPr>
                  <w:tcW w:w="642" w:type="dxa"/>
                  <w:vMerge w:val="continue"/>
                </w:tcPr>
                <w:p w14:paraId="6606360E">
                  <w:pPr>
                    <w:spacing w:line="360" w:lineRule="auto"/>
                  </w:pPr>
                </w:p>
              </w:tc>
              <w:tc>
                <w:tcPr>
                  <w:tcW w:w="1100" w:type="dxa"/>
                  <w:vMerge w:val="continue"/>
                </w:tcPr>
                <w:p w14:paraId="559E2895">
                  <w:pPr>
                    <w:spacing w:line="360" w:lineRule="auto"/>
                  </w:pPr>
                </w:p>
              </w:tc>
              <w:tc>
                <w:tcPr>
                  <w:tcW w:w="1017" w:type="dxa"/>
                  <w:vMerge w:val="continue"/>
                </w:tcPr>
                <w:p w14:paraId="78DB0E5B">
                  <w:pPr>
                    <w:spacing w:line="360" w:lineRule="auto"/>
                  </w:pPr>
                </w:p>
              </w:tc>
              <w:tc>
                <w:tcPr>
                  <w:tcW w:w="1450" w:type="dxa"/>
                </w:tcPr>
                <w:p w14:paraId="7B486EFD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危险化学品（醇基燃料、工业甲醇、车用醇基燃料）</w:t>
                  </w:r>
                </w:p>
              </w:tc>
              <w:tc>
                <w:tcPr>
                  <w:tcW w:w="1336" w:type="dxa"/>
                </w:tcPr>
                <w:p w14:paraId="7B4B450C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在生产销售单位抽取10个样品</w:t>
                  </w:r>
                </w:p>
              </w:tc>
              <w:tc>
                <w:tcPr>
                  <w:tcW w:w="873" w:type="dxa"/>
                </w:tcPr>
                <w:p w14:paraId="6D70F15F">
                  <w:pPr>
                    <w:pStyle w:val="4"/>
                    <w:spacing w:line="360" w:lineRule="auto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  <w:tr w14:paraId="6619845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wAfter w:w="0" w:type="auto"/>
                <w:trHeight w:val="1558" w:hRule="atLeast"/>
              </w:trPr>
              <w:tc>
                <w:tcPr>
                  <w:tcW w:w="642" w:type="dxa"/>
                  <w:vMerge w:val="continue"/>
                </w:tcPr>
                <w:p w14:paraId="3112741D">
                  <w:pPr>
                    <w:spacing w:line="360" w:lineRule="auto"/>
                  </w:pPr>
                </w:p>
              </w:tc>
              <w:tc>
                <w:tcPr>
                  <w:tcW w:w="1100" w:type="dxa"/>
                  <w:vMerge w:val="continue"/>
                </w:tcPr>
                <w:p w14:paraId="47FB2B4F">
                  <w:pPr>
                    <w:spacing w:line="360" w:lineRule="auto"/>
                  </w:pPr>
                </w:p>
              </w:tc>
              <w:tc>
                <w:tcPr>
                  <w:tcW w:w="1017" w:type="dxa"/>
                  <w:vMerge w:val="continue"/>
                </w:tcPr>
                <w:p w14:paraId="7391E6DB">
                  <w:pPr>
                    <w:spacing w:line="360" w:lineRule="auto"/>
                  </w:pPr>
                </w:p>
              </w:tc>
              <w:tc>
                <w:tcPr>
                  <w:tcW w:w="1450" w:type="dxa"/>
                </w:tcPr>
                <w:p w14:paraId="3A7C5539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纺织品（羊绒衫、羊毛衫、羽绒服）</w:t>
                  </w:r>
                </w:p>
              </w:tc>
              <w:tc>
                <w:tcPr>
                  <w:tcW w:w="1336" w:type="dxa"/>
                </w:tcPr>
                <w:p w14:paraId="14010EED">
                  <w:pPr>
                    <w:pStyle w:val="4"/>
                    <w:spacing w:line="360" w:lineRule="auto"/>
                  </w:pPr>
                  <w:r>
                    <w:rPr>
                      <w:rFonts w:ascii="仿宋_GB2312" w:hAnsi="仿宋_GB2312" w:eastAsia="仿宋_GB2312" w:cs="仿宋_GB2312"/>
                    </w:rPr>
                    <w:t>在生产销售单位抽取20个样品</w:t>
                  </w:r>
                </w:p>
              </w:tc>
              <w:tc>
                <w:tcPr>
                  <w:tcW w:w="873" w:type="dxa"/>
                </w:tcPr>
                <w:p w14:paraId="64AB69EF">
                  <w:pPr>
                    <w:pStyle w:val="4"/>
                    <w:spacing w:line="360" w:lineRule="auto"/>
                    <w:rPr>
                      <w:rFonts w:ascii="仿宋_GB2312" w:hAnsi="仿宋_GB2312" w:eastAsia="仿宋_GB2312" w:cs="仿宋_GB2312"/>
                    </w:rPr>
                  </w:pPr>
                </w:p>
              </w:tc>
            </w:tr>
          </w:tbl>
          <w:p w14:paraId="7B34BF85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四、预算、最高限价及结算说明</w:t>
            </w:r>
          </w:p>
          <w:p w14:paraId="33B6D830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本采购包预算200000元，包括但不限于本次项目所需采样费、检测费、设备费、劳务费、机械费、材料费、管理费、利润、税金、政策性文件规定的各项应有费用。</w:t>
            </w:r>
          </w:p>
          <w:p w14:paraId="1C6EF682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单价最高限价：电动自行车产品质量检测：4130元/批次；电动自行车电池产品质量检测：2140元/批次；电动自行车充电器产品质量检测：1960元/批次；副产盐酸产品质量检测：2660元/批次；工业硫酸产品质量检测：3390元/批次；正丁醇、液体无水氨、溶解乙炔产品质量检测：3800元/批次；醇基燃料（车用醇基燃料）产品质量检测：2860元/批次；甲醇产品质量检测：3860元/批次；羊绒衫、羊毛衫产品质量检测：2230元/批次；羽绒服产品质量检测：2350元/批次；各供应商磋商报价不得超过总价及各分项的单价最高限价，否则视为无效报价。</w:t>
            </w:r>
          </w:p>
          <w:p w14:paraId="41AEF08E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电动自行车及主要配件、危险化学品、纺织品等产品质量监督抽检项目最终结算金额=电动自行车电池产品质量检测费用+电动自行车充电器产品质量检测费用+副产盐酸产品质量检测费用+工业硫酸产品质量检测费用+正丁醇、液体无水氨、溶解乙炔产品质量检测费用+醇基燃料（车用醇基燃料）产品质量检测费用+甲醇产品质量检测费用+羊绒衫、羊毛衫产品质量检测费用+羽绒服产品质量检测费用，各分项检测费用=实际抽检样品批次×成交固定综合单价。</w:t>
            </w:r>
          </w:p>
          <w:p w14:paraId="4CC14619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五、服务质量、标准、期限、效率等要求</w:t>
            </w:r>
          </w:p>
          <w:p w14:paraId="3F9FD204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、检验要求：能够严格按照国家检验标准进行检验，及时出具检验报告，对不合格检验报告即时送达采购人，并对检验结果的真实性负责。由于虚假、错误检验数据和结论而给采购人、被检验人造成损失，或者给社会带来不良影响的，成交供应商应当消除影响，负责赔偿，并承担相应法律责任。</w:t>
            </w:r>
          </w:p>
          <w:p w14:paraId="39192722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2、检验机构抽样时须严格按照操作规程进行操作，不得因抽样不规范引起被抽样单位的异议，且出具的检测结果公平、公正、准确，问题发现率符合要求；检测报告出具和送达及时；服务态度良好，能积极配合采购人按时完成抽检任务；能及时协助采购人完成监督抽检的应急事件。</w:t>
            </w:r>
          </w:p>
          <w:p w14:paraId="5AAE8F70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3、检验机构收到检品后10个工作日内出具检验报告。对于特殊、涉案样品的检验，2天内出结果，4天内出报告，且无额外加收费用。涉案样品需要配合执法机关调查、取证的应当积极配合。</w:t>
            </w:r>
          </w:p>
          <w:p w14:paraId="3FA423DD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4、检验机构应有满足抽样工作需要的车辆、器具、仪器、设备等，每次检测至少须委派2名以上经培训考核合格，持证上岗的检测人员。</w:t>
            </w:r>
          </w:p>
          <w:p w14:paraId="2EBC5FE9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5、能够承担并完成抽检结果数据信息的录入、上传工作，确保录入数据准确，并及时将抽样检验相关资料输入监督抽检系统。</w:t>
            </w:r>
          </w:p>
          <w:p w14:paraId="785AB3E7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6、具体抽样时间和地点由采购人提供，需由检验机构在采购人指定的时间到指定的地点进行取样，若因检验机构不按照标准要求取样引起的行政诉讼等，由检验机构承担相应的法律责任。</w:t>
            </w:r>
          </w:p>
          <w:p w14:paraId="2EA96EF9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7、检测机构对检验结论、结果的包括但不限于真实性、有效性、客观性负责。由于检测机构的包括但不限于工作失误、错误、弄虚作假等，致使检验结论。结果无法真实客观有效地反映事实的，由检测机构承担法律责任。</w:t>
            </w:r>
          </w:p>
          <w:p w14:paraId="7DEC668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8、采购人将对供应商响应文件中的资质以及检测流程进行检查，如发现弄虚作假或不符合规定程序行为，采购人有权按照有关规定继续进行处理。</w:t>
            </w:r>
          </w:p>
          <w:p w14:paraId="34ECD9CC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9、检测机构应按照抽检任务的品种，下达日期先后次序有序整理抽检任务档案材料，并妥善保存备查。保存时间不得少于 2 年。</w:t>
            </w:r>
          </w:p>
          <w:p w14:paraId="75B195FA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10、近3年未发生过数据泄露事故：自觉接受采购人组织的质控考核，现场检查和比对实验等工作安排。</w:t>
            </w:r>
          </w:p>
          <w:p w14:paraId="73969FA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11、建立与采购人定期交流制度，每次抽样检测检查后及时与采购人沟通，及时上报检测结果；与采购人代表，工作人员随时交流，虚心接受采购人的监督及意见，及时改进工作方法和服务方式，提高服务水平；</w:t>
            </w:r>
          </w:p>
          <w:p w14:paraId="7B58ECA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12、复检要求：能够配合采购人开展复检，做好相关工作。</w:t>
            </w:r>
          </w:p>
          <w:p w14:paraId="67B56FB0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13、保密义务：保守抽检工作秘密，对涉及抽检商品名称、种类、型号、经营者和生产者名称、商标、检验流程、检验结果等全部数据必须保密，未经委托抽检的市场监管部门授权，不得向任何单位与个人透露。</w:t>
            </w:r>
          </w:p>
          <w:p w14:paraId="43576933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14、任何检测机构不得存在以下情形：</w:t>
            </w:r>
          </w:p>
          <w:p w14:paraId="38C25716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1)以蒙骗、欺诈等手段承担无CMA资质认证的检测任务；</w:t>
            </w:r>
          </w:p>
          <w:p w14:paraId="155DCD0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2)抽检过程中使用实习大学生等非职业抽检人员；</w:t>
            </w:r>
          </w:p>
          <w:p w14:paraId="34A0D5C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3)未经许可对承担的任务进行转包、分包；</w:t>
            </w:r>
          </w:p>
          <w:p w14:paraId="5365F0B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4)未经许可使用、公布采购人抽检任务信息；</w:t>
            </w:r>
          </w:p>
          <w:p w14:paraId="381517D3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5)出具虚假检测报告。一经发现，一切损失由检测机构承担，采购人将立即终止抽检计划，并追究相应的法律责任。</w:t>
            </w:r>
          </w:p>
          <w:p w14:paraId="264C729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六、付款方式：</w:t>
            </w:r>
          </w:p>
          <w:p w14:paraId="371B53D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合同签订后，合同签订后5个工作日内，采购人向成交人支付采购合同金额的40%作为预付款，待成交人完成全部检测工作支付合同金额的60%。</w:t>
            </w:r>
          </w:p>
          <w:p w14:paraId="6FCC7E53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电动自行车及主要配件、危险化学品、纺织品等产品质量监督抽检项目最终结算金额=电动自行车电池产品质量检测费用+电动自行车充电器产品质量检测费用+副产盐酸产品质量检测费用+工业硫酸产品质量检测费用+正丁醇、液体无水氨、溶解乙炔产品质量检测费用+醇基燃料（车用醇基燃料）产品质量检测费用+甲醇产品质量检测费用+羊绒衫、羊毛衫产品质量检测费用+羽绒服产品质量检测费用，各分项检测费用=实际抽检样品批次×成交固定综合单价。</w:t>
            </w:r>
          </w:p>
          <w:p w14:paraId="150D0B82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七、验收标准:甲方应在乙方完成相关服务工作后及时对服务质量、技术指标、服务成果进行验收。</w:t>
            </w:r>
          </w:p>
        </w:tc>
      </w:tr>
    </w:tbl>
    <w:p w14:paraId="2396C5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A6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2026-05-30T10:10:38Z</dcterms:created>
  <dc:creator>Administrator</dc:creator>
  <cp:lastModifiedBy>明眸°　Sunshine ☜</cp:lastModifiedBy>
  <dcterms:modified xsi:type="dcterms:W3CDTF">2026-05-30T10:12:45Z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eyJoZGlkIjoiZTVlNDM5ZjkwZGUzNGU4MDAwMTQyYjk0YWI5MzVmNjAiLCJ1c2VySWQiOiIyNDM5NDEyMjcifQ==</vt:lpwstr>
  </property>
  <property fmtid="{D5CDD505-2E9C-101B-9397-08002B2CF9AE}" pid="4" name="ICV">
    <vt:lpwstr>D49338E501B3401EBF00E0BA38905ED4_12</vt:lpwstr>
  </property>
</Properties>
</file>