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版本号：LZBE2026-481（XDZ2026-35-N-19）20260520001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2026年精神障碍社区康复服务项目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LZBE2026-481（XDZ2026-35-N-19）</w:t>
      </w:r>
      <w:r>
        <w:br/>
      </w:r>
      <w:r>
        <w:br/>
      </w:r>
      <w:r>
        <w:br/>
      </w:r>
    </w:p>
    <w:p>
      <w:pPr>
        <w:pStyle w:val="null3"/>
        <w:jc w:val="center"/>
        <w:outlineLvl w:val="2"/>
      </w:pPr>
      <w:r>
        <w:rPr>
          <w:rFonts w:ascii="仿宋_GB2312" w:hAnsi="仿宋_GB2312" w:cs="仿宋_GB2312" w:eastAsia="仿宋_GB2312"/>
          <w:sz w:val="28"/>
          <w:b/>
        </w:rPr>
        <w:t>西安高新技术产业开发区社会事业服务局</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西安高新技术产业开发区社会事业服务局</w:t>
      </w:r>
      <w:r>
        <w:rPr>
          <w:rFonts w:ascii="仿宋_GB2312" w:hAnsi="仿宋_GB2312" w:cs="仿宋_GB2312" w:eastAsia="仿宋_GB2312"/>
        </w:rPr>
        <w:t>委托，拟对</w:t>
      </w:r>
      <w:r>
        <w:rPr>
          <w:rFonts w:ascii="仿宋_GB2312" w:hAnsi="仿宋_GB2312" w:cs="仿宋_GB2312" w:eastAsia="仿宋_GB2312"/>
        </w:rPr>
        <w:t>2026年精神障碍社区康复服务项目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LZBE2026-481（XDZ2026-35-N-19）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2026年精神障碍社区康复服务项目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2026年精神障碍社区康复服务项目，具体详见第三章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p>
      <w:pPr>
        <w:pStyle w:val="null3"/>
      </w:pPr>
      <w:r>
        <w:rPr>
          <w:rFonts w:ascii="仿宋_GB2312" w:hAnsi="仿宋_GB2312" w:cs="仿宋_GB2312" w:eastAsia="仿宋_GB2312"/>
        </w:rPr>
        <w:t>3、财务状况报告：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p>
      <w:pPr>
        <w:pStyle w:val="null3"/>
      </w:pPr>
      <w:r>
        <w:rPr>
          <w:rFonts w:ascii="仿宋_GB2312" w:hAnsi="仿宋_GB2312" w:cs="仿宋_GB2312" w:eastAsia="仿宋_GB2312"/>
        </w:rPr>
        <w:t>4、参加政府采购活动前3年内在经营活动中没有重大违法记录的书面声明；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或提供《基本资格条件承诺函》；供应商需在项目电子化交易系统中按要求上传相应证明文件并进行电子签章；</w:t>
      </w:r>
    </w:p>
    <w:p>
      <w:pPr>
        <w:pStyle w:val="null3"/>
      </w:pPr>
      <w:r>
        <w:rPr>
          <w:rFonts w:ascii="仿宋_GB2312" w:hAnsi="仿宋_GB2312" w:cs="仿宋_GB2312" w:eastAsia="仿宋_GB2312"/>
        </w:rPr>
        <w:t>6、供应商信用状况：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西安高新技术产业开发区社会事业服务局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高新区丝路创智谷6号楼602室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 81155739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陕西省西安市高新区太白南路181号A座A区501室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中的服务类收费标准计取，以采购预算（限价）为取费基数收取。注：1、成交单位在领取成交通知书之前，须向代理机构支付招标代理服务费。2、、招标代理服务费以转账或现金形式缴纳至以下账户： 开户名称：龙寰项目管理咨询有限公司，开户银行：平安银行西安高新路支行，账 号：30201278018563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西安高新技术产业开发区社会事业服务局</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西安高新技术产业开发区社会事业服务局</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西安高新技术产业开发区社会事业服务局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地址：陕西省西安市高新区太白南路181号A座A区501室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2026年精神障碍社区康复服务项目，具体详见磋商文件。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2026年精神障碍社区康复服务项目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标的名称：2026年精神障碍社区康复服务项目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根据《西安市加快推进精神障碍社区康复服务工作实施方案》要求，高新区委托第三方机构为高新区精神障碍患者提供社区康复服务项目。具体采购要求如下：</w:t>
            </w:r>
          </w:p>
          <w:p>
            <w:pPr>
              <w:pStyle w:val="null3"/>
            </w:pPr>
            <w:r>
              <w:rPr>
                <w:rFonts w:ascii="仿宋_GB2312" w:hAnsi="仿宋_GB2312" w:cs="仿宋_GB2312" w:eastAsia="仿宋_GB2312"/>
                <w:sz w:val="20"/>
                <w:b/>
              </w:rPr>
              <w:t>一、服务机构要求</w:t>
            </w:r>
          </w:p>
          <w:p>
            <w:pPr>
              <w:pStyle w:val="null3"/>
            </w:pPr>
            <w:r>
              <w:rPr>
                <w:rFonts w:ascii="仿宋_GB2312" w:hAnsi="仿宋_GB2312" w:cs="仿宋_GB2312" w:eastAsia="仿宋_GB2312"/>
                <w:sz w:val="20"/>
              </w:rPr>
              <w:t>为保证项目实施质量，承接精神障碍社区康复服务的机构应当具备合法经营资质、专业服务能力及健全的管理制度等。</w:t>
            </w:r>
          </w:p>
          <w:p>
            <w:pPr>
              <w:pStyle w:val="null3"/>
            </w:pPr>
            <w:r>
              <w:rPr>
                <w:rFonts w:ascii="仿宋_GB2312" w:hAnsi="仿宋_GB2312" w:cs="仿宋_GB2312" w:eastAsia="仿宋_GB2312"/>
                <w:sz w:val="20"/>
                <w:b/>
              </w:rPr>
              <w:t>二、服务内容及要求</w:t>
            </w:r>
          </w:p>
          <w:p>
            <w:pPr>
              <w:pStyle w:val="null3"/>
            </w:pPr>
            <w:r>
              <w:rPr>
                <w:rFonts w:ascii="仿宋_GB2312" w:hAnsi="仿宋_GB2312" w:cs="仿宋_GB2312" w:eastAsia="仿宋_GB2312"/>
                <w:sz w:val="20"/>
              </w:rPr>
              <w:t>项目服务对象为高新区户籍、在高新辖区内有固定的居住场所，病情稳定且无肇事肇祸倾向，经精神卫生专业医疗机构出院评估可进行社区康复且有康复意愿的居家精神障碍患者</w:t>
            </w:r>
            <w:r>
              <w:rPr>
                <w:rFonts w:ascii="仿宋_GB2312" w:hAnsi="仿宋_GB2312" w:cs="仿宋_GB2312" w:eastAsia="仿宋_GB2312"/>
                <w:sz w:val="20"/>
              </w:rPr>
              <w:t>(</w:t>
            </w:r>
            <w:r>
              <w:rPr>
                <w:rFonts w:ascii="仿宋_GB2312" w:hAnsi="仿宋_GB2312" w:cs="仿宋_GB2312" w:eastAsia="仿宋_GB2312"/>
                <w:sz w:val="20"/>
              </w:rPr>
              <w:t>优先关注特困、低保、低保边缘和支出型困难家庭中救助对象，孤寡、独居、空巢老人、困境儿童、残疾人等</w:t>
            </w:r>
            <w:r>
              <w:rPr>
                <w:rFonts w:ascii="仿宋_GB2312" w:hAnsi="仿宋_GB2312" w:cs="仿宋_GB2312" w:eastAsia="仿宋_GB2312"/>
                <w:sz w:val="20"/>
              </w:rPr>
              <w:t>群体</w:t>
            </w:r>
            <w:r>
              <w:rPr>
                <w:rFonts w:ascii="仿宋_GB2312" w:hAnsi="仿宋_GB2312" w:cs="仿宋_GB2312" w:eastAsia="仿宋_GB2312"/>
                <w:sz w:val="20"/>
              </w:rPr>
              <w:t>)</w:t>
            </w:r>
            <w:r>
              <w:rPr>
                <w:rFonts w:ascii="仿宋_GB2312" w:hAnsi="仿宋_GB2312" w:cs="仿宋_GB2312" w:eastAsia="仿宋_GB2312"/>
                <w:sz w:val="20"/>
              </w:rPr>
              <w:t>。需按照民政部《精神障碍社区康复服务工作规范》，针对精障患者的社区康复需求，按服务次数和时长要求开展以下服务：</w:t>
            </w:r>
          </w:p>
          <w:p>
            <w:pPr>
              <w:pStyle w:val="null3"/>
            </w:pPr>
            <w:r>
              <w:rPr>
                <w:rFonts w:ascii="仿宋_GB2312" w:hAnsi="仿宋_GB2312" w:cs="仿宋_GB2312" w:eastAsia="仿宋_GB2312"/>
                <w:sz w:val="20"/>
                <w:b/>
              </w:rPr>
              <w:t>1.</w:t>
            </w:r>
            <w:r>
              <w:rPr>
                <w:rFonts w:ascii="仿宋_GB2312" w:hAnsi="仿宋_GB2312" w:cs="仿宋_GB2312" w:eastAsia="仿宋_GB2312"/>
                <w:sz w:val="20"/>
                <w:b/>
              </w:rPr>
              <w:t>基础服务：</w:t>
            </w:r>
            <w:r>
              <w:rPr>
                <w:rFonts w:ascii="仿宋_GB2312" w:hAnsi="仿宋_GB2312" w:cs="仿宋_GB2312" w:eastAsia="仿宋_GB2312"/>
                <w:sz w:val="20"/>
                <w:b/>
              </w:rPr>
              <w:t>包括基线评估和过程评估。</w:t>
            </w:r>
            <w:r>
              <w:rPr>
                <w:rFonts w:ascii="仿宋_GB2312" w:hAnsi="仿宋_GB2312" w:cs="仿宋_GB2312" w:eastAsia="仿宋_GB2312"/>
                <w:sz w:val="20"/>
              </w:rPr>
              <w:t>服务承接机构应组织安排专业工作人员</w:t>
            </w:r>
            <w:r>
              <w:rPr>
                <w:rFonts w:ascii="仿宋_GB2312" w:hAnsi="仿宋_GB2312" w:cs="仿宋_GB2312" w:eastAsia="仿宋_GB2312"/>
                <w:sz w:val="20"/>
              </w:rPr>
              <w:t>开展为掌握服务对象基本情况及需求情况的基础性服务，</w:t>
            </w:r>
            <w:r>
              <w:rPr>
                <w:rFonts w:ascii="仿宋_GB2312" w:hAnsi="仿宋_GB2312" w:cs="仿宋_GB2312" w:eastAsia="仿宋_GB2312"/>
                <w:sz w:val="20"/>
              </w:rPr>
              <w:t>包括但不限于：名单梳理与意愿排查，</w:t>
            </w:r>
            <w:r>
              <w:rPr>
                <w:rFonts w:ascii="仿宋_GB2312" w:hAnsi="仿宋_GB2312" w:cs="仿宋_GB2312" w:eastAsia="仿宋_GB2312"/>
                <w:sz w:val="20"/>
              </w:rPr>
              <w:t>在详细了解意愿患者精神和身体健康状况、家庭结构、成长过程等情况的基础上，规范登记</w:t>
            </w:r>
            <w:r>
              <w:rPr>
                <w:rFonts w:ascii="仿宋_GB2312" w:hAnsi="仿宋_GB2312" w:cs="仿宋_GB2312" w:eastAsia="仿宋_GB2312"/>
                <w:sz w:val="20"/>
              </w:rPr>
              <w:t>建立个人档案，填写相关表格并</w:t>
            </w:r>
            <w:r>
              <w:rPr>
                <w:rFonts w:ascii="仿宋_GB2312" w:hAnsi="仿宋_GB2312" w:cs="仿宋_GB2312" w:eastAsia="仿宋_GB2312"/>
                <w:sz w:val="20"/>
              </w:rPr>
              <w:t>签订服务协议，</w:t>
            </w:r>
            <w:r>
              <w:rPr>
                <w:rFonts w:ascii="仿宋_GB2312" w:hAnsi="仿宋_GB2312" w:cs="仿宋_GB2312" w:eastAsia="仿宋_GB2312"/>
                <w:sz w:val="20"/>
              </w:rPr>
              <w:t>定期面访、电访</w:t>
            </w:r>
            <w:r>
              <w:rPr>
                <w:rFonts w:ascii="仿宋_GB2312" w:hAnsi="仿宋_GB2312" w:cs="仿宋_GB2312" w:eastAsia="仿宋_GB2312"/>
                <w:sz w:val="20"/>
              </w:rPr>
              <w:t>，</w:t>
            </w:r>
            <w:r>
              <w:rPr>
                <w:rFonts w:ascii="仿宋_GB2312" w:hAnsi="仿宋_GB2312" w:cs="仿宋_GB2312" w:eastAsia="仿宋_GB2312"/>
                <w:sz w:val="20"/>
              </w:rPr>
              <w:t>整理资料等。根据评估结果制定个性化康复计划，并开始提供针对性康复服务。</w:t>
            </w:r>
            <w:r>
              <w:rPr>
                <w:rFonts w:ascii="仿宋_GB2312" w:hAnsi="仿宋_GB2312" w:cs="仿宋_GB2312" w:eastAsia="仿宋_GB2312"/>
                <w:sz w:val="20"/>
              </w:rPr>
              <w:t>每</w:t>
            </w:r>
            <w:r>
              <w:rPr>
                <w:rFonts w:ascii="仿宋_GB2312" w:hAnsi="仿宋_GB2312" w:cs="仿宋_GB2312" w:eastAsia="仿宋_GB2312"/>
                <w:sz w:val="20"/>
              </w:rPr>
              <w:t>3</w:t>
            </w:r>
            <w:r>
              <w:rPr>
                <w:rFonts w:ascii="仿宋_GB2312" w:hAnsi="仿宋_GB2312" w:cs="仿宋_GB2312" w:eastAsia="仿宋_GB2312"/>
                <w:sz w:val="20"/>
              </w:rPr>
              <w:t>个月对服务对象进行阶段性</w:t>
            </w:r>
            <w:r>
              <w:rPr>
                <w:rFonts w:ascii="仿宋_GB2312" w:hAnsi="仿宋_GB2312" w:cs="仿宋_GB2312" w:eastAsia="仿宋_GB2312"/>
                <w:sz w:val="20"/>
              </w:rPr>
              <w:t>过程评估</w:t>
            </w:r>
            <w:r>
              <w:rPr>
                <w:rFonts w:ascii="仿宋_GB2312" w:hAnsi="仿宋_GB2312" w:cs="仿宋_GB2312" w:eastAsia="仿宋_GB2312"/>
                <w:sz w:val="20"/>
              </w:rPr>
              <w:t>，动态评估康复成效，根据评估情况，及时制定新的康复措施或修正、调整康复措施</w:t>
            </w:r>
            <w:r>
              <w:rPr>
                <w:rFonts w:ascii="仿宋_GB2312" w:hAnsi="仿宋_GB2312" w:cs="仿宋_GB2312" w:eastAsia="仿宋_GB2312"/>
                <w:sz w:val="20"/>
              </w:rPr>
              <w:t>。</w:t>
            </w:r>
          </w:p>
          <w:p>
            <w:pPr>
              <w:pStyle w:val="null3"/>
            </w:pPr>
            <w:r>
              <w:rPr>
                <w:rFonts w:ascii="仿宋_GB2312" w:hAnsi="仿宋_GB2312" w:cs="仿宋_GB2312" w:eastAsia="仿宋_GB2312"/>
                <w:sz w:val="20"/>
                <w:b/>
              </w:rPr>
              <w:t>2.</w:t>
            </w:r>
            <w:r>
              <w:rPr>
                <w:rFonts w:ascii="仿宋_GB2312" w:hAnsi="仿宋_GB2312" w:cs="仿宋_GB2312" w:eastAsia="仿宋_GB2312"/>
                <w:sz w:val="20"/>
                <w:b/>
              </w:rPr>
              <w:t>康复训练：</w:t>
            </w:r>
            <w:r>
              <w:rPr>
                <w:rFonts w:ascii="仿宋_GB2312" w:hAnsi="仿宋_GB2312" w:cs="仿宋_GB2312" w:eastAsia="仿宋_GB2312"/>
                <w:sz w:val="20"/>
              </w:rPr>
              <w:t>为服务对象及其家庭提供个人发展及家属服务等专业康复服务，包括对患者开展服药训练、躯体管理训练、生活技能训练、社交技能训练、同伴支持、职业康复训练、心理治疗等。训练前需对患者进行专业评估，确保患者适合该项服务，同时进行环境安全评估，至少配备</w:t>
            </w:r>
            <w:r>
              <w:rPr>
                <w:rFonts w:ascii="仿宋_GB2312" w:hAnsi="仿宋_GB2312" w:cs="仿宋_GB2312" w:eastAsia="仿宋_GB2312"/>
                <w:sz w:val="20"/>
              </w:rPr>
              <w:t>2</w:t>
            </w:r>
            <w:r>
              <w:rPr>
                <w:rFonts w:ascii="仿宋_GB2312" w:hAnsi="仿宋_GB2312" w:cs="仿宋_GB2312" w:eastAsia="仿宋_GB2312"/>
                <w:sz w:val="20"/>
              </w:rPr>
              <w:t>名工作人员。</w:t>
            </w:r>
            <w:r>
              <w:rPr>
                <w:rFonts w:ascii="仿宋_GB2312" w:hAnsi="仿宋_GB2312" w:cs="仿宋_GB2312" w:eastAsia="仿宋_GB2312"/>
                <w:sz w:val="20"/>
              </w:rPr>
              <w:t>训练中坚持注重激发精神障碍患者康复训练动机。</w:t>
            </w:r>
          </w:p>
          <w:p>
            <w:pPr>
              <w:pStyle w:val="null3"/>
            </w:pPr>
            <w:r>
              <w:rPr>
                <w:rFonts w:ascii="仿宋_GB2312" w:hAnsi="仿宋_GB2312" w:cs="仿宋_GB2312" w:eastAsia="仿宋_GB2312"/>
                <w:sz w:val="20"/>
                <w:b/>
              </w:rPr>
              <w:t>3.</w:t>
            </w:r>
            <w:r>
              <w:rPr>
                <w:rFonts w:ascii="仿宋_GB2312" w:hAnsi="仿宋_GB2312" w:cs="仿宋_GB2312" w:eastAsia="仿宋_GB2312"/>
                <w:sz w:val="20"/>
                <w:b/>
              </w:rPr>
              <w:t>培训授课：</w:t>
            </w:r>
            <w:r>
              <w:rPr>
                <w:rFonts w:ascii="仿宋_GB2312" w:hAnsi="仿宋_GB2312" w:cs="仿宋_GB2312" w:eastAsia="仿宋_GB2312"/>
                <w:sz w:val="20"/>
              </w:rPr>
              <w:t>对患者开展药物知识培训、社交理论培训、工作基本技能培训，对患者家属开展预防复发培训、指导用药培训、家庭支持等。</w:t>
            </w:r>
            <w:r>
              <w:rPr>
                <w:rFonts w:ascii="仿宋_GB2312" w:hAnsi="仿宋_GB2312" w:cs="仿宋_GB2312" w:eastAsia="仿宋_GB2312"/>
                <w:sz w:val="20"/>
              </w:rPr>
              <w:t>服务承接机构对工作人员每年至少进行</w:t>
            </w:r>
            <w:r>
              <w:rPr>
                <w:rFonts w:ascii="仿宋_GB2312" w:hAnsi="仿宋_GB2312" w:cs="仿宋_GB2312" w:eastAsia="仿宋_GB2312"/>
                <w:sz w:val="20"/>
              </w:rPr>
              <w:t>2</w:t>
            </w:r>
            <w:r>
              <w:rPr>
                <w:rFonts w:ascii="仿宋_GB2312" w:hAnsi="仿宋_GB2312" w:cs="仿宋_GB2312" w:eastAsia="仿宋_GB2312"/>
                <w:sz w:val="20"/>
              </w:rPr>
              <w:t>次培训，确保掌握开展精神康复工作的知识和技术，新上岗的工作人员，应接受岗前相关业务培训，使其具备相应工作技能。</w:t>
            </w:r>
          </w:p>
          <w:p>
            <w:pPr>
              <w:pStyle w:val="null3"/>
            </w:pPr>
            <w:r>
              <w:rPr>
                <w:rFonts w:ascii="仿宋_GB2312" w:hAnsi="仿宋_GB2312" w:cs="仿宋_GB2312" w:eastAsia="仿宋_GB2312"/>
                <w:sz w:val="20"/>
                <w:b/>
              </w:rPr>
              <w:t>4.</w:t>
            </w:r>
            <w:r>
              <w:rPr>
                <w:rFonts w:ascii="仿宋_GB2312" w:hAnsi="仿宋_GB2312" w:cs="仿宋_GB2312" w:eastAsia="仿宋_GB2312"/>
                <w:sz w:val="20"/>
                <w:b/>
              </w:rPr>
              <w:t>入户服务：</w:t>
            </w:r>
            <w:r>
              <w:rPr>
                <w:rFonts w:ascii="仿宋_GB2312" w:hAnsi="仿宋_GB2312" w:cs="仿宋_GB2312" w:eastAsia="仿宋_GB2312"/>
                <w:sz w:val="20"/>
              </w:rPr>
              <w:t>入户为患者开展家庭指导训练、政策链接，深入掌握患者家庭情况，开展情感链接、困难帮扶等。</w:t>
            </w:r>
          </w:p>
          <w:p>
            <w:pPr>
              <w:pStyle w:val="null3"/>
            </w:pPr>
            <w:r>
              <w:rPr>
                <w:rFonts w:ascii="仿宋_GB2312" w:hAnsi="仿宋_GB2312" w:cs="仿宋_GB2312" w:eastAsia="仿宋_GB2312"/>
                <w:sz w:val="20"/>
              </w:rPr>
              <w:t>三、服务机构数量</w:t>
            </w:r>
          </w:p>
          <w:p>
            <w:pPr>
              <w:pStyle w:val="null3"/>
            </w:pPr>
            <w:r>
              <w:rPr>
                <w:rFonts w:ascii="仿宋_GB2312" w:hAnsi="仿宋_GB2312" w:cs="仿宋_GB2312" w:eastAsia="仿宋_GB2312"/>
                <w:sz w:val="20"/>
              </w:rPr>
              <w:t>采购一家精神障碍社区康复服务机构进行项目服务。</w:t>
            </w:r>
          </w:p>
          <w:p>
            <w:pPr>
              <w:pStyle w:val="null3"/>
            </w:pPr>
            <w:r>
              <w:rPr>
                <w:rFonts w:ascii="仿宋_GB2312" w:hAnsi="仿宋_GB2312" w:cs="仿宋_GB2312" w:eastAsia="仿宋_GB2312"/>
                <w:sz w:val="20"/>
                <w:b/>
              </w:rPr>
              <w:t>四、服务人数及服务期要求</w:t>
            </w:r>
          </w:p>
          <w:p>
            <w:pPr>
              <w:pStyle w:val="null3"/>
            </w:pPr>
            <w:r>
              <w:rPr>
                <w:rFonts w:ascii="仿宋_GB2312" w:hAnsi="仿宋_GB2312" w:cs="仿宋_GB2312" w:eastAsia="仿宋_GB2312"/>
                <w:sz w:val="20"/>
                <w:b/>
              </w:rPr>
              <w:t>（一）服务人数：</w:t>
            </w:r>
            <w:r>
              <w:rPr>
                <w:rFonts w:ascii="仿宋_GB2312" w:hAnsi="仿宋_GB2312" w:cs="仿宋_GB2312" w:eastAsia="仿宋_GB2312"/>
                <w:sz w:val="20"/>
              </w:rPr>
              <w:t>基础服务</w:t>
            </w:r>
            <w:r>
              <w:rPr>
                <w:rFonts w:ascii="仿宋_GB2312" w:hAnsi="仿宋_GB2312" w:cs="仿宋_GB2312" w:eastAsia="仿宋_GB2312"/>
                <w:sz w:val="20"/>
              </w:rPr>
              <w:t>不少于</w:t>
            </w:r>
            <w:r>
              <w:rPr>
                <w:rFonts w:ascii="仿宋_GB2312" w:hAnsi="仿宋_GB2312" w:cs="仿宋_GB2312" w:eastAsia="仿宋_GB2312"/>
                <w:sz w:val="20"/>
              </w:rPr>
              <w:t>300</w:t>
            </w:r>
            <w:r>
              <w:rPr>
                <w:rFonts w:ascii="仿宋_GB2312" w:hAnsi="仿宋_GB2312" w:cs="仿宋_GB2312" w:eastAsia="仿宋_GB2312"/>
                <w:sz w:val="20"/>
              </w:rPr>
              <w:t>人，康复服务</w:t>
            </w:r>
            <w:r>
              <w:rPr>
                <w:rFonts w:ascii="仿宋_GB2312" w:hAnsi="仿宋_GB2312" w:cs="仿宋_GB2312" w:eastAsia="仿宋_GB2312"/>
                <w:sz w:val="20"/>
              </w:rPr>
              <w:t>不少于</w:t>
            </w:r>
            <w:r>
              <w:rPr>
                <w:rFonts w:ascii="仿宋_GB2312" w:hAnsi="仿宋_GB2312" w:cs="仿宋_GB2312" w:eastAsia="仿宋_GB2312"/>
                <w:sz w:val="20"/>
              </w:rPr>
              <w:t>180</w:t>
            </w:r>
            <w:r>
              <w:rPr>
                <w:rFonts w:ascii="仿宋_GB2312" w:hAnsi="仿宋_GB2312" w:cs="仿宋_GB2312" w:eastAsia="仿宋_GB2312"/>
                <w:sz w:val="20"/>
              </w:rPr>
              <w:t>人，入户服务不少于</w:t>
            </w:r>
            <w:r>
              <w:rPr>
                <w:rFonts w:ascii="仿宋_GB2312" w:hAnsi="仿宋_GB2312" w:cs="仿宋_GB2312" w:eastAsia="仿宋_GB2312"/>
                <w:sz w:val="20"/>
              </w:rPr>
              <w:t>180</w:t>
            </w:r>
            <w:r>
              <w:rPr>
                <w:rFonts w:ascii="仿宋_GB2312" w:hAnsi="仿宋_GB2312" w:cs="仿宋_GB2312" w:eastAsia="仿宋_GB2312"/>
                <w:sz w:val="20"/>
              </w:rPr>
              <w:t>人，咨询服务对工作人员每年不少于</w:t>
            </w:r>
            <w:r>
              <w:rPr>
                <w:rFonts w:ascii="仿宋_GB2312" w:hAnsi="仿宋_GB2312" w:cs="仿宋_GB2312" w:eastAsia="仿宋_GB2312"/>
                <w:sz w:val="20"/>
              </w:rPr>
              <w:t>2</w:t>
            </w:r>
            <w:r>
              <w:rPr>
                <w:rFonts w:ascii="仿宋_GB2312" w:hAnsi="仿宋_GB2312" w:cs="仿宋_GB2312" w:eastAsia="仿宋_GB2312"/>
                <w:sz w:val="20"/>
              </w:rPr>
              <w:t>次培训，对患者及家数提供培训每年不少于</w:t>
            </w:r>
            <w:r>
              <w:rPr>
                <w:rFonts w:ascii="仿宋_GB2312" w:hAnsi="仿宋_GB2312" w:cs="仿宋_GB2312" w:eastAsia="仿宋_GB2312"/>
                <w:sz w:val="20"/>
              </w:rPr>
              <w:t>24</w:t>
            </w:r>
            <w:r>
              <w:rPr>
                <w:rFonts w:ascii="仿宋_GB2312" w:hAnsi="仿宋_GB2312" w:cs="仿宋_GB2312" w:eastAsia="仿宋_GB2312"/>
                <w:sz w:val="20"/>
              </w:rPr>
              <w:t>次，每次不少于</w:t>
            </w:r>
            <w:r>
              <w:rPr>
                <w:rFonts w:ascii="仿宋_GB2312" w:hAnsi="仿宋_GB2312" w:cs="仿宋_GB2312" w:eastAsia="仿宋_GB2312"/>
                <w:sz w:val="20"/>
              </w:rPr>
              <w:t>20</w:t>
            </w:r>
            <w:r>
              <w:rPr>
                <w:rFonts w:ascii="仿宋_GB2312" w:hAnsi="仿宋_GB2312" w:cs="仿宋_GB2312" w:eastAsia="仿宋_GB2312"/>
                <w:sz w:val="20"/>
              </w:rPr>
              <w:t>人</w:t>
            </w:r>
            <w:r>
              <w:rPr>
                <w:rFonts w:ascii="仿宋_GB2312" w:hAnsi="仿宋_GB2312" w:cs="仿宋_GB2312" w:eastAsia="仿宋_GB2312"/>
                <w:sz w:val="20"/>
              </w:rPr>
              <w:t>。</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b/>
              </w:rPr>
              <w:t>（二）服务期：自合同签订之日起</w:t>
            </w:r>
            <w:r>
              <w:rPr>
                <w:rFonts w:ascii="仿宋_GB2312" w:hAnsi="仿宋_GB2312" w:cs="仿宋_GB2312" w:eastAsia="仿宋_GB2312"/>
                <w:sz w:val="20"/>
                <w:b/>
              </w:rPr>
              <w:t>1</w:t>
            </w:r>
            <w:r>
              <w:rPr>
                <w:rFonts w:ascii="仿宋_GB2312" w:hAnsi="仿宋_GB2312" w:cs="仿宋_GB2312" w:eastAsia="仿宋_GB2312"/>
                <w:sz w:val="20"/>
                <w:b/>
              </w:rPr>
              <w:t>年</w:t>
            </w:r>
            <w:r>
              <w:rPr>
                <w:rFonts w:ascii="仿宋_GB2312" w:hAnsi="仿宋_GB2312" w:cs="仿宋_GB2312" w:eastAsia="仿宋_GB2312"/>
                <w:sz w:val="20"/>
                <w:b/>
              </w:rPr>
              <w:t>。</w:t>
            </w:r>
          </w:p>
          <w:p>
            <w:pPr>
              <w:pStyle w:val="null3"/>
            </w:pPr>
            <w:r>
              <w:rPr>
                <w:rFonts w:ascii="仿宋_GB2312" w:hAnsi="仿宋_GB2312" w:cs="仿宋_GB2312" w:eastAsia="仿宋_GB2312"/>
                <w:sz w:val="20"/>
                <w:b/>
              </w:rPr>
              <w:t>五、服务标准要求</w:t>
            </w:r>
          </w:p>
          <w:tbl>
            <w:tblPr>
              <w:tblBorders>
                <w:top w:val="single"/>
                <w:left w:val="single"/>
                <w:bottom w:val="single"/>
                <w:right w:val="single"/>
                <w:insideH w:val="single"/>
                <w:insideV w:val="single"/>
              </w:tblBorders>
            </w:tblPr>
            <w:tblGrid>
              <w:gridCol w:w="162"/>
              <w:gridCol w:w="397"/>
              <w:gridCol w:w="962"/>
              <w:gridCol w:w="515"/>
              <w:gridCol w:w="515"/>
            </w:tblGrid>
            <w:tr>
              <w:tc>
                <w:tcPr>
                  <w:tcW w:type="dxa" w:w="2551"/>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服务内容及收费标准</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序号</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服务类别</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服务内容</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参考时长</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服务费</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基础服务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包括基线评估和过程评估。服务承接机构应组织安排专业工作人员开展为掌握服务对象基本情况及需求情况的基础性服务，包括但不限于：名单梳理与意愿排查，在详细了解意愿患者精神和身体健康状况、家庭结构、成长过程等情况的基础上，规范登记建立个人档案，填写相关表格并签订服务协议，定期面访、电访，整理资料等。根据评估结果制定个性化康复计划，并开始提供针对性康复服务。每3个月对服务对象进行阶段性过程评估，动态评估康复成效，根据评估情况，及时制定新的康复措施或修正、调整康复措施</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1.5</w:t>
                  </w:r>
                  <w:r>
                    <w:rPr>
                      <w:rFonts w:ascii="仿宋_GB2312" w:hAnsi="仿宋_GB2312" w:cs="仿宋_GB2312" w:eastAsia="仿宋_GB2312"/>
                      <w:sz w:val="22"/>
                      <w:color w:val="000000"/>
                    </w:rPr>
                    <w:t>小时/次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50</w:t>
                  </w:r>
                  <w:r>
                    <w:rPr>
                      <w:rFonts w:ascii="仿宋_GB2312" w:hAnsi="仿宋_GB2312" w:cs="仿宋_GB2312" w:eastAsia="仿宋_GB2312"/>
                      <w:sz w:val="22"/>
                      <w:color w:val="000000"/>
                    </w:rPr>
                    <w:t>元/人/次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康复训练</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为服务对象及其家庭提供个人发展及家属服务等专业康复服务，包括对患者开展服药训练、躯体管理训练、生活技能训练、社交技能训练、同伴支持、职业康复训练、心理治疗等。训练前需对患者进行专业评估，确保患者适合该项服务，同时进行环境安全评估，至少配备2名工作人员。训练中坚持注重激发精神障碍患者康复训练动机。</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训练活动1小时/次;职业康复6小时/次;心理治疗1小时/次。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训练活动40元/人/次;职业康复200元/人/次;心理治疗200元/人/次。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培训授课</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对患者开展药物知识培训、社交理论培训、工作基本技能培训，对患者家属开展预防复发培训、指导用药培训、家庭支持等。服务承接机构对工作人员每年至少进行2次培训，确保掌握开展精神康复工作的知识和技术，新上岗的工作人员，应接受岗前相关业务培训，使其具备相应工作技能。对患者及家数提供培训每年不少于24次，每次不少于20人。</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小时/场次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1000</w:t>
                  </w:r>
                  <w:r>
                    <w:rPr>
                      <w:rFonts w:ascii="仿宋_GB2312" w:hAnsi="仿宋_GB2312" w:cs="仿宋_GB2312" w:eastAsia="仿宋_GB2312"/>
                      <w:sz w:val="22"/>
                      <w:color w:val="000000"/>
                    </w:rPr>
                    <w:t>元/场/次</w:t>
                  </w:r>
                </w:p>
              </w:tc>
            </w:tr>
            <w:tr>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入户服务</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入户为患者开展家庭指导训练、政策链接，深入掌握患者家庭情况，开展情感链接、困难帮扶等。</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w:t>
                  </w:r>
                  <w:r>
                    <w:rPr>
                      <w:rFonts w:ascii="仿宋_GB2312" w:hAnsi="仿宋_GB2312" w:cs="仿宋_GB2312" w:eastAsia="仿宋_GB2312"/>
                      <w:sz w:val="22"/>
                      <w:color w:val="000000"/>
                    </w:rPr>
                    <w:t>小时/户/次</w:t>
                  </w: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2"/>
                      <w:color w:val="000000"/>
                    </w:rPr>
                    <w:t>200</w:t>
                  </w:r>
                  <w:r>
                    <w:rPr>
                      <w:rFonts w:ascii="仿宋_GB2312" w:hAnsi="仿宋_GB2312" w:cs="仿宋_GB2312" w:eastAsia="仿宋_GB2312"/>
                      <w:sz w:val="22"/>
                      <w:color w:val="000000"/>
                    </w:rPr>
                    <w:t>元/户/次</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（一）本项目验收费用，由乙方自行承担。 （二）验收合格后，填写项目验收单并向甲方提交所有资料，以便甲方日后管理和维护。 （三）验收依据： 1.本合同及附加文本； 2.竞争性磋商文件、成交人的响应文件及澄清函（若有）； 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合同总价款最终据实结算，不得超过本项目最高限价，每半年，甲方对服务机构承接的服务项目进行评估，乙方向甲方递交项目相关资料（包括但不限于2026年精神障碍社区康复服务档案等）</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 （二）按合同要求提供服务或服务质量不能满足采购技术要求，乙方必须无条件提高技术，完善服务质量，否则，甲方会同监督机构、采购代理机构有权终止合同并对乙方违约行为进行追究，同时按政府采购投标人管理办法进行相应的处罚。 （三）任何一方因不可抗力原因不能履行协议时，应尽快通知对方，双方均设法补偿。如仍无法履约协议，可协商延缓或撤销协议，双方责任免除。 解决争议的方法：本合同在履行过程中发生的争议，由甲、乙双方当事人协商解决，协商不成的按下列第（一）种方式解决： （一）提交西安仲裁委员会仲裁； （二）依法向甲方所在地人民法院起诉。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2、采购项目需要落实的政府采购政策：1）《国务院办公厅关于建立政府强制采购节能产品制度的通知》（国办发〔2007〕51号）；2）《财政部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3、成交单位在领取成交通知书的同时，线下提交纸质响应文件正本一份（纸质文件需为上传至系统后签字盖章的PDF版文件打印），具体要求详见公告。 4、因系统模版设置问题，本章3.3.4支付方式与3.3.5支付约定无法修改，若与合同模版付款方式不一致的，以合同模板中的为准。 5、供应商在线制作竞争性磋商响应文件填写“标的清单时及报价表”时，服务名称填写项目名称（2026年精神障碍社区康复服务项目）；服务范围、服务要求、服务标准填写“符合文件要求”；单价填写本项目限价（本项目限价为：45万元）；数量填写1，总价仍填本项目限价（45万元）。6、本项目为固定单价合同，据实结算，结算单价详见采购需求，因此本项目不评审报价，不执行价格扣除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或提供《基本资格条件承诺函》；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或提供《基本资格条件承诺函》；供应商需在项目电子化交易系统中按要求上传相应证明文件；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具有履行合同所必需的设备和专业技术能力书面声明函：或提供《基本资格条件承诺函》；供应商需在项目电子化交易系统中按要求上传相应证明文件并进行电子签章；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供应商信用状况</w:t>
            </w:r>
          </w:p>
        </w:tc>
        <w:tc>
          <w:tcPr>
            <w:tcW w:type="dxa" w:w="3322"/>
          </w:tcPr>
          <w:p>
            <w:pPr>
              <w:pStyle w:val="null3"/>
            </w:pPr>
            <w:r>
              <w:rPr>
                <w:rFonts w:ascii="仿宋_GB2312" w:hAnsi="仿宋_GB2312" w:cs="仿宋_GB2312" w:eastAsia="仿宋_GB2312"/>
              </w:rPr>
              <w:t>供应商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二、资格审查.docx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中小企业声明函 残疾人福利性单位声明函 五、落实政府采购政策.docx 二、资格审查.docx 标的清单 报价表 三、服务方案部分.docx 四、承诺书.docx 响应函 监狱企业的证明文件 一、法定代表人身份证明.docx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一、法定代表人身份证明.docx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3322"/>
          </w:tcPr>
          <w:p>
            <w:pPr>
              <w:pStyle w:val="null3"/>
            </w:pPr>
            <w:r>
              <w:rPr>
                <w:rFonts w:ascii="仿宋_GB2312" w:hAnsi="仿宋_GB2312" w:cs="仿宋_GB2312" w:eastAsia="仿宋_GB2312"/>
              </w:rPr>
              <w:t>供应商不存在有法律、规章、规范性文件和招标文件规定的其他无效情形，否则按无效响应处理。</w:t>
            </w:r>
          </w:p>
        </w:tc>
        <w:tc>
          <w:tcPr>
            <w:tcW w:type="dxa" w:w="1661"/>
          </w:tcPr>
          <w:p>
            <w:pPr>
              <w:pStyle w:val="null3"/>
            </w:pPr>
            <w:r>
              <w:rPr>
                <w:rFonts w:ascii="仿宋_GB2312" w:hAnsi="仿宋_GB2312" w:cs="仿宋_GB2312" w:eastAsia="仿宋_GB2312"/>
              </w:rPr>
              <w:t>响应文件封面 中小企业声明函 残疾人福利性单位声明函 五、落实政府采购政策.docx 二、资格审查.docx 标的清单 报价表 三、服务方案部分.docx 四、承诺书.docx 响应函 监狱企业的证明文件 一、法定代表人身份证明.docx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中小企业声明函 残疾人福利性单位声明函 五、落实政府采购政策.docx 二、资格审查.docx 标的清单 报价表 三、服务方案部分.docx 四、承诺书.docx 响应函 监狱企业的证明文件 一、法定代表人身份证明.docx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针对本项目提出适用于本项目的服务方案，方案包括：①基础服务内容及服务方案②康复训练内容及服务方案③培训授课内容及培训方案③入户服务内容及服务方案。 二、评审标准 1、完整性：方案必须全面，对评审内容中的各项要求有详细描述； 2、可实施性：切合本项目实际情况，提出步骤清晰、合理的方案； 3、针对性：方案能够紧扣项目实际情况，内容科学合理。 三、赋分标准（满分33分）①基础服务内容及服务方案: 每完全满足一项评审标准，每项得3分，若每一项评审标准响应相对一般，每项得2分，若每一项评审标准内容空泛，每项得1分，满分9分； ②康复训练内容及服务方案: 每完全满足一项评审标准，每项得3分，若每一项评审标准响应相对一般，每项得2分，若每一项评审标准内容空泛，每项得1分，满分9分；③培训授课内容及培训方案: 每完全满足一项评审标准，每项得2分，若每一项评审标准响应相对一般，每项得1分，满分6分； ④入户服务内容及服务方案: 每完全满足一项评审标准，每项得3分，若每一项评审标准响应相对一般，每项得2分，若每一项评审标准内容空泛，每项得1分，满分9分；</w:t>
            </w:r>
          </w:p>
        </w:tc>
        <w:tc>
          <w:tcPr>
            <w:tcW w:type="dxa" w:w="831"/>
          </w:tcPr>
          <w:p>
            <w:pPr>
              <w:pStyle w:val="null3"/>
              <w:jc w:val="right"/>
            </w:pPr>
            <w:r>
              <w:rPr>
                <w:rFonts w:ascii="仿宋_GB2312" w:hAnsi="仿宋_GB2312" w:cs="仿宋_GB2312" w:eastAsia="仿宋_GB2312"/>
              </w:rPr>
              <w:t>33.0000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三、服务方案部分.docx</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一、评审内容 针对供应商拟投入本项目的人员进行评审，评审内容包括：①拟投入人员数量、工作经验②管理制度③拟投入人员相关专业及证书。 二、评审标准 1、完整性：方案必须全面，对评审内容中的各项要求有详细描述； 2、可实施性：切合本项目实际情况，提出步骤清晰、合理的方案； 3、针对性：方案能够紧扣项目实际情况，内容科学合理。 三、赋分标准（满分18分） ①拟投入人员数量、工作经验：每完全满足一项评审标准，每项得2分，若每一项评审标准响应相对一般，每项得1分，满分6分； ②管理制度: 每完全满足一项评审标准，每项得2分，若每一项评审标准响应相对一般，每项得1分，满分6分； ③拟投入人员相关专业及证书: 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三、服务方案部分.docx</w:t>
            </w:r>
          </w:p>
        </w:tc>
      </w:tr>
      <w:tr>
        <w:tc>
          <w:tcPr>
            <w:tcW w:type="dxa" w:w="831"/>
            <w:vMerge/>
          </w:tcPr>
          <w:p/>
        </w:tc>
        <w:tc>
          <w:tcPr>
            <w:tcW w:type="dxa" w:w="1661"/>
          </w:tcPr>
          <w:p>
            <w:pPr>
              <w:pStyle w:val="null3"/>
            </w:pPr>
            <w:r>
              <w:rPr>
                <w:rFonts w:ascii="仿宋_GB2312" w:hAnsi="仿宋_GB2312" w:cs="仿宋_GB2312" w:eastAsia="仿宋_GB2312"/>
              </w:rPr>
              <w:t>设施设备</w:t>
            </w:r>
          </w:p>
        </w:tc>
        <w:tc>
          <w:tcPr>
            <w:tcW w:type="dxa" w:w="2492"/>
          </w:tcPr>
          <w:p>
            <w:pPr>
              <w:pStyle w:val="null3"/>
            </w:pPr>
            <w:r>
              <w:rPr>
                <w:rFonts w:ascii="仿宋_GB2312" w:hAnsi="仿宋_GB2312" w:cs="仿宋_GB2312" w:eastAsia="仿宋_GB2312"/>
              </w:rPr>
              <w:t>评审小组根据供应商提供的设施配备方案（包括但不限于设施配备构成及合理性安排、实际作用）进行评分。 设施设备满足服务需求，场地配备如运动康复区、休息室、咨询室等功能区域齐全、合理，对精神障碍康复有针对性作用的得8分；设施设备较为齐全、合理的得6分；项目设施配备只能基本满足项目日常需要的得5分。未提供不得分。（佐证材料包括但不限于房屋租赁合同或房产证、地图、现场照片，设备照片），有一项要求不满足采购文件要求扣两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三、服务方案部分.docx</w:t>
            </w:r>
          </w:p>
        </w:tc>
      </w:tr>
      <w:tr>
        <w:tc>
          <w:tcPr>
            <w:tcW w:type="dxa" w:w="831"/>
            <w:vMerge/>
          </w:tcPr>
          <w:p/>
        </w:tc>
        <w:tc>
          <w:tcPr>
            <w:tcW w:type="dxa" w:w="1661"/>
          </w:tcPr>
          <w:p>
            <w:pPr>
              <w:pStyle w:val="null3"/>
            </w:pPr>
            <w:r>
              <w:rPr>
                <w:rFonts w:ascii="仿宋_GB2312" w:hAnsi="仿宋_GB2312" w:cs="仿宋_GB2312" w:eastAsia="仿宋_GB2312"/>
              </w:rPr>
              <w:t>机构管理制度</w:t>
            </w:r>
          </w:p>
        </w:tc>
        <w:tc>
          <w:tcPr>
            <w:tcW w:type="dxa" w:w="2492"/>
          </w:tcPr>
          <w:p>
            <w:pPr>
              <w:pStyle w:val="null3"/>
            </w:pPr>
            <w:r>
              <w:rPr>
                <w:rFonts w:ascii="仿宋_GB2312" w:hAnsi="仿宋_GB2312" w:cs="仿宋_GB2312" w:eastAsia="仿宋_GB2312"/>
              </w:rPr>
              <w:t>供应商针对本项目有完整的管理制度，管理制度应包括但不限于 ①员工管理制度：员工管理制度内容完整，科学合理，可行性强的，计2.5分；员工管理制度内容存在欠缺不完善，具有一定可行性，计1.5分；员工管理制度内容粗略，逻辑混乱，与本项目匹配程度低，计0.5分；未提供不得分。 ②人员培训制度：人员培训制度内容完整，科学合理，可行性强的，计2.5分；人员培训制度内容存在欠缺不完善，具有一定可行性，计1.5分；人员培训制度内容粗略，逻辑混乱，与本项目匹配程度低，计0.5分；未提供不得分。 ③档案管理制度：档案管理制度内容完整，科学合理，可行性强的，计2.5分；档案管理制度内容存在欠缺不完善，具有一定可行性，计1.5分；档案管理制度内容粗略，逻辑混乱，与本项目匹配程度低，计0.5分；未提供不得分。 ④内控制度及信息反馈制度：内控制度及信息反馈制度内容完整，科学合理，可行性强的，计2.5分；内控制度及信息反馈制度内容存在欠缺不完善，具有一定可行性，计1.5分；内控制度及信息反馈制度内容粗略，逻辑混乱，与本项目匹配程度低，计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针对供应商提供的服务质量保证措施进行评审，评审内容包括：①人员及服务内容质量保证措施②应急管理方案③安全保证措施。 二、评审标准 1、完整性：方案必须全面，对评审内容中的各项要求有详细描述； 2、可实施性：切合本项目实际情况，提出步骤清晰、合理的方案； 3、针对性：方案能够紧扣项目实际情况，内容科学合理。 三、赋分标准（满分21分）①人员及服务内容质量保证措施：每完全满足一项评审标准，每项得3分，若每一项评审标准响应相对一般，每项得2分，若每一项评审标准内容空泛，每项得1分，满分9分； ②应急管理方案: 每完全满足一项评审标准，每项得2分，若每一项评审标准响应相对一般，每项得1分，满分6分； ③每完全满足一项评审标准，每项得2分，若每一项评审标准响应相对一般，每项得1分，满分6分；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供应商提供自2023年1月1日起至今类似项目业绩，业绩以合同为准。（时间以签订的合同日期为准）,每份计2分,最高得10分。注：合同内容须清晰可辨认，否则视为无效合同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三、服务方案部分.docx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详见附件：一、法定代表人身份证明.docx</w:t>
      </w:r>
    </w:p>
    <w:p>
      <w:pPr>
        <w:pStyle w:val="null3"/>
        <w:ind w:firstLine="960"/>
      </w:pPr>
      <w:r>
        <w:rPr>
          <w:rFonts w:ascii="仿宋_GB2312" w:hAnsi="仿宋_GB2312" w:cs="仿宋_GB2312" w:eastAsia="仿宋_GB2312"/>
        </w:rPr>
        <w:t>详见附件：二、资格审查.docx</w:t>
      </w:r>
    </w:p>
    <w:p>
      <w:pPr>
        <w:pStyle w:val="null3"/>
        <w:ind w:firstLine="960"/>
      </w:pPr>
      <w:r>
        <w:rPr>
          <w:rFonts w:ascii="仿宋_GB2312" w:hAnsi="仿宋_GB2312" w:cs="仿宋_GB2312" w:eastAsia="仿宋_GB2312"/>
        </w:rPr>
        <w:t>详见附件：三、服务方案部分.docx</w:t>
      </w:r>
    </w:p>
    <w:p>
      <w:pPr>
        <w:pStyle w:val="null3"/>
        <w:ind w:firstLine="960"/>
      </w:pPr>
      <w:r>
        <w:rPr>
          <w:rFonts w:ascii="仿宋_GB2312" w:hAnsi="仿宋_GB2312" w:cs="仿宋_GB2312" w:eastAsia="仿宋_GB2312"/>
        </w:rPr>
        <w:t>详见附件：四、承诺书.docx</w:t>
      </w:r>
    </w:p>
    <w:p>
      <w:pPr>
        <w:pStyle w:val="null3"/>
        <w:ind w:firstLine="960"/>
      </w:pPr>
      <w:r>
        <w:rPr>
          <w:rFonts w:ascii="仿宋_GB2312" w:hAnsi="仿宋_GB2312" w:cs="仿宋_GB2312" w:eastAsia="仿宋_GB2312"/>
        </w:rPr>
        <w:t>详见附件：五、落实政府采购政策.docx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