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0D2C15">
      <w:pPr>
        <w:spacing w:line="240" w:lineRule="auto"/>
        <w:jc w:val="center"/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</w:pPr>
      <w:r>
        <w:rPr>
          <w:rFonts w:ascii="仿宋_GB2312" w:hAnsi="仿宋_GB2312" w:eastAsia="仿宋_GB2312" w:cs="仿宋_GB2312"/>
          <w:b/>
          <w:bCs/>
          <w:sz w:val="32"/>
          <w:szCs w:val="40"/>
        </w:rPr>
        <w:t>病案数字化翻拍及第三方复印服务项目</w:t>
      </w:r>
      <w:r>
        <w:rPr>
          <w:rFonts w:hint="eastAsia" w:ascii="仿宋_GB2312" w:hAnsi="仿宋_GB2312" w:eastAsia="仿宋_GB2312" w:cs="仿宋_GB2312"/>
          <w:b/>
          <w:bCs/>
          <w:sz w:val="32"/>
          <w:szCs w:val="40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  <w:t>二次</w:t>
      </w:r>
      <w:r>
        <w:rPr>
          <w:rFonts w:hint="eastAsia" w:ascii="仿宋_GB2312" w:hAnsi="仿宋_GB2312" w:eastAsia="仿宋_GB2312" w:cs="仿宋_GB2312"/>
          <w:b/>
          <w:bCs/>
          <w:sz w:val="32"/>
          <w:szCs w:val="40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  <w:t>采购需求</w:t>
      </w:r>
    </w:p>
    <w:p w14:paraId="23E49225">
      <w:pPr>
        <w:jc w:val="center"/>
        <w:rPr>
          <w:rFonts w:hint="eastAsia" w:ascii="仿宋_GB2312" w:hAnsi="仿宋_GB2312" w:eastAsia="仿宋_GB2312" w:cs="仿宋_GB2312"/>
          <w:b w:val="0"/>
          <w:bCs w:val="0"/>
          <w:sz w:val="6"/>
          <w:szCs w:val="10"/>
          <w:lang w:val="en-US" w:eastAsia="zh-CN"/>
        </w:rPr>
      </w:pPr>
    </w:p>
    <w:p w14:paraId="1F293BC5">
      <w:pPr>
        <w:pStyle w:val="4"/>
        <w:spacing w:line="480" w:lineRule="auto"/>
        <w:rPr>
          <w:rFonts w:ascii="仿宋_GB2312" w:hAnsi="仿宋_GB2312" w:eastAsia="仿宋_GB2312" w:cs="仿宋_GB2312"/>
          <w:b/>
          <w:bCs/>
          <w:sz w:val="24"/>
          <w:szCs w:val="24"/>
        </w:rPr>
      </w:pPr>
      <w:r>
        <w:rPr>
          <w:rFonts w:ascii="仿宋_GB2312" w:hAnsi="仿宋_GB2312" w:eastAsia="仿宋_GB2312" w:cs="仿宋_GB2312"/>
          <w:b/>
          <w:bCs/>
          <w:sz w:val="24"/>
          <w:szCs w:val="24"/>
        </w:rPr>
        <w:t>采购包1：病案复印窗口第三方服务项目</w:t>
      </w:r>
    </w:p>
    <w:p w14:paraId="54D68704">
      <w:pPr>
        <w:pStyle w:val="4"/>
        <w:spacing w:after="120" w:line="240" w:lineRule="auto"/>
        <w:ind w:firstLine="468" w:firstLineChars="195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本项目为病案复印窗口第三方服务项目，服务地点为医院病案服务窗口及病案库房区域。服务核心为承接全院患者及代办人病案资料咨询、申请受理、审核、复印、装订、盖章、发放、邮寄、台账登记、资料整理等全流程便民服务。服务商需严格遵守《医疗机构病历管理规定》《病历书写基本规范》及医院病案管理制度、保密制度、窗口服务制度，配合病案科完成日常质控、迎检、整改工作，保障病案复印工作合规化、标准化、便民化、安全化运行。</w:t>
      </w:r>
    </w:p>
    <w:p w14:paraId="778090D7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一、人员配置参数及要求</w:t>
      </w:r>
    </w:p>
    <w:p w14:paraId="67A06511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人员数量：服务商须根据医院日均病案复印量，配置不少于1名全职在岗服务人员，高峰期无条件调度增派人员，保证窗口无空岗、无排队积压。</w:t>
      </w:r>
    </w:p>
    <w:p w14:paraId="79160621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人员资质：工作人员年龄20-45周岁，身体健康、无违法犯罪记录、无征信不良记录，入职前需提供无犯罪证明、体检合格报告。优先配备具备医学、护理、病案管理、文秘相关专业背景人员。</w:t>
      </w:r>
    </w:p>
    <w:p w14:paraId="658C7E70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岗前培训要求：所有上岗人员必须接受医院病案科、行风办、保卫科专项培训，熟练掌握病案复印法律法规、证件审核标准、资料保密要求、窗口服务礼仪、医院规章制度，经考核合格后方可上岗。人员更换须提前7个工作日报备院方，新人员培训考核通过方可顶岗，严禁无证、无培训人员上岗。</w:t>
      </w:r>
    </w:p>
    <w:p w14:paraId="0247FF52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4. 在岗管理要求：工作人员统一着装、佩戴工牌，遵守医院考勤制度、仪容仪表规范、文明服务规范，服从病案科日常管理、排班调度及工作考核，不得擅自脱岗、串岗、旷工。</w:t>
      </w:r>
    </w:p>
    <w:p w14:paraId="35C81BD8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二、核心服务内容及技术标准</w:t>
      </w:r>
    </w:p>
    <w:p w14:paraId="6335C544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（一）业务受理审核服务</w:t>
      </w:r>
    </w:p>
    <w:p w14:paraId="19B5F7ED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严格按照国家及医院规定，审核患者本人、家属、代办人、公检法机关、保险公司等各类人员的病案复印资质材料，包括身份证、户口本、授权委托书、单位介绍信、执法文书等，杜绝违规复印、私自调阅病案。</w:t>
      </w:r>
    </w:p>
    <w:p w14:paraId="10181EC9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耐心解答群众关于病案复印范围、所需材料、办理流程、取件时间、收费标准、邮寄流程等咨询问题，做好便民解释工作。</w:t>
      </w:r>
    </w:p>
    <w:p w14:paraId="6F0688C8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精准登记患者信息、复印内容、取件方式、联系方式等信息，建立电子化、纸质双台账，做到账物相符、信息可追溯。</w:t>
      </w:r>
    </w:p>
    <w:p w14:paraId="225588D6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（二）病案复印制作服务</w:t>
      </w:r>
    </w:p>
    <w:p w14:paraId="1F709308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熟练操作医院病案系统、打印设备、装订设备，精准调取住院归档病案资料，严格按照申请内容复印病历首页、出入院记录、检查检验报告、手术记录、医嘱单等资料，做到零错印、零漏印、零多印。</w:t>
      </w:r>
    </w:p>
    <w:p w14:paraId="681ADB6C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复印资料字迹清晰、页面完整、无污渍、无缺页、无歪斜，统一规范裁切、对齐、装订，所有复印件按医院规定加盖病历复印专用章，盖章位置规范、清晰，符合医保报销、司法诉讼、保险理赔通用标准。</w:t>
      </w:r>
    </w:p>
    <w:p w14:paraId="7DA7F051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严格区分个人复印、司法调取、医保理赔、医院自查等不同场景复印要求，按对应标准整理病案资料。</w:t>
      </w:r>
    </w:p>
    <w:p w14:paraId="3A445042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4. 遇到医院封存病历，无论是运行病历还是终末病历，半小时内到达现场，服从科室病案管理组组长的调配安排，完成复印封存工作。</w:t>
      </w:r>
    </w:p>
    <w:p w14:paraId="273FE5DA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（三）便民增值服务</w:t>
      </w:r>
    </w:p>
    <w:p w14:paraId="5591B7DA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支持现场自取、预约办理、快递邮寄等多种服务模式，规范打包邮寄流程，妥善保管邮寄病案资料，杜绝丢失、破损、错寄。</w:t>
      </w:r>
    </w:p>
    <w:p w14:paraId="71FD63E4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负责窗口秩序维护，引导群众有序排队办理，主动疏导高峰期人流，减少患者等待时长。</w:t>
      </w:r>
    </w:p>
    <w:p w14:paraId="5446F23E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每日完成病案资料回收、整理、归档复位工作，复印完毕的病案原件100%及时归位，不得私存、乱放、遗失病案原件。</w:t>
      </w:r>
    </w:p>
    <w:p w14:paraId="438BE419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4. 遇到大型检查或突发情况，需要大量复印病历，服务商必须按照时限要求完成，必要时加班完成。</w:t>
      </w:r>
    </w:p>
    <w:p w14:paraId="1935344A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（四）台账及数据报送服务</w:t>
      </w:r>
    </w:p>
    <w:p w14:paraId="29450B50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每日、每周、每月统计病案复印工作量、咨询量、邮寄量、问题台账，</w:t>
      </w:r>
      <w:bookmarkStart w:id="0" w:name="_GoBack"/>
      <w:bookmarkEnd w:id="0"/>
      <w:r>
        <w:rPr>
          <w:rFonts w:ascii="仿宋_GB2312" w:hAnsi="仿宋_GB2312" w:eastAsia="仿宋_GB2312" w:cs="仿宋_GB2312"/>
          <w:sz w:val="24"/>
          <w:szCs w:val="24"/>
        </w:rPr>
        <w:t>按医院病案科要求定期提交统计报表。</w:t>
      </w:r>
    </w:p>
    <w:p w14:paraId="7766F860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配合科室完成病案复印数据整理、资料归档、年度汇总、质控自查等工作，随时提供台账备查。</w:t>
      </w:r>
    </w:p>
    <w:p w14:paraId="092EF146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四、保密管理硬性参数（核心考核项）</w:t>
      </w:r>
    </w:p>
    <w:p w14:paraId="15F32689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服务商必须签订病案保密责任书，严格遵守医疗数据安全、患者隐私保护相关法律法规，严禁以任何形式摘抄、拍照、复制、传播、泄露患者病历信息、个人隐私、诊疗数据。</w:t>
      </w:r>
    </w:p>
    <w:p w14:paraId="69767561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工作人员严禁私自带手机进入病案库房、病案调阅区域，严禁私自留存患者病案资料复印件、电子信息。</w:t>
      </w:r>
    </w:p>
    <w:p w14:paraId="4F2CE068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若发生信息泄露、资料丢失、违规复印等问题，服务商承担全部法律责任、经济损失及医院处罚，情节严重的院方有权无条件终止合同并追责。</w:t>
      </w:r>
    </w:p>
    <w:p w14:paraId="7DFBCA75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4. 服务商需建立内部保密管理制度、岗位追责制度，定期开展员工保密警示教育，留存培训记录备查。</w:t>
      </w:r>
    </w:p>
    <w:p w14:paraId="6FB6DE0B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五、设备、耗材及场地管理要求</w:t>
      </w:r>
    </w:p>
    <w:p w14:paraId="2D622ABE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设备保障：服务商自行配备足量、完好的复印机、打印机、装订机、电脑、储物柜等全套办公设备，承担设备采购、维修、保养、更换全部费用，保障设备24小时正常可用，不得因设备故障影响窗口服务。</w:t>
      </w:r>
    </w:p>
    <w:p w14:paraId="072F2C74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耗材保障：所有复印纸张、油墨、装订耗材、打包材料等全部由服务商无偿提供，耗材质量符合病案资料留存、报销使用标准，不得使用劣质耗材。</w:t>
      </w:r>
    </w:p>
    <w:p w14:paraId="79E0EB1C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场地管理：负责服务窗口及责任区域日常卫生清洁、物品摆放规整，保持窗口整洁、规范、有序，服从医院院感管理、环境卫生管理要求。</w:t>
      </w:r>
    </w:p>
    <w:p w14:paraId="1A785C5D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五、服务时效标准</w:t>
      </w:r>
    </w:p>
    <w:p w14:paraId="1E9F649A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现场办理时效：常规病案复印业务，资料齐全、流程简单的当场办结；大批量、复杂病案资料复印，当日工作时间内办结。</w:t>
      </w:r>
    </w:p>
    <w:p w14:paraId="1EE02766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线上办理时效：申请线上预约复印的，在两个工作日内处理复印并完成邮寄。</w:t>
      </w:r>
    </w:p>
    <w:p w14:paraId="1AAF0601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咨询响应时效：窗口群众咨询做到即时响应、耐心解答，无推诿、无敷衍。</w:t>
      </w:r>
    </w:p>
    <w:p w14:paraId="6A5257F4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4. 问题处置时效：工作中出现的错印、漏印、群众投诉、设备故障等问题，10分钟内响应处置，当日闭环整改。</w:t>
      </w:r>
    </w:p>
    <w:p w14:paraId="11FC6340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六、服务考核与管理要求</w:t>
      </w:r>
    </w:p>
    <w:p w14:paraId="6E36785B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接受医院病案科、医务科、行风办的日常考核、月度考核、年度考核，考核指标包含服务态度、业务准确率、合规率、保密执行、群众满意度、台账规范度等。</w:t>
      </w:r>
    </w:p>
    <w:p w14:paraId="5ABB37DA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全年群众有效投诉不得超过5次，如超过5次，院方有权要求第三方更换窗口工作人员；出现服务态度恶劣、违规操作、信息泄密、工作失误造成医院损失的，院方有权扣除服务费、限期整改，情节严重直接终止合作。</w:t>
      </w:r>
    </w:p>
    <w:p w14:paraId="7DF5521A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无条件配合医院等级评审、质控检查、上级部门督查等各项迎检工作，按院方要求完善复印病历资料、整改问题。</w:t>
      </w:r>
    </w:p>
    <w:p w14:paraId="541ECD60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七、人员稳定性及应急保障</w:t>
      </w:r>
    </w:p>
    <w:p w14:paraId="233A2255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服务团队人员全年保持稳定，人员流失率可控，临时请假、休假必须提前安排顶岗人员，保证窗口在岗常态化。</w:t>
      </w:r>
    </w:p>
    <w:p w14:paraId="69420390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建立应急服务预案，针对节假日、就诊高峰、系统故障、突发检查等特殊情况，提前做好人员、设备、工作预案，保障服务不间断、不缺位。</w:t>
      </w:r>
    </w:p>
    <w:p w14:paraId="3F258341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节假日、周末按照医院排班要求正常值守，服从医院节假日工作安排。</w:t>
      </w:r>
    </w:p>
    <w:p w14:paraId="3B3914CD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八、商务及售后要求</w:t>
      </w:r>
    </w:p>
    <w:p w14:paraId="29934BF3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服务周期：3年，实行月度考核、年度履约评估。</w:t>
      </w:r>
    </w:p>
    <w:p w14:paraId="6B3FB7FF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服务商需设立专属项目负责人，专人对接医院病案科日常工作，24小时保持通讯畅通，随时响应科室工作对接及问题整改。</w:t>
      </w:r>
    </w:p>
    <w:p w14:paraId="3B4D3509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履约期间所有因服务产生的人工、设备、耗材、维修、人员社保、管理等全部费用，均包含在投标报价内，院方无额外费用。</w:t>
      </w:r>
    </w:p>
    <w:p w14:paraId="2A5B35AD">
      <w:pPr>
        <w:pStyle w:val="4"/>
        <w:spacing w:line="240" w:lineRule="auto"/>
        <w:rPr>
          <w:rFonts w:ascii="仿宋_GB2312" w:hAnsi="仿宋_GB2312" w:eastAsia="仿宋_GB2312" w:cs="仿宋_GB2312"/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4. 合同期内若出现政策调整、医院工作流程调整，服务商须无条件配合优化服务流程，不额外加价。</w:t>
      </w:r>
    </w:p>
    <w:p w14:paraId="0134DC29">
      <w:pPr>
        <w:pStyle w:val="4"/>
        <w:spacing w:line="240" w:lineRule="auto"/>
        <w:rPr>
          <w:rFonts w:ascii="仿宋_GB2312" w:hAnsi="仿宋_GB2312" w:eastAsia="仿宋_GB2312" w:cs="仿宋_GB2312"/>
          <w:sz w:val="24"/>
          <w:szCs w:val="24"/>
        </w:rPr>
      </w:pPr>
    </w:p>
    <w:p w14:paraId="5B7D0E59">
      <w:pPr>
        <w:pStyle w:val="4"/>
        <w:spacing w:line="480" w:lineRule="auto"/>
        <w:rPr>
          <w:b/>
          <w:bCs/>
          <w:sz w:val="24"/>
          <w:szCs w:val="24"/>
        </w:rPr>
      </w:pPr>
      <w:r>
        <w:rPr>
          <w:rFonts w:ascii="仿宋_GB2312" w:hAnsi="仿宋_GB2312" w:eastAsia="仿宋_GB2312" w:cs="仿宋_GB2312"/>
          <w:b/>
          <w:bCs/>
          <w:sz w:val="24"/>
          <w:szCs w:val="24"/>
        </w:rPr>
        <w:t>采购包2：病历数字化扫描翻拍服务</w:t>
      </w:r>
    </w:p>
    <w:p w14:paraId="48C1187F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1、项目背景</w:t>
      </w:r>
    </w:p>
    <w:p w14:paraId="319B9AD7">
      <w:pPr>
        <w:pStyle w:val="4"/>
        <w:spacing w:after="120" w:line="240" w:lineRule="auto"/>
        <w:ind w:firstLine="468" w:firstLineChars="195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为了提高我院病案管理的效率和质量，规范电子病历信息的使用和管理，确保数据安全、实现全流程可追溯，促进医疗质量的持续改进。按照《电子病历系统应用水平分级评价标准》《关于进一步加强医疗机构电子病历信息使用管理的通知》要求，计划对医院历史纸质版病历进行数字化扫描翻拍。</w:t>
      </w:r>
    </w:p>
    <w:p w14:paraId="77E37704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2、项目目标</w:t>
      </w:r>
    </w:p>
    <w:p w14:paraId="1BF6D592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实现纸质病案的全面数字化，确保病案信息的长期保存、快速检索和便捷使用，提高病案管理效率和可访问性。</w:t>
      </w:r>
    </w:p>
    <w:p w14:paraId="08204799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扫描服务内容范围：医院历史纸质版病历。</w:t>
      </w:r>
    </w:p>
    <w:p w14:paraId="675DBE83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二、项目预算与费用</w:t>
      </w:r>
    </w:p>
    <w:p w14:paraId="737E4422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1、项目预算</w:t>
      </w:r>
    </w:p>
    <w:p w14:paraId="5BDCFADB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项目总预算为30万元，用于覆盖扫描服务、扫描设备使用、人员培训等所有相关费用。</w:t>
      </w:r>
    </w:p>
    <w:p w14:paraId="085B7499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2、扫描单价：不高于0.15元/页</w:t>
      </w:r>
    </w:p>
    <w:p w14:paraId="7F8483CD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最终按照中标人的中标单价乘以实际工作量进行结算。（单位：页）。</w:t>
      </w:r>
    </w:p>
    <w:p w14:paraId="5FF0C5CB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三、采购需求</w:t>
      </w:r>
    </w:p>
    <w:p w14:paraId="03004FCF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1、按照医院要求的时间范围及内容对纸质病案进行扫描拆分，纸质病案文件通过翻拍或扫描转化成标准PDF格式的文件，取得医院现有电子病案管理系统厂商技术支持，并在该系统拆分上传纸质病案。</w:t>
      </w:r>
    </w:p>
    <w:tbl>
      <w:tblPr>
        <w:tblStyle w:val="2"/>
        <w:tblW w:w="8999" w:type="dxa"/>
        <w:tblInd w:w="12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2610"/>
        <w:gridCol w:w="5266"/>
      </w:tblGrid>
      <w:tr w14:paraId="529AABD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94611D">
            <w:pPr>
              <w:pStyle w:val="4"/>
              <w:spacing w:after="120" w:line="240" w:lineRule="auto"/>
              <w:ind w:left="195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序号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8EE55B">
            <w:pPr>
              <w:pStyle w:val="4"/>
              <w:spacing w:after="120" w:line="240" w:lineRule="auto"/>
              <w:ind w:firstLine="200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功能模块</w:t>
            </w:r>
          </w:p>
        </w:tc>
        <w:tc>
          <w:tcPr>
            <w:tcW w:w="5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9B8673">
            <w:pPr>
              <w:pStyle w:val="4"/>
              <w:spacing w:after="120" w:line="240" w:lineRule="auto"/>
              <w:ind w:firstLine="200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功能指标</w:t>
            </w:r>
          </w:p>
        </w:tc>
      </w:tr>
      <w:tr w14:paraId="365C47B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1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0BBF2AD">
            <w:pPr>
              <w:pStyle w:val="4"/>
              <w:spacing w:after="120" w:line="240" w:lineRule="auto"/>
              <w:ind w:firstLine="200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6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6DA9E2">
            <w:pPr>
              <w:pStyle w:val="4"/>
              <w:spacing w:after="120" w:line="240" w:lineRule="auto"/>
              <w:jc w:val="lef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数字化扫描服务</w:t>
            </w:r>
          </w:p>
        </w:tc>
        <w:tc>
          <w:tcPr>
            <w:tcW w:w="52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3314DEF">
            <w:pPr>
              <w:pStyle w:val="4"/>
              <w:spacing w:after="120" w:line="240" w:lineRule="auto"/>
              <w:jc w:val="lef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提供数字化扫描服务，需按照医院要求对纸质病案进行数字化扫描服务。</w:t>
            </w:r>
          </w:p>
        </w:tc>
      </w:tr>
      <w:tr w14:paraId="4033503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1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D963CA7">
            <w:pPr>
              <w:pStyle w:val="4"/>
              <w:spacing w:after="120" w:line="240" w:lineRule="auto"/>
              <w:ind w:firstLine="200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</w:t>
            </w:r>
          </w:p>
        </w:tc>
        <w:tc>
          <w:tcPr>
            <w:tcW w:w="26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E139E8">
            <w:pPr>
              <w:pStyle w:val="4"/>
              <w:spacing w:after="120" w:line="240" w:lineRule="auto"/>
              <w:jc w:val="lef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数字化病案拆分、上传</w:t>
            </w:r>
          </w:p>
        </w:tc>
        <w:tc>
          <w:tcPr>
            <w:tcW w:w="52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83B099">
            <w:pPr>
              <w:pStyle w:val="4"/>
              <w:spacing w:after="120" w:line="240" w:lineRule="auto"/>
              <w:jc w:val="lef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扫描后的数字化病案需上传至医院现有电子病案管理系统。</w:t>
            </w:r>
          </w:p>
        </w:tc>
      </w:tr>
      <w:tr w14:paraId="491B410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1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F3EF19">
            <w:pPr>
              <w:pStyle w:val="4"/>
              <w:spacing w:after="120" w:line="240" w:lineRule="auto"/>
              <w:ind w:firstLine="200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3</w:t>
            </w:r>
          </w:p>
        </w:tc>
        <w:tc>
          <w:tcPr>
            <w:tcW w:w="26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D570746">
            <w:pPr>
              <w:pStyle w:val="4"/>
              <w:spacing w:after="120" w:line="240" w:lineRule="auto"/>
              <w:jc w:val="lef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提供相关硬件设备服务</w:t>
            </w:r>
          </w:p>
        </w:tc>
        <w:tc>
          <w:tcPr>
            <w:tcW w:w="52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759FE7">
            <w:pPr>
              <w:pStyle w:val="4"/>
              <w:spacing w:after="120" w:line="240" w:lineRule="auto"/>
              <w:jc w:val="lef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由中标方提供扫描相关的电脑、扫描仪、高拍仪等设备对纸质病案进行扫描服务。</w:t>
            </w:r>
          </w:p>
        </w:tc>
      </w:tr>
    </w:tbl>
    <w:p w14:paraId="6356B6E0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2、使用扫描仪、高拍仪对纸质病案文件进行扫描翻拍，做到分类准确，不漏扫，不模糊，不缺扫，扫描图片不模糊，无手指印等。</w:t>
      </w:r>
    </w:p>
    <w:p w14:paraId="13989B28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3、扫描成品数据质量标准：扫描图像清晰、无偏斜，数据完整，符合阅读，不带空白页，纸质版病案还原装订。</w:t>
      </w:r>
    </w:p>
    <w:p w14:paraId="5706274A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三、整体要求</w:t>
      </w:r>
    </w:p>
    <w:p w14:paraId="00FD8B22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1、整体要求：按医院要求完成病案数字化项目相关工作。</w:t>
      </w:r>
    </w:p>
    <w:p w14:paraId="54FB910C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2、病案数量:翻拍人员2-3人,按照医院要求扫描翻拍纸质版病案，并上传至电子病案管理系统，具体以实际翻拍加工数量结算项目款项。</w:t>
      </w:r>
    </w:p>
    <w:p w14:paraId="34C8323E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3、硬件要求：中标方自行提供病案数字化扫描所需硬件，包括扫描仪、高拍仪、电脑；及纸质版病案装订恢复所需的订书机、订书针等耗材。</w:t>
      </w:r>
    </w:p>
    <w:p w14:paraId="2BC8ABA0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4、扫描病案图片质量满足医院需求，必须有严格的质量控制措施，保证图像质量。图像须清晰、不失真、完整、不影响图像的利用效果，不允许有折叠或缺损。</w:t>
      </w:r>
    </w:p>
    <w:p w14:paraId="7DFCBF5C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5、将扫描完成的纸质病案文件重新装订，并及时运往院方指定位置存放。</w:t>
      </w:r>
    </w:p>
    <w:p w14:paraId="66056992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6、项目不得转包给第三方完成。中标方有责任对采购人数据保密，不得将采购人数据内容全部或部分泄露给第三方，否则采购人将通过法律手段追究中标方的泄密责任。</w:t>
      </w:r>
    </w:p>
    <w:p w14:paraId="0D7C9E3B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7、本项目要求在采购人指定场地进行。扫描人员及加工设备由中标方提供（包括但不限于电脑、扫描仪、高拍仪等）。</w:t>
      </w:r>
    </w:p>
    <w:p w14:paraId="38400A35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四、技术要求</w:t>
      </w:r>
    </w:p>
    <w:p w14:paraId="4BB071B8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1、对我院的纸质病案进行数字化处理。根据医院实际工作需要，具体进度根据实际应用进行调整。</w:t>
      </w:r>
    </w:p>
    <w:p w14:paraId="653131CC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2、病案数字化完毕后，按顺序重新归入档案袋中，不可改变病案原有顺序，不得出现错页、倒页、漏页，更不能遗失病案材料。</w:t>
      </w:r>
    </w:p>
    <w:p w14:paraId="5FC5E223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3、原装订整齐的病案，重新装订后必须装订整齐、与原始病案保持一致。</w:t>
      </w:r>
    </w:p>
    <w:p w14:paraId="6272D865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、充分考虑病案的可数字化加工性，确保在数字化过程中不对病案原件造成二次损伤，保证病案数字化图像与原件一致、整洁、清晰、内容完整。数字化文件质量要求：规格原件1:1尺寸，图像质量达到200dpi以上。图片格式为JPG/TIF/PDF文档格式。</w:t>
      </w:r>
    </w:p>
    <w:p w14:paraId="18B49D9F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5、扫描后的数字化病案需上传至医院现有电子病案管理系统内。</w:t>
      </w:r>
    </w:p>
    <w:p w14:paraId="6F4F22C2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五、病案数字化验收要求</w:t>
      </w:r>
    </w:p>
    <w:p w14:paraId="729ABAAE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1、验收方法：中标方协助采购人随机抽查一定数量的病案图像和纸质病案，比例为数字化病案图像总数的3%，前、中、后随机抽查，并与纸质病案对照核对数量及质量。</w:t>
      </w:r>
    </w:p>
    <w:p w14:paraId="57C8220F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2、验收标准：</w:t>
      </w:r>
    </w:p>
    <w:p w14:paraId="074A2500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（1）数字化病案图像是否与纸质病案完全一致。</w:t>
      </w:r>
    </w:p>
    <w:p w14:paraId="69819A66">
      <w:pPr>
        <w:spacing w:line="240" w:lineRule="auto"/>
        <w:ind w:firstLine="240" w:firstLineChars="100"/>
        <w:jc w:val="both"/>
        <w:rPr>
          <w:rFonts w:ascii="仿宋_GB2312" w:hAnsi="仿宋_GB2312" w:eastAsia="仿宋_GB2312" w:cs="仿宋_GB2312"/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（2）数字化病案图像格式和清晰度是否符合要求。</w:t>
      </w:r>
    </w:p>
    <w:p w14:paraId="78E449B5">
      <w:pPr>
        <w:spacing w:line="240" w:lineRule="auto"/>
        <w:ind w:firstLine="200" w:firstLineChars="100"/>
        <w:jc w:val="both"/>
        <w:rPr>
          <w:rFonts w:ascii="仿宋_GB2312" w:hAnsi="仿宋_GB2312" w:eastAsia="仿宋_GB2312" w:cs="仿宋_GB2312"/>
          <w:sz w:val="20"/>
        </w:rPr>
      </w:pPr>
    </w:p>
    <w:p w14:paraId="3E7D79E7">
      <w:pPr>
        <w:spacing w:line="240" w:lineRule="auto"/>
        <w:ind w:firstLine="200" w:firstLineChars="100"/>
        <w:jc w:val="both"/>
        <w:rPr>
          <w:rFonts w:hint="default" w:ascii="仿宋_GB2312" w:hAnsi="仿宋_GB2312" w:eastAsia="仿宋_GB2312" w:cs="仿宋_GB2312"/>
          <w:sz w:val="20"/>
          <w:lang w:val="en-US" w:eastAsia="zh-CN"/>
        </w:rPr>
      </w:pPr>
    </w:p>
    <w:sectPr>
      <w:pgSz w:w="11906" w:h="16838"/>
      <w:pgMar w:top="1610" w:right="1800" w:bottom="161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3D695F"/>
    <w:rsid w:val="458A2D71"/>
    <w:rsid w:val="5C244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4135</Words>
  <Characters>4209</Characters>
  <Lines>0</Lines>
  <Paragraphs>0</Paragraphs>
  <TotalTime>4</TotalTime>
  <ScaleCrop>false</ScaleCrop>
  <LinksUpToDate>false</LinksUpToDate>
  <CharactersWithSpaces>4247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2026-09-10T04:00:00Z</dcterms:created>
  <dc:creator>Administrator</dc:creator>
  <cp:lastModifiedBy>倩倩</cp:lastModifiedBy>
  <dcterms:modified xsi:type="dcterms:W3CDTF">2026-10-09T06:48:56Z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eyJoZGlkIjoiNzUxN2Y4ZGMyZGE4Mzk3YzI1ODA4Mjg1NDdkNzdhMGQiLCJ1c2VySWQiOiI2MTA1NzgwMzcifQ==</vt:lpwstr>
  </property>
  <property fmtid="{D5CDD505-2E9C-101B-9397-08002B2CF9AE}" pid="4" name="ICV">
    <vt:lpwstr>969B005B51404C859EC9401E0539AB04_12</vt:lpwstr>
  </property>
</Properties>
</file>