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版本号：YDFZ-2026-01520260622002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2026年洋县茅坪镇洪溪村特色南瓜种植基地项目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YDFZ-2026-015</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2026年洋县茅坪镇洪溪村特色南瓜种植基地项目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2026年洋县茅坪镇洪溪村特色南瓜种植基地项目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新建不锈钢结构仓储房1座36平方米;购置抽水机1台，微耕机2台；发电机1台；布DN63PE 配水主管1000m，布设DN32PE配水支管1000m，Φ16滴灌带(厚0.3mm)10000m等。（具体内容详见工程量清单）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采购包1（2026年洋县茅坪镇洪溪村特色南瓜种植基地项目）：属于专门面向中小企业采购。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市政公用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洋县茅坪镇人民政府经办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18729651881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790,000.00</w:t>
      </w:r>
    </w:p>
    <w:p>
      <w:pPr>
        <w:pStyle w:val="null3"/>
      </w:pPr>
      <w:r>
        <w:rPr>
          <w:rFonts w:ascii="仿宋_GB2312" w:hAnsi="仿宋_GB2312" w:cs="仿宋_GB2312" w:eastAsia="仿宋_GB2312"/>
        </w:rPr>
        <w:t>采购包最高限价（元）: 741,194.44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2026年洋县茅坪镇洪溪村特色南瓜种植基地项目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标的名称：2026年洋县茅坪镇洪溪村特色南瓜种植基地项目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1.主要建设内容为：新建不锈钢结构仓储房1座36平方米;购置抽水机1台，微耕机2台；发电机1台；布设DN63PE配水主管1000m，布设DN32PE配水支管1000m，Φ16滴灌带(厚0.3mm)10000m等。完成工程量清单所有内容。</w:t>
            </w:r>
          </w:p>
          <w:p>
            <w:pPr>
              <w:pStyle w:val="null3"/>
            </w:pPr>
            <w:r>
              <w:rPr>
                <w:rFonts w:ascii="仿宋_GB2312" w:hAnsi="仿宋_GB2312" w:cs="仿宋_GB2312" w:eastAsia="仿宋_GB2312"/>
              </w:rPr>
              <w:t>2.合同履约地点：洋县茅坪镇洪溪村。</w:t>
            </w:r>
          </w:p>
          <w:p>
            <w:pPr>
              <w:pStyle w:val="null3"/>
            </w:pPr>
            <w:r>
              <w:rPr>
                <w:rFonts w:ascii="仿宋_GB2312" w:hAnsi="仿宋_GB2312" w:cs="仿宋_GB2312" w:eastAsia="仿宋_GB2312"/>
              </w:rPr>
              <w:t>3.工期：60日历天。</w:t>
            </w:r>
          </w:p>
          <w:p>
            <w:pPr>
              <w:pStyle w:val="null3"/>
            </w:pPr>
            <w:r>
              <w:rPr>
                <w:rFonts w:ascii="仿宋_GB2312" w:hAnsi="仿宋_GB2312" w:cs="仿宋_GB2312" w:eastAsia="仿宋_GB2312"/>
                <w:sz w:val="21"/>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word版响应⽂件，签章后的pdf响应⽂件以及投标报价软件版），成交供应商应保持响应⽂件纸质版内容、电⼦版内容与系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供应商应具备建设行政主管部门颁发的市政公用工程施工总承包三级（含三级）及其以上资质，具有有效的安全生产许可证，供应商需在项目电子化交易系统中按要求上传相应证明文件并进行电子签章；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 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应满⾜磋商⽂件的要求，60⽇历天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法定代表人证明或法定代表人授权书.docx 汉中市政府采购供应商资格承诺函.docx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部署；④施工重难点分析；⑤应急方案保障措施等；1.施工组织设计完整覆盖本项目全部内容，针对性强，施工部署、进度计划、重难点分析、保障措施科学合理，完全匹配项目实际情况得12-15分；2.施工组织设计基本完整覆盖项目内容，施工部署、进度计划合理，重难点分析及保障措施基本可行，整体符合项目需求得8-12分；3.施工组织设计存在少量缺项，施工部署或进度计划存在轻微不合理之处，保障措施针对性不足，基本满足项目实施要求得4-8分；4.施工组织设计存在明显缺陷，未覆盖部分核心工程内容，或施工方案、进度计划不合理，影响项目实施得0-4分；5.施工组织设计严重缺项，未覆盖关键工程内容，或方案存在重大缺陷，无法保障项目正常实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质量⽬标管理体系；②施工质量的检验制度；③确保质量的技术组织措施等。1.质量管理体系健全、措施科学合理、可操作性强，能有效保障工程质量得8-10分；2.质量管理体系基本健全、措施基本完善，关键环节质量保障措施基本可行，无明显漏洞得5-8分；3.质量管理体系不完善、措施针对性不足，关键环节管控缺失得2-5分；4.无明确质量管理措施，或措施严重不符合项目需求，无法保障工程质量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①安全生产管理制度；②安全施工措施；③安全应急预案；④安全生产教育等。1.安全管理体系健全，措施全面可行，完全满足项目安全管控要求得8-10分；2.安全管理体系基本健全、措施基本完善，存在少量细节待优化得5-8分；3.安全管理体系不完善、措施针对性不足，关键风险点管控缺失得2-5分；4.无明确安全管理措施，或措施严重不符合项目需求，无法保障工程安全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关键节点清晰，工期保证措施具体可行，完全满足项目工期要求得7-9分；2.进度计划基本合理，关键节点基本明确，工期保证措施基本到位得4-7分；3.进度计划不合理，或工期措施与项目脱节可能影响项目工期得2-4分；4.无明确工期计划，或工期目标无法满足采购文件实质性要求得0-2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境保护措施进行综合评审。内容包含但不限于：①文明施工管理目标及技术措施；②文明施工现场管理：材料管理、防扰民措施；③扬尘治理、固废处置、污水排放类环保措施等。1.措施科学合理、可操作性强，贴合本项目现场实际，方案细致可落地，完全满足项目文明施工及环保要求得5-8分；2.措施基本完善，内容较完整，基本满足项目文明施工及环保要求得3-5分；3.仅有基础措施，内容简单笼统，针对性不强，部分管控环节缺失得0-3分。4.措施严重缺失、内容空洞，不满足项目文明及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根据供应商编制的⼯程保修⽅案和后期服务承诺进行综合评审。1.售后服务方案完善，工程质量保修期承诺高于国家及行业标准，维修响应时间、故障处理流程明确，违约责任承诺清晰，能有效保障采购人权益得4-5分；2.售后服务方案基本完善，质量保修期承诺符合国家及行业标准，维修响应时间、故障处理流程基本明确，履约保障措施基本到位得2-4分；3.售后服务方案不够完善，质量保修期承诺符合最低标准，履约保障措施针对性不足得0-2分；4.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项目部拟派人员组织机构设置合理完善，人员配备齐全，有详细的人员配置清单，核心人员（项目经理、技术负责人、安全员、质量员、施工员、材料员、资料员）资质齐全、针对性强，技术经验丰富，人员专业性强，完全满足项目需求得5-8分；2、组织机构组成基本合理，人员配备基本齐全，具备从业经验，基本满足项目需求得3-5分；3、组织机构设置不完整、人员配置短缺，核心人员资质不全或无对应资质，仅部分满足项目需求得0-3分；4、未提供人员配置或核心人员无资质，无法满足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