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镇安县特色产业发展中心茶园基础设施配套建设招标公告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茶园基础设施配套建设</w:t>
      </w:r>
      <w:r>
        <w:rPr>
          <w:rFonts w:ascii="仿宋_GB2312" w:hAnsi="仿宋_GB2312" w:cs="仿宋_GB2312" w:eastAsia="仿宋_GB2312"/>
        </w:rPr>
        <w:t>的潜在投标人应在陕西省政府采购综合管理平台项目电子化交易系统（以下简称“项目电子化交易系统”）获取招标文件，并于</w:t>
      </w:r>
      <w:r>
        <w:rPr>
          <w:rFonts w:ascii="仿宋_GB2312" w:hAnsi="仿宋_GB2312" w:cs="仿宋_GB2312" w:eastAsia="仿宋_GB2312"/>
        </w:rPr>
        <w:t xml:space="preserve"> 2026年08月31日 09时30分 </w:t>
      </w:r>
      <w:r>
        <w:rPr>
          <w:rFonts w:ascii="仿宋_GB2312" w:hAnsi="仿宋_GB2312" w:cs="仿宋_GB2312" w:eastAsia="仿宋_GB2312"/>
        </w:rPr>
        <w:t>（北京时间）前递交投标文件。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项目编号：XBZB-2026-122</w:t>
      </w:r>
    </w:p>
    <w:p>
      <w:pPr>
        <w:pStyle w:val="null3"/>
      </w:pPr>
      <w:r>
        <w:rPr>
          <w:rFonts w:ascii="仿宋_GB2312" w:hAnsi="仿宋_GB2312" w:cs="仿宋_GB2312" w:eastAsia="仿宋_GB2312"/>
        </w:rPr>
        <w:t>项目名称：茶园基础设施配套建设</w:t>
      </w:r>
    </w:p>
    <w:p>
      <w:pPr>
        <w:pStyle w:val="null3"/>
      </w:pPr>
      <w:r>
        <w:rPr>
          <w:rFonts w:ascii="仿宋_GB2312" w:hAnsi="仿宋_GB2312" w:cs="仿宋_GB2312" w:eastAsia="仿宋_GB2312"/>
        </w:rPr>
        <w:t>采购方式：公开招标</w:t>
      </w:r>
    </w:p>
    <w:p>
      <w:pPr>
        <w:pStyle w:val="null3"/>
      </w:pPr>
      <w:r>
        <w:rPr>
          <w:rFonts w:ascii="仿宋_GB2312" w:hAnsi="仿宋_GB2312" w:cs="仿宋_GB2312" w:eastAsia="仿宋_GB2312"/>
        </w:rPr>
        <w:t>预算金额：4,360,100.00元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采购包1：自合同签订之日起30日历天</w:t>
      </w:r>
    </w:p>
    <w:p>
      <w:pPr>
        <w:pStyle w:val="null3"/>
      </w:pPr>
      <w:r>
        <w:rPr>
          <w:rFonts w:ascii="仿宋_GB2312" w:hAnsi="仿宋_GB2312" w:cs="仿宋_GB2312" w:eastAsia="仿宋_GB2312"/>
        </w:rPr>
        <w:t>采购包2：自合同签订之日起30日历天</w:t>
      </w:r>
    </w:p>
    <w:p>
      <w:pPr>
        <w:pStyle w:val="null3"/>
      </w:pPr>
      <w:r>
        <w:rPr>
          <w:rFonts w:ascii="仿宋_GB2312" w:hAnsi="仿宋_GB2312" w:cs="仿宋_GB2312" w:eastAsia="仿宋_GB2312"/>
        </w:rPr>
        <w:t>采购包3：自合同签订之日起30日历天</w:t>
      </w:r>
    </w:p>
    <w:p>
      <w:pPr>
        <w:pStyle w:val="null3"/>
      </w:pPr>
      <w:r>
        <w:rPr>
          <w:rFonts w:ascii="仿宋_GB2312" w:hAnsi="仿宋_GB2312" w:cs="仿宋_GB2312" w:eastAsia="仿宋_GB2312"/>
        </w:rPr>
        <w:t>采购包4：自合同签订之日起30日历天</w:t>
      </w:r>
    </w:p>
    <w:p>
      <w:pPr>
        <w:pStyle w:val="null3"/>
      </w:pPr>
      <w:r>
        <w:rPr>
          <w:rFonts w:ascii="仿宋_GB2312" w:hAnsi="仿宋_GB2312" w:cs="仿宋_GB2312" w:eastAsia="仿宋_GB2312"/>
        </w:rPr>
        <w:t>采购包5：自合同签订之日起30日历天</w:t>
      </w:r>
    </w:p>
    <w:p>
      <w:pPr>
        <w:pStyle w:val="null3"/>
      </w:pPr>
      <w:r>
        <w:rPr>
          <w:rFonts w:ascii="仿宋_GB2312" w:hAnsi="仿宋_GB2312" w:cs="仿宋_GB2312" w:eastAsia="仿宋_GB2312"/>
        </w:rPr>
        <w:t>采购包6：自合同签订之日起30日历天</w:t>
      </w:r>
    </w:p>
    <w:p>
      <w:pPr>
        <w:pStyle w:val="null3"/>
      </w:pPr>
      <w:r>
        <w:rPr>
          <w:rFonts w:ascii="仿宋_GB2312" w:hAnsi="仿宋_GB2312" w:cs="仿宋_GB2312" w:eastAsia="仿宋_GB2312"/>
        </w:rPr>
        <w:t>采购包7：自合同签订之日起30日历天</w:t>
      </w:r>
    </w:p>
    <w:p>
      <w:pPr>
        <w:pStyle w:val="null3"/>
      </w:pPr>
      <w:r>
        <w:rPr>
          <w:rFonts w:ascii="仿宋_GB2312" w:hAnsi="仿宋_GB2312" w:cs="仿宋_GB2312" w:eastAsia="仿宋_GB2312"/>
        </w:rPr>
        <w:t>采购包8：自合同签订之日起30日历天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pPr>
      <w:r>
        <w:rPr>
          <w:rFonts w:ascii="仿宋_GB2312" w:hAnsi="仿宋_GB2312" w:cs="仿宋_GB2312" w:eastAsia="仿宋_GB2312"/>
        </w:rPr>
        <w:t>采购包3：不接受联合体投标</w:t>
      </w:r>
    </w:p>
    <w:p>
      <w:pPr>
        <w:pStyle w:val="null3"/>
      </w:pPr>
      <w:r>
        <w:rPr>
          <w:rFonts w:ascii="仿宋_GB2312" w:hAnsi="仿宋_GB2312" w:cs="仿宋_GB2312" w:eastAsia="仿宋_GB2312"/>
        </w:rPr>
        <w:t>采购包4：不接受联合体投标</w:t>
      </w:r>
    </w:p>
    <w:p>
      <w:pPr>
        <w:pStyle w:val="null3"/>
      </w:pPr>
      <w:r>
        <w:rPr>
          <w:rFonts w:ascii="仿宋_GB2312" w:hAnsi="仿宋_GB2312" w:cs="仿宋_GB2312" w:eastAsia="仿宋_GB2312"/>
        </w:rPr>
        <w:t>采购包5：不接受联合体投标</w:t>
      </w:r>
    </w:p>
    <w:p>
      <w:pPr>
        <w:pStyle w:val="null3"/>
      </w:pPr>
      <w:r>
        <w:rPr>
          <w:rFonts w:ascii="仿宋_GB2312" w:hAnsi="仿宋_GB2312" w:cs="仿宋_GB2312" w:eastAsia="仿宋_GB2312"/>
        </w:rPr>
        <w:t>采购包6：不接受联合体投标</w:t>
      </w:r>
    </w:p>
    <w:p>
      <w:pPr>
        <w:pStyle w:val="null3"/>
      </w:pPr>
      <w:r>
        <w:rPr>
          <w:rFonts w:ascii="仿宋_GB2312" w:hAnsi="仿宋_GB2312" w:cs="仿宋_GB2312" w:eastAsia="仿宋_GB2312"/>
        </w:rPr>
        <w:t>采购包7：不接受联合体投标</w:t>
      </w:r>
    </w:p>
    <w:p>
      <w:pPr>
        <w:pStyle w:val="null3"/>
      </w:pPr>
      <w:r>
        <w:rPr>
          <w:rFonts w:ascii="仿宋_GB2312" w:hAnsi="仿宋_GB2312" w:cs="仿宋_GB2312" w:eastAsia="仿宋_GB2312"/>
        </w:rPr>
        <w:t>采购包8：不接受联合体投标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 xml:space="preserve">2.落实政府采购政策需满足的资格要求： </w:t>
      </w:r>
      <w:r>
        <w:rPr>
          <w:rFonts w:ascii="仿宋_GB2312" w:hAnsi="仿宋_GB2312" w:cs="仿宋_GB2312" w:eastAsia="仿宋_GB2312"/>
        </w:rPr>
        <w:t>无。</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合同包1(达仁镇农光村茶园生产路建设项目)特定资格要求如下: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公路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公路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合同包2(达仁镇丽光村六组茶园生产路、农光村上二组甘沟口茶场便民桥、枫坪村五组茶园生产路建设项目)特定资格要求如下: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公路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公路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合同包3(柴坪镇桃园村五组茶园生产路建设项目)特定资格要求如下: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公路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公路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合同包4(柴坪镇余师村五组茶园生产路建设项目)特定资格要求如下: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公路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公路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合同包5(青铜关镇乡中村二组茶园生产路建设项目)特定资格要求如下: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公路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公路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合同包6(月河镇川河村茶园生产路建设项目)特定资格要求如下: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公路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公路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合同包7(茶叶产业灌溉设施项目（象园村、狮子口村）)特定资格要求如下: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水利水电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水利水电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pPr>
      <w:r>
        <w:rPr>
          <w:rFonts w:ascii="仿宋_GB2312" w:hAnsi="仿宋_GB2312" w:cs="仿宋_GB2312" w:eastAsia="仿宋_GB2312"/>
        </w:rPr>
        <w:t>合同包8(茶叶产业灌溉设施项目（丽光村、枫坪村）)特定资格要求如下:</w:t>
      </w:r>
    </w:p>
    <w:p>
      <w:pPr>
        <w:pStyle w:val="null3"/>
      </w:pPr>
      <w:r>
        <w:rPr>
          <w:rFonts w:ascii="仿宋_GB2312" w:hAnsi="仿宋_GB2312" w:cs="仿宋_GB2312" w:eastAsia="仿宋_GB2312"/>
        </w:rPr>
        <w:t>(1)具有独立承担民事责任能力的法人、其他组织或自然人，并出具合法有效的相关证明材料。投标人需在项目电子化交易系统中按要求上传相应证明文件并进行电子签章。</w:t>
      </w:r>
    </w:p>
    <w:p>
      <w:pPr>
        <w:pStyle w:val="null3"/>
      </w:pPr>
      <w:r>
        <w:rPr>
          <w:rFonts w:ascii="仿宋_GB2312" w:hAnsi="仿宋_GB2312" w:cs="仿宋_GB2312" w:eastAsia="仿宋_GB2312"/>
        </w:rPr>
        <w:t>(2)提供2025年度的财务审计报告（成立时间至提交投标文件截止时间不足一年的可提供成立后任意时段的资产负债表）或其基本存款账户开户银行出具的资信证明及基本存款账户开户许可证（基本账户存款信息）。投标人需在项目电子化交易系统中按要求上传相应证明文件并进行电子签章。</w:t>
      </w:r>
    </w:p>
    <w:p>
      <w:pPr>
        <w:pStyle w:val="null3"/>
      </w:pPr>
      <w:r>
        <w:rPr>
          <w:rFonts w:ascii="仿宋_GB2312" w:hAnsi="仿宋_GB2312" w:cs="仿宋_GB2312" w:eastAsia="仿宋_GB2312"/>
        </w:rPr>
        <w:t>(3)提供2026年1月至今已缴纳的1个月的纳税证明或完税证明，依法免税的单位应提供相关证明材料。投标人需在项目电子化交易系统中按要求上传相应证明文件并进行电子签章。</w:t>
      </w:r>
    </w:p>
    <w:p>
      <w:pPr>
        <w:pStyle w:val="null3"/>
      </w:pPr>
      <w:r>
        <w:rPr>
          <w:rFonts w:ascii="仿宋_GB2312" w:hAnsi="仿宋_GB2312" w:cs="仿宋_GB2312" w:eastAsia="仿宋_GB2312"/>
        </w:rPr>
        <w:t>(4)提供2026年1月至今已缴纳的1个月的社会保障资金缴存单据或社保机构开具的社会保险参保缴费情况证明，依法不需要缴纳社会保障资金的单位应提供相关证明材料。投标人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(5)提供具有履行合同所必需的设备和专业技术能力的承诺。投标人需在项目电子化交易系统中按要求上传相应证明文件并进行电子签章。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投标文件截止时间不足三年的可提供成立至今的书面声明）。投标人需在项目电子化交易系统中按要求上传相应证明文件并进行电子签章。</w:t>
      </w:r>
    </w:p>
    <w:p>
      <w:pPr>
        <w:pStyle w:val="null3"/>
      </w:pPr>
      <w:r>
        <w:rPr>
          <w:rFonts w:ascii="仿宋_GB2312" w:hAnsi="仿宋_GB2312" w:cs="仿宋_GB2312" w:eastAsia="仿宋_GB2312"/>
        </w:rPr>
        <w:t>(7)法定代表人授权委托书（须提供被授权人开标前三个月在本单位缴纳社保的证明资料）（法定代表人直接参加的，须提供法定代表人身份证明及身份证复印件且与营业执照上信息保持一致），非法人单位参照执行。投标人需在项目电子化交易系统中按要求上传相应证明文件并进行电子签章。</w:t>
      </w:r>
    </w:p>
    <w:p>
      <w:pPr>
        <w:pStyle w:val="null3"/>
      </w:pPr>
      <w:r>
        <w:rPr>
          <w:rFonts w:ascii="仿宋_GB2312" w:hAnsi="仿宋_GB2312" w:cs="仿宋_GB2312" w:eastAsia="仿宋_GB2312"/>
        </w:rPr>
        <w:t>(8)供应商不得为“信用中国(www.creditchina.gov.cn)”中列入失信被执行人和重大税收违法案件当事人名单的投标人，不得为“中国政府采购网(www.ccgp.gov.cn)”政府采购严重违法失信行为记录名单中被财政部门禁止参加政府采购活动的供应商（采购代理机构查询，节点为投标文件递交截止之时）。</w:t>
      </w:r>
    </w:p>
    <w:p>
      <w:pPr>
        <w:pStyle w:val="null3"/>
      </w:pPr>
      <w:r>
        <w:rPr>
          <w:rFonts w:ascii="仿宋_GB2312" w:hAnsi="仿宋_GB2312" w:cs="仿宋_GB2312" w:eastAsia="仿宋_GB2312"/>
        </w:rPr>
        <w:t>(9)单位负责人为同一人或者存在直接控股、管理关系的不同供应商不得参加同一合同项下的政府采购活动；为本项目提供整体设计、规范编制或者项目管理、监理、检测等服务的供应商，不得再参加该采购项目的其他采购活动。投标人需在项目电子化交易系统中按要求上传相应证明文件并进行电子签章。</w:t>
      </w:r>
    </w:p>
    <w:p>
      <w:pPr>
        <w:pStyle w:val="null3"/>
      </w:pPr>
      <w:r>
        <w:rPr>
          <w:rFonts w:ascii="仿宋_GB2312" w:hAnsi="仿宋_GB2312" w:cs="仿宋_GB2312" w:eastAsia="仿宋_GB2312"/>
        </w:rPr>
        <w:t>(10)投标人应具有建设行政主管部门核发的【水利水电工程施工总承包三级及以上资质】，且具有合格有效的安全生产许可证；并在人员、设备、资金等方面具有相应的能力（承诺书）。投标人需在项目电子化交易系统中按要求上传相应证明文件并进行电子签章。</w:t>
      </w:r>
    </w:p>
    <w:p>
      <w:pPr>
        <w:pStyle w:val="null3"/>
      </w:pPr>
      <w:r>
        <w:rPr>
          <w:rFonts w:ascii="仿宋_GB2312" w:hAnsi="仿宋_GB2312" w:cs="仿宋_GB2312" w:eastAsia="仿宋_GB2312"/>
        </w:rPr>
        <w:t>(11)拟派项目经理须具有水利水电工程专业二级及以上注册建造师证书及有效的安全生产考核合格证书（B证）在本单位注册，且无在建工程（提供无在建工程承诺书）投标人需在项目电子化交易系统中按要求上传相应证明文件并进行电子签章。</w:t>
      </w:r>
    </w:p>
    <w:p>
      <w:pPr>
        <w:pStyle w:val="null3"/>
      </w:pPr>
      <w:r>
        <w:rPr>
          <w:rFonts w:ascii="仿宋_GB2312" w:hAnsi="仿宋_GB2312" w:cs="仿宋_GB2312" w:eastAsia="仿宋_GB2312"/>
        </w:rPr>
        <w:t>(12)本合同包为专门面向中小企业采购（提供中小企业声明函或监狱企业的证明文件或残疾人福利性单位声明函）。投标人需在项目电子化交易系统中按要求上传相应证明文件并进行电子签章。</w:t>
      </w:r>
    </w:p>
    <w:p>
      <w:pPr>
        <w:pStyle w:val="null3"/>
      </w:pPr>
      <w:r>
        <w:rPr>
          <w:rFonts w:ascii="仿宋_GB2312" w:hAnsi="仿宋_GB2312" w:cs="仿宋_GB2312" w:eastAsia="仿宋_GB2312"/>
        </w:rPr>
        <w:t>(13)本项目不接受联合体投标，投标人需在项目电子化交易系统中按要求上传相应证明文件并进行电子签章。</w:t>
      </w:r>
    </w:p>
    <w:p>
      <w:pPr>
        <w:pStyle w:val="null3"/>
        <w:outlineLvl w:val="3"/>
      </w:pPr>
      <w:r>
        <w:rPr>
          <w:rFonts w:ascii="仿宋_GB2312" w:hAnsi="仿宋_GB2312" w:cs="仿宋_GB2312" w:eastAsia="仿宋_GB2312"/>
          <w:sz w:val="24"/>
          <w:b/>
        </w:rPr>
        <w:t>三、获取招标文件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2026年08月10日 </w:t>
      </w:r>
      <w:r>
        <w:rPr>
          <w:rFonts w:ascii="仿宋_GB2312" w:hAnsi="仿宋_GB2312" w:cs="仿宋_GB2312" w:eastAsia="仿宋_GB2312"/>
        </w:rPr>
        <w:t>至</w:t>
      </w:r>
      <w:r>
        <w:rPr>
          <w:rFonts w:ascii="仿宋_GB2312" w:hAnsi="仿宋_GB2312" w:cs="仿宋_GB2312" w:eastAsia="仿宋_GB2312"/>
        </w:rPr>
        <w:t xml:space="preserve"> 2026年08月14日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四、提交投标文件截止时间、开标时间和地点</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2026年08月31日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提交投标文件地点：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pPr>
      <w:r>
        <w:rPr>
          <w:rFonts w:ascii="仿宋_GB2312" w:hAnsi="仿宋_GB2312" w:cs="仿宋_GB2312" w:eastAsia="仿宋_GB2312"/>
        </w:rPr>
        <w:t>开标地点：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五、公告期限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5</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六、其他补充事宜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color w:val="000000"/>
          <w:shd w:fill="FFFFFF" w:val="clear"/>
        </w:rPr>
        <w:t>（六）成交供应商在中标（成交）结果公告结束后3个工作日内向代理机构提供纸质版响应文件，响应文件为正本一份，副本二份，电子U盘二份（U盘内容包括Word版本、签字盖章扫描后的PDF版本响应文件及电子投标书）。</w:t>
      </w:r>
    </w:p>
    <w:p>
      <w:pPr>
        <w:pStyle w:val="null3"/>
        <w:ind w:firstLine="480"/>
        <w:jc w:val="both"/>
      </w:pPr>
      <w:r>
        <w:rPr>
          <w:rFonts w:ascii="仿宋_GB2312" w:hAnsi="仿宋_GB2312" w:cs="仿宋_GB2312" w:eastAsia="仿宋_GB2312"/>
          <w:sz w:val="21"/>
          <w:color w:val="000000"/>
          <w:shd w:fill="FFFFFF" w:val="clear"/>
        </w:rPr>
        <w:t>（七）需要落实的政府采购政策：</w:t>
      </w:r>
    </w:p>
    <w:p>
      <w:pPr>
        <w:pStyle w:val="null3"/>
        <w:ind w:firstLine="480"/>
        <w:jc w:val="both"/>
      </w:pPr>
      <w:r>
        <w:rPr>
          <w:rFonts w:ascii="仿宋_GB2312" w:hAnsi="仿宋_GB2312" w:cs="仿宋_GB2312" w:eastAsia="仿宋_GB2312"/>
          <w:sz w:val="21"/>
          <w:color w:val="000000"/>
          <w:shd w:fill="FFFFFF" w:val="clear"/>
        </w:rPr>
        <w:t>1)《政府采购促进中小企业发展管理办法》（财库〔2020〕46号）、《财政部关于进一步加大政府采购支持中小企业力度》的通知（财库〔2022〕19号）、《陕西省财政厅关于进一步加大政府采购支持中小企业力度的通知》（陕财办采〔2022〕5号）；</w:t>
      </w:r>
    </w:p>
    <w:p>
      <w:pPr>
        <w:pStyle w:val="null3"/>
        <w:ind w:firstLine="480"/>
        <w:jc w:val="both"/>
      </w:pPr>
      <w:r>
        <w:rPr>
          <w:rFonts w:ascii="仿宋_GB2312" w:hAnsi="仿宋_GB2312" w:cs="仿宋_GB2312" w:eastAsia="仿宋_GB2312"/>
          <w:sz w:val="21"/>
          <w:color w:val="000000"/>
          <w:shd w:fill="FFFFFF" w:val="clear"/>
        </w:rPr>
        <w:t>2)《财政部司法部关于政府采购支持监狱企业发展有关问题的通知》（财库〔2014〕68号）；</w:t>
      </w:r>
    </w:p>
    <w:p>
      <w:pPr>
        <w:pStyle w:val="null3"/>
        <w:ind w:firstLine="480"/>
        <w:jc w:val="both"/>
      </w:pPr>
      <w:r>
        <w:rPr>
          <w:rFonts w:ascii="仿宋_GB2312" w:hAnsi="仿宋_GB2312" w:cs="仿宋_GB2312" w:eastAsia="仿宋_GB2312"/>
          <w:sz w:val="21"/>
          <w:color w:val="000000"/>
          <w:shd w:fill="FFFFFF" w:val="clear"/>
        </w:rPr>
        <w:t>3)《财政部民政部中国残疾人联合会关于促进残疾人就业政府采购政策的通知》（财库〔2017〕141号）；</w:t>
      </w:r>
    </w:p>
    <w:p>
      <w:pPr>
        <w:pStyle w:val="null3"/>
        <w:ind w:firstLine="480"/>
        <w:jc w:val="both"/>
      </w:pPr>
      <w:r>
        <w:rPr>
          <w:rFonts w:ascii="仿宋_GB2312" w:hAnsi="仿宋_GB2312" w:cs="仿宋_GB2312" w:eastAsia="仿宋_GB2312"/>
          <w:sz w:val="21"/>
          <w:color w:val="000000"/>
          <w:shd w:fill="FFFFFF" w:val="clear"/>
        </w:rPr>
        <w:t>4)《财政部国家发展改革委关于印发(节能产品政府采购实施意见)的通知》(财库〔2004〕185号)；</w:t>
      </w:r>
    </w:p>
    <w:p>
      <w:pPr>
        <w:pStyle w:val="null3"/>
        <w:ind w:firstLine="480"/>
        <w:jc w:val="both"/>
      </w:pPr>
      <w:r>
        <w:rPr>
          <w:rFonts w:ascii="仿宋_GB2312" w:hAnsi="仿宋_GB2312" w:cs="仿宋_GB2312" w:eastAsia="仿宋_GB2312"/>
          <w:sz w:val="21"/>
          <w:color w:val="000000"/>
          <w:shd w:fill="FFFFFF" w:val="clear"/>
        </w:rPr>
        <w:t>5)《国务院办公厅关于建立政府强制采购节能产品制度的通知》(国办发〔2007〕51号)；</w:t>
      </w:r>
    </w:p>
    <w:p>
      <w:pPr>
        <w:pStyle w:val="null3"/>
        <w:ind w:firstLine="480"/>
        <w:jc w:val="both"/>
      </w:pPr>
      <w:r>
        <w:rPr>
          <w:rFonts w:ascii="仿宋_GB2312" w:hAnsi="仿宋_GB2312" w:cs="仿宋_GB2312" w:eastAsia="仿宋_GB2312"/>
          <w:sz w:val="21"/>
          <w:color w:val="000000"/>
          <w:shd w:fill="FFFFFF" w:val="clear"/>
        </w:rPr>
        <w:t>6)《财政部环保总局关于环境标志产品政府采购实施的意见》(财库〔2006〕90号)；</w:t>
      </w:r>
    </w:p>
    <w:p>
      <w:pPr>
        <w:pStyle w:val="null3"/>
        <w:ind w:firstLine="480"/>
        <w:jc w:val="both"/>
      </w:pPr>
      <w:r>
        <w:rPr>
          <w:rFonts w:ascii="仿宋_GB2312" w:hAnsi="仿宋_GB2312" w:cs="仿宋_GB2312" w:eastAsia="仿宋_GB2312"/>
          <w:sz w:val="21"/>
          <w:color w:val="000000"/>
          <w:shd w:fill="FFFFFF" w:val="clear"/>
        </w:rPr>
        <w:t>7)《财政部 发展改革委 生态环境部 市场监管总局关于调整优化节能产品、环境标志产品政府采购执行机制的通知》（财库〔2019〕9号）；</w:t>
      </w:r>
    </w:p>
    <w:p>
      <w:pPr>
        <w:pStyle w:val="null3"/>
        <w:ind w:firstLine="480"/>
        <w:jc w:val="both"/>
      </w:pPr>
      <w:r>
        <w:rPr>
          <w:rFonts w:ascii="仿宋_GB2312" w:hAnsi="仿宋_GB2312" w:cs="仿宋_GB2312" w:eastAsia="仿宋_GB2312"/>
          <w:sz w:val="21"/>
          <w:color w:val="000000"/>
          <w:shd w:fill="FFFFFF" w:val="clear"/>
        </w:rPr>
        <w:t>8)《关于印发环境标志产品政府采购品目清单的通知》（财库〔2019〕18号）；</w:t>
      </w:r>
    </w:p>
    <w:p>
      <w:pPr>
        <w:pStyle w:val="null3"/>
        <w:ind w:firstLine="480"/>
        <w:jc w:val="both"/>
      </w:pPr>
      <w:r>
        <w:rPr>
          <w:rFonts w:ascii="仿宋_GB2312" w:hAnsi="仿宋_GB2312" w:cs="仿宋_GB2312" w:eastAsia="仿宋_GB2312"/>
          <w:sz w:val="21"/>
          <w:color w:val="000000"/>
          <w:shd w:fill="FFFFFF" w:val="clear"/>
        </w:rPr>
        <w:t>9)《关于印发节能产品政府采购品目清单的通知》（财库〔2019〕19号）；</w:t>
      </w:r>
    </w:p>
    <w:p>
      <w:pPr>
        <w:pStyle w:val="null3"/>
        <w:ind w:firstLine="480"/>
        <w:jc w:val="both"/>
      </w:pPr>
      <w:r>
        <w:rPr>
          <w:rFonts w:ascii="仿宋_GB2312" w:hAnsi="仿宋_GB2312" w:cs="仿宋_GB2312" w:eastAsia="仿宋_GB2312"/>
          <w:sz w:val="21"/>
          <w:color w:val="000000"/>
          <w:shd w:fill="FFFFFF" w:val="clear"/>
        </w:rPr>
        <w:t>10)《财政部、农业农村部、国家乡村振兴局关于运用政府采购政策支持乡村产业振兴的通知》（财库〔2021〕19号）；</w:t>
      </w:r>
    </w:p>
    <w:p>
      <w:pPr>
        <w:pStyle w:val="null3"/>
        <w:ind w:firstLine="480"/>
        <w:jc w:val="both"/>
      </w:pPr>
      <w:r>
        <w:rPr>
          <w:rFonts w:ascii="仿宋_GB2312" w:hAnsi="仿宋_GB2312" w:cs="仿宋_GB2312" w:eastAsia="仿宋_GB2312"/>
          <w:sz w:val="21"/>
          <w:color w:val="000000"/>
          <w:shd w:fill="FFFFFF" w:val="clear"/>
        </w:rPr>
        <w:t>11)《陕西省财政厅关于印发陕西省中小企业政府采购信用融资办法》（陕财办采〔2018〕23号）；</w:t>
      </w:r>
    </w:p>
    <w:p>
      <w:pPr>
        <w:pStyle w:val="null3"/>
        <w:ind w:firstLine="480"/>
        <w:jc w:val="both"/>
      </w:pPr>
      <w:r>
        <w:rPr>
          <w:rFonts w:ascii="仿宋_GB2312" w:hAnsi="仿宋_GB2312" w:cs="仿宋_GB2312" w:eastAsia="仿宋_GB2312"/>
          <w:sz w:val="21"/>
          <w:color w:val="000000"/>
          <w:shd w:fill="FFFFFF" w:val="clear"/>
        </w:rPr>
        <w:t>12)《陕西省财政厅关于加快推进我省中小企业政府采购信用融资工作的通知》（陕财办采〔2020〕15号）；</w:t>
      </w:r>
    </w:p>
    <w:p>
      <w:pPr>
        <w:pStyle w:val="null3"/>
        <w:ind w:firstLine="480"/>
        <w:jc w:val="both"/>
      </w:pPr>
      <w:r>
        <w:rPr>
          <w:rFonts w:ascii="仿宋_GB2312" w:hAnsi="仿宋_GB2312" w:cs="仿宋_GB2312" w:eastAsia="仿宋_GB2312"/>
          <w:sz w:val="21"/>
          <w:color w:val="000000"/>
          <w:shd w:fill="FFFFFF" w:val="clear"/>
        </w:rPr>
        <w:t>13）《关于政府采购支持绿色建材促进建筑品质提升试点工作的通知》（财库〔2020〕31 号）；</w:t>
      </w:r>
    </w:p>
    <w:p>
      <w:pPr>
        <w:pStyle w:val="null3"/>
        <w:ind w:firstLine="480"/>
        <w:jc w:val="both"/>
      </w:pPr>
      <w:r>
        <w:rPr>
          <w:rFonts w:ascii="仿宋_GB2312" w:hAnsi="仿宋_GB2312" w:cs="仿宋_GB2312" w:eastAsia="仿宋_GB2312"/>
          <w:sz w:val="21"/>
          <w:color w:val="000000"/>
          <w:shd w:fill="FFFFFF" w:val="clear"/>
        </w:rPr>
        <w:t>14）《财政部办公厅关于组织地方预算单位做好2023年政府采购脱贫地区农副产品工作的通知》（财办库〔2023〕45 号）；</w:t>
      </w:r>
    </w:p>
    <w:p>
      <w:pPr>
        <w:pStyle w:val="null3"/>
        <w:ind w:firstLine="480"/>
        <w:jc w:val="both"/>
      </w:pPr>
      <w:r>
        <w:rPr>
          <w:rFonts w:ascii="仿宋_GB2312" w:hAnsi="仿宋_GB2312" w:cs="仿宋_GB2312" w:eastAsia="仿宋_GB2312"/>
          <w:sz w:val="21"/>
          <w:color w:val="000000"/>
          <w:shd w:fill="FFFFFF" w:val="clear"/>
        </w:rPr>
        <w:t>15）《财政部住房城乡建设部工业和信息化部关于扩大政府采购绿色建材促进建筑品质提升政策实施范围的通知》（财库〔2022〕35号）；</w:t>
      </w:r>
    </w:p>
    <w:p>
      <w:pPr>
        <w:pStyle w:val="null3"/>
        <w:ind w:firstLine="480"/>
        <w:jc w:val="both"/>
      </w:pPr>
      <w:r>
        <w:rPr>
          <w:rFonts w:ascii="仿宋_GB2312" w:hAnsi="仿宋_GB2312" w:cs="仿宋_GB2312" w:eastAsia="仿宋_GB2312"/>
          <w:sz w:val="21"/>
          <w:color w:val="000000"/>
          <w:shd w:fill="FFFFFF" w:val="clear"/>
        </w:rPr>
        <w:t>16）《国务院办公厅关于在政府采购中实施本国产品标准及相关政策的通知》（国办发〔2025〕34号）；</w:t>
      </w:r>
    </w:p>
    <w:p>
      <w:pPr>
        <w:pStyle w:val="null3"/>
        <w:ind w:firstLine="480"/>
        <w:jc w:val="both"/>
      </w:pPr>
      <w:r>
        <w:rPr>
          <w:rFonts w:ascii="仿宋_GB2312" w:hAnsi="仿宋_GB2312" w:cs="仿宋_GB2312" w:eastAsia="仿宋_GB2312"/>
          <w:sz w:val="21"/>
          <w:color w:val="000000"/>
          <w:shd w:fill="FFFFFF" w:val="clear"/>
        </w:rPr>
        <w:t>17）《关于推动解决政府采购异常低价问题的通知》(财库〔2026〕2号)；</w:t>
      </w:r>
    </w:p>
    <w:p>
      <w:pPr>
        <w:pStyle w:val="null3"/>
        <w:ind w:firstLine="480"/>
        <w:jc w:val="both"/>
      </w:pPr>
      <w:r>
        <w:rPr>
          <w:rFonts w:ascii="仿宋_GB2312" w:hAnsi="仿宋_GB2312" w:cs="仿宋_GB2312" w:eastAsia="仿宋_GB2312"/>
          <w:sz w:val="21"/>
          <w:color w:val="000000"/>
          <w:shd w:fill="FFFFFF" w:val="clear"/>
        </w:rPr>
        <w:t>18）其他需要落实的政府采购政策。(如有最新颁布的政府采购政策，按最新的文件执行)</w:t>
      </w:r>
    </w:p>
    <w:p>
      <w:pPr>
        <w:pStyle w:val="null3"/>
        <w:ind w:firstLine="480"/>
        <w:jc w:val="both"/>
      </w:pPr>
      <w:r>
        <w:rPr>
          <w:rFonts w:ascii="仿宋_GB2312" w:hAnsi="仿宋_GB2312" w:cs="仿宋_GB2312" w:eastAsia="仿宋_GB2312"/>
          <w:sz w:val="21"/>
          <w:color w:val="000000"/>
          <w:shd w:fill="FFFFFF" w:val="clear"/>
        </w:rPr>
        <w:t>（</w:t>
      </w:r>
      <w:r>
        <w:rPr>
          <w:rFonts w:ascii="仿宋_GB2312" w:hAnsi="仿宋_GB2312" w:cs="仿宋_GB2312" w:eastAsia="仿宋_GB2312"/>
          <w:sz w:val="21"/>
          <w:color w:val="000000"/>
          <w:shd w:fill="FFFFFF" w:val="clear"/>
        </w:rPr>
        <w:t>八）其他：</w:t>
      </w:r>
    </w:p>
    <w:p>
      <w:pPr>
        <w:pStyle w:val="null3"/>
      </w:pPr>
      <w:r>
        <w:rPr>
          <w:rFonts w:ascii="仿宋_GB2312" w:hAnsi="仿宋_GB2312" w:cs="仿宋_GB2312" w:eastAsia="仿宋_GB2312"/>
          <w:sz w:val="21"/>
          <w:color w:val="000000"/>
          <w:shd w:fill="FFFFFF" w:val="clear"/>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七、对本次招标提出询问，请按以下方式联系。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镇安县特色产业发展中心</w:t>
      </w:r>
    </w:p>
    <w:p>
      <w:pPr>
        <w:pStyle w:val="null3"/>
      </w:pPr>
      <w:r>
        <w:rPr>
          <w:rFonts w:ascii="仿宋_GB2312" w:hAnsi="仿宋_GB2312" w:cs="仿宋_GB2312" w:eastAsia="仿宋_GB2312"/>
        </w:rPr>
        <w:t>地址：</w:t>
      </w:r>
      <w:r>
        <w:rPr>
          <w:rFonts w:ascii="仿宋_GB2312" w:hAnsi="仿宋_GB2312" w:cs="仿宋_GB2312" w:eastAsia="仿宋_GB2312"/>
        </w:rPr>
        <w:t>镇安县初级中学北门后院内</w:t>
      </w:r>
    </w:p>
    <w:p>
      <w:pPr>
        <w:pStyle w:val="null3"/>
      </w:pPr>
      <w:r>
        <w:rPr>
          <w:rFonts w:ascii="仿宋_GB2312" w:hAnsi="仿宋_GB2312" w:cs="仿宋_GB2312" w:eastAsia="仿宋_GB2312"/>
        </w:rPr>
        <w:t>联系方式：</w:t>
      </w:r>
      <w:r>
        <w:rPr>
          <w:rFonts w:ascii="仿宋_GB2312" w:hAnsi="仿宋_GB2312" w:cs="仿宋_GB2312" w:eastAsia="仿宋_GB2312"/>
        </w:rPr>
        <w:t>0914-5338891</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西北国际（陕西）造价管理集团有限公司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陕西省西安市碑林区南关正街88号长安国际中心F座17层</w:t>
      </w:r>
    </w:p>
    <w:p>
      <w:pPr>
        <w:pStyle w:val="null3"/>
      </w:pPr>
      <w:r>
        <w:rPr>
          <w:rFonts w:ascii="仿宋_GB2312" w:hAnsi="仿宋_GB2312" w:cs="仿宋_GB2312" w:eastAsia="仿宋_GB2312"/>
        </w:rPr>
        <w:t>联系方式：</w:t>
      </w:r>
      <w:r>
        <w:rPr>
          <w:rFonts w:ascii="仿宋_GB2312" w:hAnsi="仿宋_GB2312" w:cs="仿宋_GB2312" w:eastAsia="仿宋_GB2312"/>
        </w:rPr>
        <w:t>13609126809</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卫梦艺</w:t>
      </w:r>
    </w:p>
    <w:p>
      <w:pPr>
        <w:pStyle w:val="null3"/>
      </w:pPr>
      <w:r>
        <w:rPr>
          <w:rFonts w:ascii="仿宋_GB2312" w:hAnsi="仿宋_GB2312" w:cs="仿宋_GB2312" w:eastAsia="仿宋_GB2312"/>
        </w:rPr>
        <w:t>电话：</w:t>
      </w:r>
      <w:r>
        <w:rPr>
          <w:rFonts w:ascii="仿宋_GB2312" w:hAnsi="仿宋_GB2312" w:cs="仿宋_GB2312" w:eastAsia="仿宋_GB2312"/>
        </w:rPr>
        <w:t>13609126809</w:t>
      </w:r>
    </w:p>
    <w:p>
      <w:pPr>
        <w:pStyle w:val="null3"/>
        <w:jc w:val="right"/>
      </w:pPr>
      <w:r>
        <w:rPr>
          <w:rFonts w:ascii="仿宋_GB2312" w:hAnsi="仿宋_GB2312" w:cs="仿宋_GB2312" w:eastAsia="仿宋_GB2312"/>
        </w:rPr>
        <w:t>西北国际（陕西）造价管理集团有限公司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