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版本号：ZD1326-001／ⅣZSA20260509001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陕西公路养护作业单位资质管理系统运维及信创改造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ZD1326-001／ⅣZSA</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陕西公路养护作业单位资质管理系统运维及信创改造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ZD1326-001／ⅣZSA</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陕西公路养护作业单位资质管理系统运维及信创改造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陕西公路养护作业单位资质管理系统运维及信创改造，具体内容详见采购需求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采购包1（陕西公路养护作业单位资质管理系统运维及信创改造）：属于专门面向中小企业采购。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杨东华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18066587290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采购包1：358,800.00元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说明：1.供应商在签订本合同之前，向采购人构提交履约保证金人民币为成交价的5%。 2.履约保证金的有效期为供应商承诺的服务期限。 3.履约保证金作为违约金的一部分及用于补偿采购人因供应商不能履行合同义务而蒙受的损失。 4.服务期限结束后，供应商出具项目履约情况报告，采购人通过履约验收合格且无任何争议后，向供应商退还履约保证金（无息）。 5.供应商可以履约担保函的形式交纳履约保证金。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代理机构在参加采购人代理机构遴选中的报价系数确定，为0.75。（最终代理服务费=参照《招标代理服务收费管理暂行办法》（计价格〔2002〕1980）计算后金额*报价系数），由中标单位领取中标通知书前一次付清代理服务费。 开户名称：正大方略工程咨询有限公司 开户银行：西安银行东二环南段支行 账 号：209011580000076430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联系人：杨东华</w:t>
      </w:r>
    </w:p>
    <w:p>
      <w:pPr>
        <w:pStyle w:val="null3"/>
      </w:pPr>
      <w:r>
        <w:rPr>
          <w:rFonts w:ascii="仿宋_GB2312" w:hAnsi="仿宋_GB2312" w:cs="仿宋_GB2312" w:eastAsia="仿宋_GB2312"/>
        </w:rPr>
        <w:t>联系电话：18066587290</w:t>
      </w:r>
    </w:p>
    <w:p>
      <w:pPr>
        <w:pStyle w:val="null3"/>
      </w:pPr>
      <w:r>
        <w:rPr>
          <w:rFonts w:ascii="仿宋_GB2312" w:hAnsi="仿宋_GB2312" w:cs="仿宋_GB2312" w:eastAsia="仿宋_GB2312"/>
        </w:rPr>
        <w:t>地址：西安市雁塔区南二环东段22号（凯森盛世1号）A座27楼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为保障数据稳定服务，以更好的支撑业务系统稳定运行，对系统的单位信息、资质申报、资质延续、资质变更、电子证照维护、遗失管理、资质撤销/注销、限期整改、信息发布、数据共享、系统管理等模块定期开展维护工作，提升数据的安全性，并保障系统稳定运行；为符合陕西省《省级政务应用系统信创适配整合迁移计划方案》工作安排，对系统进行信创适配改造。本项目拟划分1个标段，最高限价35.88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358,800.00</w:t>
      </w:r>
    </w:p>
    <w:p>
      <w:pPr>
        <w:pStyle w:val="null3"/>
      </w:pPr>
      <w:r>
        <w:rPr>
          <w:rFonts w:ascii="仿宋_GB2312" w:hAnsi="仿宋_GB2312" w:cs="仿宋_GB2312" w:eastAsia="仿宋_GB2312"/>
        </w:rPr>
        <w:t>采购包最高限价（元）: 358,800.00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陕西公路养护作业单位资质管理系统运维及信创改造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358,800.00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标的名称：陕西公路养护作业单位资质管理系统运维及信创改造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48"/>
              <w:jc w:val="both"/>
            </w:pPr>
            <w:r>
              <w:rPr>
                <w:rFonts w:ascii="仿宋_GB2312" w:hAnsi="仿宋_GB2312" w:cs="仿宋_GB2312" w:eastAsia="仿宋_GB2312"/>
                <w:sz w:val="20"/>
                <w:b/>
              </w:rPr>
              <w:t>一、管理系统</w:t>
            </w:r>
            <w:r>
              <w:rPr>
                <w:rFonts w:ascii="仿宋_GB2312" w:hAnsi="仿宋_GB2312" w:cs="仿宋_GB2312" w:eastAsia="仿宋_GB2312"/>
                <w:sz w:val="20"/>
                <w:b/>
              </w:rPr>
              <w:t>维护</w:t>
            </w:r>
          </w:p>
          <w:p>
            <w:pPr>
              <w:pStyle w:val="null3"/>
              <w:ind w:firstLine="446"/>
              <w:jc w:val="both"/>
            </w:pPr>
            <w:r>
              <w:rPr>
                <w:rFonts w:ascii="仿宋_GB2312" w:hAnsi="仿宋_GB2312" w:cs="仿宋_GB2312" w:eastAsia="仿宋_GB2312"/>
                <w:sz w:val="20"/>
              </w:rPr>
              <w:t>为加强陕西省公路养护作业单位资质管理，规范公路养护市场秩序，保证公路养护质量和安全，建立了陕西公路养护作业单位资质管理系统，该系统于</w:t>
            </w:r>
            <w:r>
              <w:rPr>
                <w:rFonts w:ascii="仿宋_GB2312" w:hAnsi="仿宋_GB2312" w:cs="仿宋_GB2312" w:eastAsia="仿宋_GB2312"/>
                <w:sz w:val="20"/>
              </w:rPr>
              <w:t>2022年3月正式投入使用。为保障数据稳定服务，以更好的支撑业务系统稳定运行，对系统的单位信息、资质申报、资质延续、资质变更、电子证照维护、遗失管理、资质撤销/注销、限期整改、信息发布、数据共享</w:t>
            </w:r>
            <w:r>
              <w:rPr>
                <w:rFonts w:ascii="仿宋_GB2312" w:hAnsi="仿宋_GB2312" w:cs="仿宋_GB2312" w:eastAsia="仿宋_GB2312"/>
                <w:sz w:val="20"/>
              </w:rPr>
              <w:t>、</w:t>
            </w:r>
            <w:r>
              <w:rPr>
                <w:rFonts w:ascii="仿宋_GB2312" w:hAnsi="仿宋_GB2312" w:cs="仿宋_GB2312" w:eastAsia="仿宋_GB2312"/>
                <w:sz w:val="20"/>
              </w:rPr>
              <w:t>系统管理等模块定期开展维护工作，提升数据的安全性，并保障系统稳定运行。</w:t>
            </w:r>
          </w:p>
          <w:p>
            <w:pPr>
              <w:pStyle w:val="null3"/>
              <w:ind w:firstLine="448"/>
              <w:jc w:val="both"/>
            </w:pPr>
            <w:r>
              <w:rPr>
                <w:rFonts w:ascii="仿宋_GB2312" w:hAnsi="仿宋_GB2312" w:cs="仿宋_GB2312" w:eastAsia="仿宋_GB2312"/>
                <w:sz w:val="20"/>
                <w:b/>
              </w:rPr>
              <w:t>二、</w:t>
            </w:r>
            <w:r>
              <w:rPr>
                <w:rFonts w:ascii="仿宋_GB2312" w:hAnsi="仿宋_GB2312" w:cs="仿宋_GB2312" w:eastAsia="仿宋_GB2312"/>
                <w:sz w:val="20"/>
                <w:b/>
              </w:rPr>
              <w:t>信创</w:t>
            </w:r>
            <w:r>
              <w:rPr>
                <w:rFonts w:ascii="仿宋_GB2312" w:hAnsi="仿宋_GB2312" w:cs="仿宋_GB2312" w:eastAsia="仿宋_GB2312"/>
                <w:sz w:val="20"/>
                <w:b/>
              </w:rPr>
              <w:t>适配</w:t>
            </w:r>
          </w:p>
          <w:p>
            <w:pPr>
              <w:pStyle w:val="null3"/>
              <w:ind w:firstLine="446"/>
              <w:jc w:val="both"/>
            </w:pPr>
            <w:r>
              <w:rPr>
                <w:rFonts w:ascii="仿宋_GB2312" w:hAnsi="仿宋_GB2312" w:cs="仿宋_GB2312" w:eastAsia="仿宋_GB2312"/>
                <w:sz w:val="20"/>
              </w:rPr>
              <w:t>为符合陕西省《省级政务应用系统信创适配整合迁移计划方案》工作安排，对系统进行信创适配改造，包括三方面内容：系统功能适配改造、数据库适配改造、操作系统适配改造。</w:t>
            </w:r>
          </w:p>
          <w:p>
            <w:pPr>
              <w:pStyle w:val="null3"/>
              <w:ind w:firstLine="446"/>
              <w:jc w:val="both"/>
            </w:pPr>
            <w:r>
              <w:rPr>
                <w:rFonts w:ascii="仿宋_GB2312" w:hAnsi="仿宋_GB2312" w:cs="仿宋_GB2312" w:eastAsia="仿宋_GB2312"/>
                <w:sz w:val="20"/>
                <w:b/>
              </w:rPr>
              <w:t>三、</w:t>
            </w:r>
            <w:r>
              <w:rPr>
                <w:rFonts w:ascii="仿宋_GB2312" w:hAnsi="仿宋_GB2312" w:cs="仿宋_GB2312" w:eastAsia="仿宋_GB2312"/>
                <w:sz w:val="20"/>
                <w:b/>
              </w:rPr>
              <w:t>提交成果的方式、份数</w:t>
            </w:r>
            <w:r>
              <w:rPr>
                <w:rFonts w:ascii="仿宋_GB2312" w:hAnsi="仿宋_GB2312" w:cs="仿宋_GB2312" w:eastAsia="仿宋_GB2312"/>
                <w:sz w:val="20"/>
                <w:b/>
              </w:rPr>
              <w:t>:电子版一份，纸质版2份</w:t>
            </w:r>
            <w:r>
              <w:rPr>
                <w:rFonts w:ascii="仿宋_GB2312" w:hAnsi="仿宋_GB2312" w:cs="仿宋_GB2312" w:eastAsia="仿宋_GB2312"/>
                <w:sz w:val="20"/>
                <w:b/>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售后服务要求</w:t>
            </w:r>
            <w:r>
              <w:rPr>
                <w:rFonts w:ascii="仿宋_GB2312" w:hAnsi="仿宋_GB2312" w:cs="仿宋_GB2312" w:eastAsia="仿宋_GB2312"/>
                <w:sz w:val="20"/>
                <w:b/>
              </w:rPr>
              <w:t>：</w:t>
            </w:r>
          </w:p>
          <w:p>
            <w:pPr>
              <w:pStyle w:val="null3"/>
              <w:ind w:firstLine="400"/>
              <w:jc w:val="both"/>
            </w:pPr>
            <w:r>
              <w:rPr>
                <w:rFonts w:ascii="仿宋_GB2312" w:hAnsi="仿宋_GB2312" w:cs="仿宋_GB2312" w:eastAsia="仿宋_GB2312"/>
                <w:sz w:val="20"/>
              </w:rPr>
              <w:t>技术支持和售后服务由乙方严格按响应文件及有关承诺执行，提供</w:t>
            </w:r>
            <w:r>
              <w:rPr>
                <w:rFonts w:ascii="仿宋_GB2312" w:hAnsi="仿宋_GB2312" w:cs="仿宋_GB2312" w:eastAsia="仿宋_GB2312"/>
                <w:sz w:val="20"/>
              </w:rPr>
              <w:t>7*24小时电话咨询服务，出现问题时，0.5小时内电话响应，2小时内电话解决问题，如有需要8小时内到达故障现场解决问题。</w:t>
            </w:r>
          </w:p>
          <w:p>
            <w:pPr>
              <w:pStyle w:val="null3"/>
              <w:ind w:firstLine="400"/>
              <w:jc w:val="both"/>
            </w:pPr>
            <w:r>
              <w:rPr>
                <w:rFonts w:ascii="仿宋_GB2312" w:hAnsi="仿宋_GB2312" w:cs="仿宋_GB2312" w:eastAsia="仿宋_GB2312"/>
                <w:sz w:val="20"/>
              </w:rPr>
              <w:t>如因乙方自身原因或不能履行售后服务义务</w:t>
            </w:r>
            <w:r>
              <w:rPr>
                <w:rFonts w:ascii="仿宋_GB2312" w:hAnsi="仿宋_GB2312" w:cs="仿宋_GB2312" w:eastAsia="仿宋_GB2312"/>
                <w:sz w:val="20"/>
              </w:rPr>
              <w:t>,采购人有权委托第三方处理，由此产生的费用和风险由乙方承担。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知识产权</w:t>
            </w:r>
            <w:r>
              <w:rPr>
                <w:rFonts w:ascii="仿宋_GB2312" w:hAnsi="仿宋_GB2312" w:cs="仿宋_GB2312" w:eastAsia="仿宋_GB2312"/>
                <w:sz w:val="20"/>
                <w:b/>
              </w:rPr>
              <w:t>：</w:t>
            </w:r>
          </w:p>
          <w:p>
            <w:pPr>
              <w:pStyle w:val="null3"/>
            </w:pPr>
            <w:r>
              <w:rPr>
                <w:rFonts w:ascii="仿宋_GB2312" w:hAnsi="仿宋_GB2312" w:cs="仿宋_GB2312" w:eastAsia="仿宋_GB2312"/>
                <w:sz w:val="20"/>
              </w:rPr>
              <w:t>成交供应商应对磋商承诺内容及服务成果所涉及的专利、著作权等知识产权承担责任，并负责保护用户的利益不受任何损害。一切由于文字、商标、技术和软件专利授权引起的法律裁决、诉讼和赔偿费用均由中标供应商负责。所使用的设备、材料须符合国家有关标准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 2026 年 11 月 30 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合同约定的全部内容后，应向甲方提交书面的服务成果报告及验收申请。同时向甲方提交项目实施过程中的所有资料,以便甲方日后跟踪、督导、检查所检测项目。乙方应根据国家现行的相关技术标准、规范、规程等以及我省公路管理相关规定实施检测，据实提交各项检测成果资料。 （二）甲方收到乙方的验收申请后，组织乙方（必要时请有关专家）进行项目验收。乙方提交合同履约情况总结报告，并经甲方确认。验收合格后，填写项目验收单作为对项目的最终认可。 （三）验收依据：①本合同及附件文本；②竞争性磋商文件、响应文件、澄清表（函）；③国家相应的标准、规范。 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双方签署合同后甲方收到乙方履约保证金（或保函）及等额有效发票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提交项目全部成果及等额有效发票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（一）甲乙双方必须遵守本合同并执行合同中的各项规定，保证本合同的正常履行。 （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（四）乙方逾期完成服务的，每逾期一日，向甲方承担合同总金额0.5%的违约金，逾期 20日的，甲方有权单方解除本合同且保留追究乙方违约责任的权利，给甲方造成损失的，乙方还应予以赔偿。 （五）乙方应保证其提交的服务成果不存在侵犯他人权益的情形，否则，因此引发的责任及纠纷由乙方承担，对甲方造成损失的，乙方应予以赔偿，此外，乙方还应向甲方承担合同总金额5%的违约金。 （六）乙方应对其服务及服务成果的合法性、科学性、有效性、客观性、真实性负责，否则，相关责任及纠纷由乙方承担，对甲方造成损失的，乙方应予赔偿，此外，乙方还应向甲方承担合同总金额5%的违约金。 （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（八）乙方未按合同约定或甲方要求提供服务的，每出现一次应承担合同总价款5%的违约金，出现3次的，甲方有权单方解除本合同，给甲方造成损失的，乙方还应予以赔偿。 （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合同争议的解决 在执行本合同中发生的或与本合同有关的争端，双方应通过友好协商解决，经协商无法解决的，应向甲方所在地有管辖权的人民法院提请诉讼。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文件中“所属行业”应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依法不需要缴纳社会保障资金的供应商应提供相关文件证明；（4）提供供应商具备履行合同所必需的设备和专业技术能力的证明材料；（5）供应商参加本次采购活动3年内，在经营活动中没有重大违法记录以及未被列入失信被执行人、重大税收违法案件当事人名单、政府采购严重违法失信行为记录名单的书面声明；（6）法定代表人（单位负责人）参加投标的，提供本人身份证；法定代表人（单位负责人）授权他人参加投标的，提供法定代表人委托授权书并出示被授权代表的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供应商2024年或2025年度经审计的财务会计报告，包括 “四表一注” 或者提供响应文件截止时间前3个月内其基本账户开户银行出具的资信证明；供应商成立不到1年的，可提供企业任意时段财务报表；供应商为公益类事业单位或者自然人的无需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3.异常低价响应审查程序 在评审中出现下列情形之一的，磋商小组应当启动异常低价响应审查程序： （1）响应报价低于全部通过符合性审查供应商响应报价平均值50%（最高不得超过65%）的，即响应报价&lt;全部通过符合性审查供应商响应报价平均值×50%；  （2）响应报价低于通过符合性审查的次低报价供应商响应报价50%（最高不得超过65%）的，即响应报价&lt;通过符合性审查的次低报价供应商响应报价×50%；  （3）响应报价低于采购项目最高限价45%（最高不得超过65%）的，即响应报价&lt;采购项目最高限价×45%；  （4）磋商小组基于专业判断，认为供应商报价过低，有可能影响产品质量或者不能诚信履约的其他情形。 相关法律法规对供应商报价有规定的，从其规定。 4.磋商小组启动异常低价响应审查后，属于前述异常低价响应审查程序的启动第1项至第4项情形的，应当要求相关供应商在评审现场对响应价格作出解释，提供项目具体成本测算等与报价合理性相关的书面说明及必要的证明材料，包括但不限于原材料成本、人工成本、制造费用等，磋商小组应当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  5.异常低价响应审查的启动原因、审查意见和审查结果应当在评审报告中记录，并随供应商提供的相关书面说明及证明材料，以及磋商小组有关互联网浏览、查询历史一并归档。  6.在评审过程中，发现磋商小组未按规定对异常低价开展审查的，采购人、采购代理机构应当予以纠正，拒不改正的，应当及时报告同级财政部门。 7.磋商小组未按规定对异常低价开展审查的，财政部门依法予以纠正并追究评审专家的法律责任。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商务应答表 商务技术资料.docx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符合“响应格式”的规定</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商务技术资料.docx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按磋商文件要求签署、盖章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商务技术资料.docx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只能有一个有效报价，不得提交选择性报价，且报价不超过磋商文件规定的采购预算或最高限价</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 2026 年 11 月 30 日</w:t>
            </w:r>
          </w:p>
        </w:tc>
        <w:tc>
          <w:tcPr>
            <w:tcW w:type="dxa" w:w="1661"/>
          </w:tcPr>
          <w:p>
            <w:pPr>
              <w:pStyle w:val="null3"/>
            </w:pPr>
            <w:r>
              <w:rPr>
                <w:rFonts w:ascii="仿宋_GB2312" w:hAnsi="仿宋_GB2312" w:cs="仿宋_GB2312" w:eastAsia="仿宋_GB2312"/>
              </w:rPr>
              <w:t>响应文件封面 服务内容及服务邀请应答表 商务应答表 商务技术资料.docx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满足现行的技术规范、规程、指南要求，达到采购人技术咨询目的，通过采购人审查和验收。</w:t>
            </w:r>
          </w:p>
        </w:tc>
        <w:tc>
          <w:tcPr>
            <w:tcW w:type="dxa" w:w="1661"/>
          </w:tcPr>
          <w:p>
            <w:pPr>
              <w:pStyle w:val="null3"/>
            </w:pPr>
            <w:r>
              <w:rPr>
                <w:rFonts w:ascii="仿宋_GB2312" w:hAnsi="仿宋_GB2312" w:cs="仿宋_GB2312" w:eastAsia="仿宋_GB2312"/>
              </w:rPr>
              <w:t>响应文件封面 服务内容及服务邀请应答表 商务应答表 商务技术资料.docx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响应文件封面 服务内容及服务邀请应答表 商务应答表 商务技术资料.docx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商务应答表 商务技术资料.docx 标的清单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商务技术资料.docx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本项目提供人员保障措施</w:t>
            </w:r>
          </w:p>
        </w:tc>
        <w:tc>
          <w:tcPr>
            <w:tcW w:type="dxa" w:w="2492"/>
          </w:tcPr>
          <w:p>
            <w:pPr>
              <w:pStyle w:val="null3"/>
            </w:pPr>
            <w:r>
              <w:rPr>
                <w:rFonts w:ascii="仿宋_GB2312" w:hAnsi="仿宋_GB2312" w:cs="仿宋_GB2312" w:eastAsia="仿宋_GB2312"/>
              </w:rPr>
              <w:t>一、评审内容：①管理机构及岗位职责制度②专业技术人员投入（如覆盖软件开发、数据库管理、系统运维及安全保密等关键岗位） 二、评审标准:措施内容必须全面，对评审内容中的各项要求有详细描述；切合本项目实际情况，提出步骤清晰、合理的措施及配备方案； 三、赋分依据(满分5分) （1）管理机构及岗位职责制度，此评审满分2分，完全满足得满分，存在不合理的方面扣0.5分，针对每条评审标准，内容与本项目无关或未提供得0分； （2）专业技术人员投入（如覆盖软件开发、数据库管理、系统运维及安全保密等关键岗位），此评审满分3分，完全满足得满分，存在不合理的方面扣0.5分，针对每条评审标准，内容与本项目无关或未提供得0分；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拟派项目团队人员配备实力</w:t>
            </w:r>
          </w:p>
        </w:tc>
        <w:tc>
          <w:tcPr>
            <w:tcW w:type="dxa" w:w="2492"/>
          </w:tcPr>
          <w:p>
            <w:pPr>
              <w:pStyle w:val="null3"/>
            </w:pPr>
            <w:r>
              <w:rPr>
                <w:rFonts w:ascii="仿宋_GB2312" w:hAnsi="仿宋_GB2312" w:cs="仿宋_GB2312" w:eastAsia="仿宋_GB2312"/>
              </w:rPr>
              <w:t>一、项目负责人①具有计算机相关专业中级及以上技术职称，得2分；；②近5年（2021年1月1日至今，以合同签订时间为准）承担过与本项目服务内容类似的业绩。每提供1个得0.5分，最高得1.5分。（与企业业绩相同的不再重复得分） 二、拟投入本项目的技术团队人员不少于3人（不包含项目负责人，相关证书等证明文件）。每人0.5分，最高1.5分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一、评审内容：具有日常运维方案①日常巡检、日常运行保障、数据安全保障、常规操作解释等；②具有平台修复方案(包括但不限于系统、业务、网络和数据等问题)；③具有系统和业务流程优化方案。 二、评审标准： （1）合理性：内容全面详尽，对各方面有详细的描述和说明。 （2）可实施性：项目切合实际，进度控制合理、思路清晰，科学合理。 （3）针对性：方案编制紧扣项目特点和采购需求，针对性强，整体性高。 三、赋分标准（满分15分） （1）日常巡检、日常运行保障、数据安全保障、常规操作解释等，此评审满分6分，每完全满足一项评审标准得2分，针对每条评审标准，如存在不合理的方面扣0.5分，针对每条评审标准，内容与本项目无关或未提供得0分； （2）具有平台修复方案(包括但不限于系统、业务、网络和数据等问题)，此评审满分6分，每完全满足一项评审标准得2分，针对每条评审标准，如存在不合理的方面扣0.5分，针对每条评审标准，内容与本项目无关或未提供得0分； （3）具有系统和业务流程优化方案，此评审满分3分，每完全满足一项评审标准得1分，针对每条评审标准，如存在不合理的方面扣0.3分，针对每条评审标准，内容与本项目无关或未提供得0分；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进度计划与管理</w:t>
            </w:r>
          </w:p>
        </w:tc>
        <w:tc>
          <w:tcPr>
            <w:tcW w:type="dxa" w:w="2492"/>
          </w:tcPr>
          <w:p>
            <w:pPr>
              <w:pStyle w:val="null3"/>
            </w:pPr>
            <w:r>
              <w:rPr>
                <w:rFonts w:ascii="仿宋_GB2312" w:hAnsi="仿宋_GB2312" w:cs="仿宋_GB2312" w:eastAsia="仿宋_GB2312"/>
              </w:rPr>
              <w:t>一、评审内容：根据响应文件中的服务方案进行评审，包括①项目实施进度计划和管理方案；②系统部署、测试和试运行方案；③验收和成果交付方案。 二、评审标准： （1）合理性：项目切合实际，进度控制合理、思路清晰，科学合理。 （2）可实施性：切合本项目实际情况，计划及措施清晰、可实施； （3）针对性：方案编制紧扣项目特点和采购需求，针对性强，整体性高。 三、赋分标准（满分9分） （1）项目实施进度计划和管理方案，此评审满分3分，每完全满足一项评审标准得1分，针对每条评审标准，如存在不合理的方面扣0.3分，针对每条评审标准，内容与本项目无关或未提供得0分； （2）系统部署、测试和试运行方案，此评审满分3分，每完全满足一项评审标准得1分，针对每条评审标准，如存在不合理的方面扣0.3分，针对每条评审标准，内容与本项目无关或未提供得0分； （3）验收和成果交付方案，此评审满分3分，每完全满足一项评审标准得1分，针对每条评审标准，如存在不合理的方面扣0.3分，针对每条评审标准，内容与本项目无关或未提供得0分；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关键点、难点分析</w:t>
            </w:r>
          </w:p>
        </w:tc>
        <w:tc>
          <w:tcPr>
            <w:tcW w:type="dxa" w:w="2492"/>
          </w:tcPr>
          <w:p>
            <w:pPr>
              <w:pStyle w:val="null3"/>
            </w:pPr>
            <w:r>
              <w:rPr>
                <w:rFonts w:ascii="仿宋_GB2312" w:hAnsi="仿宋_GB2312" w:cs="仿宋_GB2312" w:eastAsia="仿宋_GB2312"/>
              </w:rPr>
              <w:t>一、评审内容：供应商应充分结合项目特点对本项目的关键点、难点进行分析，并且能够提出解决对策，内容包括①关键点、难点进行分析②解决对策 二、评审标准： （1）合理性：分析内容全面合理，对各方面有详细的描述和说明。 （2）针对性：分析紧扣项目特点和采购需求，针对性强，整体性高。 三、赋分标准（满分10分） （1）关键点、难点进行分析，此评审满分6分，每完全满足一项评审标准得3分，针对每条评审标准，如存在不合理的方面扣0.4分，针对每条评审标准，内容与本项目无关或未提供得0分； （2）解决对策，此评审满分4分，每完全满足一项评审标准得2分，针对每条评审标准，如存在不合理的方面扣0.4分，针对每条评审标准，内容与本项目无关或未提供得0分；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一、评审内容：根据响应文件中的培训方案进行评价，培训内容应包括①系统操作；②排除简单故障等各个方面。 二、评审标准： （1）合理性：培训内容切实可行，合理、思路清晰，科学合理； （2）可实施性：结合本项目实际情况，操作方便清晰、可实施； （3）针对性：紧扣项目特点和采购需求，针对性强，整体性高。 三、赋分标准：（满分9分） （1）系统操作，此评审满分4.5分，每完全满足一项评审标准得1.5分，针对每条评审标准，如存在不合理的方面扣0.4分，针对每条评审标准，内容与本项目无关或未提供得0分； （2）排除简单故障，此评审满分4.5分，每完全满足一项评审标准得1.5分，针对每条评审标准，如存在不合理的方面扣0.4分，针对每条评审标准，内容与本项目无关或未提供得0分；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售后服务要求</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1.电话咨询：成交供应商为采购人提供24小时技术援助电话，解答采购人在使用中遇到的问题，及时为采购人提出解决问题的建议。；2.现场响应：采购人遇到使用及技术问题，电话咨询不能解决的，成交供应商应在0.5小时内电话响应，2小时内电话解决问题，如有需要8小时内到达故障现场解决问题，24小时内解决完问题，确保系统正常运行。 二、评审标准 （1）合理性：内容全面详尽，对各方面有详细的描述和说明。 （2）针对性：方案编制紧扣项目特点和采购需求，针对性强，整体性高。 三、赋分标准（满分16分） （1）电话咨询，此评审满分8分，每完全满足一项评审标准得4分，针对每条评审标准，如存在不合理的方面扣1分，针对每条评审标准，内容与本项目无关或未提供得0分； （2）现场响应，此评审满分8分，每完全满足一项评审标准得4分，针对每条评审标准，如存在不合理的方面扣1分，针对每条评审标准，内容与本项目无关或未提供得0分；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提供突发事件应急预案，内容有应急预案的响应程序和演练程序等（结合采购人现有应用系统运行现状和环境现状提交可能发生的突发事件应急预案，方案中包含但不限于①模拟事件案例、处置流程、事件响应时间、应急人员分工、故障诊断及排除时间要求等）进行评分。 二、评审标准： （1）合理性：内容全面，对评审内容中的各项要求有详细描述； （2）可实施性：切合本项目实际情况，实施步骤清晰、合理； （3）针对性：方案能够紧扣项目实际情况，内容科学合理。 三、赋分标准：（满分6分） 此评审项满分6分，每完全满足一条评审标准得2分；针对每条评审标准，如存在不合理的方面，扣1分；针对每条评审标准，内容与本项目无关或未提供的，得0分。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近三年(2023年1月1日至今)具有类似项目业绩的，每提供一项得2分，最高得10分。(以合同关键页采购内容、签订时间、盖章签字页复印件为准，未提供不得分)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满足磋商文件要求且磋商价格最低的磋商报价为评标基准价，其价格分为满分。最低磋商报价不是中标的唯一依据。因落实政府采购政策进行价格调整的，以调整后的价格计算评标基准价和磋商报价，价格分按照下列公式计算。 磋商报价得分=（评标基准价／最后磋商报价）×100×15%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详见附件：商务技术资料.docx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详见附件：养护单位资质服务合同(1).docx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