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6081D4">
      <w:pPr>
        <w:kinsoku w:val="0"/>
        <w:spacing w:line="600" w:lineRule="exact"/>
        <w:jc w:val="center"/>
        <w:outlineLvl w:val="0"/>
        <w:rPr>
          <w:rFonts w:hint="eastAsia" w:ascii="宋体" w:hAnsi="宋体" w:eastAsia="宋体" w:cs="宋体"/>
          <w:sz w:val="28"/>
          <w:szCs w:val="28"/>
        </w:rPr>
      </w:pPr>
      <w:r>
        <w:rPr>
          <w:rFonts w:hint="eastAsia" w:ascii="宋体" w:hAnsi="宋体" w:eastAsia="宋体" w:cs="宋体"/>
          <w:b/>
          <w:sz w:val="32"/>
          <w:szCs w:val="32"/>
        </w:rPr>
        <w:t>合同主要条款</w:t>
      </w:r>
    </w:p>
    <w:p w14:paraId="439050D1">
      <w:pPr>
        <w:snapToGrid w:val="0"/>
        <w:spacing w:line="360" w:lineRule="auto"/>
        <w:ind w:firstLine="480" w:firstLineChars="200"/>
        <w:rPr>
          <w:rFonts w:hint="eastAsia" w:ascii="宋体" w:hAnsi="宋体" w:eastAsia="宋体" w:cs="宋体"/>
          <w:sz w:val="24"/>
        </w:rPr>
      </w:pPr>
    </w:p>
    <w:p w14:paraId="6ACFF31D">
      <w:pPr>
        <w:snapToGrid w:val="0"/>
        <w:spacing w:line="360" w:lineRule="auto"/>
        <w:ind w:firstLine="480" w:firstLineChars="200"/>
        <w:rPr>
          <w:rFonts w:hint="eastAsia" w:ascii="宋体" w:hAnsi="宋体" w:eastAsia="宋体" w:cs="宋体"/>
          <w:sz w:val="24"/>
        </w:rPr>
      </w:pPr>
    </w:p>
    <w:p w14:paraId="3599565C">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项目名称：                                    编号：</w:t>
      </w:r>
    </w:p>
    <w:p w14:paraId="2D4B1939">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甲方（采购人）：    </w:t>
      </w:r>
    </w:p>
    <w:p w14:paraId="42F68159">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法人代表：            </w:t>
      </w:r>
    </w:p>
    <w:p w14:paraId="15F336E9">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地址：</w:t>
      </w:r>
    </w:p>
    <w:p w14:paraId="2505158A">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乙方（成交供应商）：</w:t>
      </w:r>
    </w:p>
    <w:p w14:paraId="79A9E220">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法人代表：</w:t>
      </w:r>
    </w:p>
    <w:p w14:paraId="37843804">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地址：</w:t>
      </w:r>
    </w:p>
    <w:p w14:paraId="1B276F2B">
      <w:pPr>
        <w:tabs>
          <w:tab w:val="left" w:pos="8280"/>
        </w:tabs>
        <w:spacing w:line="560" w:lineRule="exact"/>
        <w:rPr>
          <w:rFonts w:hint="eastAsia" w:ascii="宋体" w:hAnsi="宋体" w:eastAsia="宋体" w:cs="宋体"/>
          <w:b/>
          <w:sz w:val="24"/>
        </w:rPr>
      </w:pPr>
      <w:r>
        <w:rPr>
          <w:rFonts w:hint="eastAsia" w:ascii="宋体" w:hAnsi="宋体" w:eastAsia="宋体" w:cs="宋体"/>
          <w:b/>
          <w:sz w:val="24"/>
        </w:rPr>
        <w:t>第一条：合同项目</w:t>
      </w:r>
    </w:p>
    <w:p w14:paraId="4137B09D">
      <w:pPr>
        <w:tabs>
          <w:tab w:val="left" w:pos="8280"/>
        </w:tabs>
        <w:spacing w:line="560" w:lineRule="exact"/>
        <w:ind w:firstLine="480"/>
        <w:rPr>
          <w:rFonts w:hint="eastAsia" w:ascii="宋体" w:hAnsi="宋体" w:eastAsia="宋体" w:cs="宋体"/>
          <w:sz w:val="24"/>
          <w:u w:val="none"/>
          <w:lang w:val="en-US" w:eastAsia="zh-CN"/>
        </w:rPr>
      </w:pPr>
      <w:r>
        <w:rPr>
          <w:rFonts w:hint="eastAsia" w:ascii="宋体" w:hAnsi="宋体" w:eastAsia="宋体" w:cs="宋体"/>
          <w:sz w:val="24"/>
        </w:rPr>
        <w:t>1.1</w:t>
      </w:r>
      <w:r>
        <w:rPr>
          <w:rFonts w:hint="eastAsia" w:ascii="宋体" w:hAnsi="宋体" w:cs="宋体"/>
          <w:sz w:val="24"/>
          <w:lang w:val="en-US" w:eastAsia="zh-CN"/>
        </w:rPr>
        <w:t xml:space="preserve"> 2025年生猪优势特色产业集群项目</w:t>
      </w:r>
      <w:r>
        <w:rPr>
          <w:rFonts w:hint="eastAsia" w:ascii="宋体" w:hAnsi="宋体" w:eastAsia="宋体" w:cs="宋体"/>
          <w:sz w:val="24"/>
          <w:lang w:val="en-US" w:eastAsia="zh-CN"/>
        </w:rPr>
        <w:t xml:space="preserve"> </w:t>
      </w:r>
    </w:p>
    <w:p w14:paraId="493E1692">
      <w:pPr>
        <w:tabs>
          <w:tab w:val="left" w:pos="8280"/>
        </w:tabs>
        <w:spacing w:line="560" w:lineRule="exact"/>
        <w:ind w:firstLine="480"/>
        <w:rPr>
          <w:rFonts w:hint="eastAsia" w:ascii="宋体" w:hAnsi="宋体" w:eastAsia="宋体" w:cs="宋体"/>
          <w:sz w:val="24"/>
        </w:rPr>
      </w:pPr>
      <w:r>
        <w:rPr>
          <w:rFonts w:hint="eastAsia" w:ascii="宋体" w:hAnsi="宋体" w:eastAsia="宋体" w:cs="宋体"/>
          <w:sz w:val="24"/>
        </w:rPr>
        <w:t>1.2 项目名称、</w:t>
      </w:r>
      <w:r>
        <w:rPr>
          <w:rFonts w:hint="eastAsia" w:ascii="宋体" w:hAnsi="宋体" w:eastAsia="宋体" w:cs="宋体"/>
          <w:sz w:val="24"/>
          <w:lang w:eastAsia="zh-CN"/>
        </w:rPr>
        <w:t>采购</w:t>
      </w:r>
      <w:r>
        <w:rPr>
          <w:rFonts w:hint="eastAsia" w:ascii="宋体" w:hAnsi="宋体" w:eastAsia="宋体" w:cs="宋体"/>
          <w:sz w:val="24"/>
        </w:rPr>
        <w:t>内容、金额</w:t>
      </w:r>
    </w:p>
    <w:p w14:paraId="72DE71D5">
      <w:pPr>
        <w:tabs>
          <w:tab w:val="left" w:pos="8280"/>
        </w:tabs>
        <w:spacing w:line="560" w:lineRule="exact"/>
        <w:ind w:firstLine="480"/>
        <w:rPr>
          <w:rFonts w:hint="eastAsia" w:ascii="宋体" w:hAnsi="宋体" w:eastAsia="宋体" w:cs="宋体"/>
          <w:sz w:val="24"/>
        </w:rPr>
      </w:pPr>
      <w:r>
        <w:rPr>
          <w:rFonts w:hint="eastAsia" w:ascii="宋体" w:hAnsi="宋体" w:eastAsia="宋体" w:cs="宋体"/>
          <w:sz w:val="24"/>
        </w:rPr>
        <w:t>（略）</w:t>
      </w:r>
    </w:p>
    <w:p w14:paraId="71104A96">
      <w:pPr>
        <w:tabs>
          <w:tab w:val="left" w:pos="8280"/>
        </w:tabs>
        <w:spacing w:line="560" w:lineRule="exact"/>
        <w:rPr>
          <w:rFonts w:hint="eastAsia" w:ascii="宋体" w:hAnsi="宋体" w:eastAsia="宋体" w:cs="宋体"/>
          <w:b/>
          <w:sz w:val="24"/>
        </w:rPr>
      </w:pPr>
      <w:r>
        <w:rPr>
          <w:rFonts w:hint="eastAsia" w:ascii="宋体" w:hAnsi="宋体" w:eastAsia="宋体" w:cs="宋体"/>
          <w:b/>
          <w:sz w:val="24"/>
        </w:rPr>
        <w:t>第二条：合同金额</w:t>
      </w:r>
    </w:p>
    <w:p w14:paraId="4C786D92">
      <w:pPr>
        <w:tabs>
          <w:tab w:val="left" w:pos="8280"/>
        </w:tabs>
        <w:spacing w:line="560" w:lineRule="exact"/>
        <w:ind w:firstLine="480"/>
        <w:rPr>
          <w:rFonts w:hint="eastAsia" w:ascii="宋体" w:hAnsi="宋体" w:eastAsia="宋体" w:cs="宋体"/>
          <w:sz w:val="24"/>
        </w:rPr>
      </w:pPr>
      <w:r>
        <w:rPr>
          <w:rFonts w:hint="eastAsia" w:ascii="宋体" w:hAnsi="宋体" w:eastAsia="宋体" w:cs="宋体"/>
          <w:sz w:val="24"/>
        </w:rPr>
        <w:t>2. 总价为人民币</w:t>
      </w:r>
      <w:r>
        <w:rPr>
          <w:rFonts w:hint="eastAsia" w:ascii="宋体" w:hAnsi="宋体" w:eastAsia="宋体" w:cs="宋体"/>
          <w:sz w:val="24"/>
          <w:u w:val="single"/>
        </w:rPr>
        <w:t xml:space="preserve">                            </w:t>
      </w:r>
      <w:r>
        <w:rPr>
          <w:rFonts w:hint="eastAsia" w:ascii="宋体" w:hAnsi="宋体" w:eastAsia="宋体" w:cs="宋体"/>
          <w:sz w:val="24"/>
        </w:rPr>
        <w:t>（总价</w:t>
      </w:r>
      <w:r>
        <w:rPr>
          <w:rFonts w:hint="eastAsia" w:ascii="宋体" w:hAnsi="宋体" w:eastAsia="宋体" w:cs="宋体"/>
          <w:sz w:val="24"/>
          <w:lang w:val="zh-CN"/>
        </w:rPr>
        <w:t>为项目完成的全部费用）。</w:t>
      </w:r>
    </w:p>
    <w:p w14:paraId="390DA45F">
      <w:pPr>
        <w:tabs>
          <w:tab w:val="left" w:pos="8280"/>
        </w:tabs>
        <w:spacing w:line="560" w:lineRule="exact"/>
        <w:rPr>
          <w:rFonts w:hint="eastAsia" w:ascii="宋体" w:hAnsi="宋体" w:eastAsia="宋体" w:cs="宋体"/>
          <w:b/>
          <w:sz w:val="24"/>
        </w:rPr>
      </w:pPr>
      <w:r>
        <w:rPr>
          <w:rFonts w:hint="eastAsia" w:ascii="宋体" w:hAnsi="宋体" w:eastAsia="宋体" w:cs="宋体"/>
          <w:b/>
          <w:sz w:val="24"/>
        </w:rPr>
        <w:t>第三条:</w:t>
      </w:r>
      <w:r>
        <w:rPr>
          <w:rFonts w:hint="eastAsia" w:ascii="宋体" w:hAnsi="宋体" w:cs="宋体"/>
          <w:b/>
          <w:sz w:val="24"/>
          <w:lang w:val="en-US" w:eastAsia="zh-CN"/>
        </w:rPr>
        <w:t>交货</w:t>
      </w:r>
      <w:r>
        <w:rPr>
          <w:rFonts w:hint="eastAsia" w:ascii="宋体" w:hAnsi="宋体" w:eastAsia="宋体" w:cs="宋体"/>
          <w:b/>
          <w:sz w:val="24"/>
        </w:rPr>
        <w:t>期及付款方式</w:t>
      </w:r>
    </w:p>
    <w:p w14:paraId="544D4D6B">
      <w:pPr>
        <w:autoSpaceDE w:val="0"/>
        <w:autoSpaceDN w:val="0"/>
        <w:adjustRightInd w:val="0"/>
        <w:spacing w:line="560" w:lineRule="exact"/>
        <w:ind w:firstLine="434" w:firstLineChars="181"/>
        <w:rPr>
          <w:rFonts w:hint="eastAsia" w:ascii="宋体" w:hAnsi="宋体" w:eastAsia="宋体" w:cs="宋体"/>
          <w:sz w:val="24"/>
          <w:lang w:val="zh-CN"/>
        </w:rPr>
      </w:pPr>
      <w:r>
        <w:rPr>
          <w:rFonts w:hint="eastAsia" w:ascii="宋体" w:hAnsi="宋体" w:eastAsia="宋体" w:cs="宋体"/>
          <w:sz w:val="24"/>
        </w:rPr>
        <w:t>3.1</w:t>
      </w:r>
      <w:r>
        <w:rPr>
          <w:rFonts w:hint="eastAsia" w:ascii="宋体" w:hAnsi="宋体" w:eastAsia="宋体" w:cs="宋体"/>
          <w:sz w:val="24"/>
          <w:lang w:val="zh-CN"/>
        </w:rPr>
        <w:t>本次项目成交人必须于签订合同后</w:t>
      </w:r>
      <w:r>
        <w:rPr>
          <w:rFonts w:hint="eastAsia" w:ascii="宋体" w:hAnsi="宋体" w:eastAsia="宋体" w:cs="宋体"/>
          <w:sz w:val="24"/>
          <w:u w:val="single"/>
          <w:lang w:val="zh-CN"/>
        </w:rPr>
        <w:t xml:space="preserve"> </w:t>
      </w:r>
      <w:r>
        <w:rPr>
          <w:rFonts w:hint="eastAsia" w:ascii="宋体" w:hAnsi="宋体" w:eastAsia="宋体" w:cs="宋体"/>
          <w:sz w:val="24"/>
          <w:u w:val="single"/>
          <w:lang w:val="en-US" w:eastAsia="zh-CN"/>
        </w:rPr>
        <w:t>30</w:t>
      </w:r>
      <w:r>
        <w:rPr>
          <w:rFonts w:hint="eastAsia" w:ascii="宋体" w:hAnsi="宋体" w:eastAsia="宋体" w:cs="宋体"/>
          <w:sz w:val="24"/>
          <w:u w:val="single"/>
          <w:lang w:val="zh-CN"/>
        </w:rPr>
        <w:t xml:space="preserve"> </w:t>
      </w:r>
      <w:r>
        <w:rPr>
          <w:rFonts w:hint="eastAsia" w:ascii="宋体" w:hAnsi="宋体" w:eastAsia="宋体" w:cs="宋体"/>
          <w:sz w:val="24"/>
          <w:lang w:val="zh-CN"/>
        </w:rPr>
        <w:t>日内供货并安装、调试。</w:t>
      </w:r>
    </w:p>
    <w:p w14:paraId="7D234BE9">
      <w:pPr>
        <w:autoSpaceDE w:val="0"/>
        <w:autoSpaceDN w:val="0"/>
        <w:adjustRightInd w:val="0"/>
        <w:spacing w:line="560" w:lineRule="exact"/>
        <w:ind w:firstLine="434" w:firstLineChars="181"/>
        <w:rPr>
          <w:rFonts w:hint="eastAsia" w:ascii="宋体" w:hAnsi="宋体" w:eastAsia="宋体" w:cs="宋体"/>
          <w:sz w:val="24"/>
        </w:rPr>
      </w:pPr>
      <w:r>
        <w:rPr>
          <w:rFonts w:hint="eastAsia" w:ascii="宋体" w:hAnsi="宋体" w:eastAsia="宋体" w:cs="宋体"/>
          <w:sz w:val="24"/>
          <w:lang w:val="zh-CN"/>
        </w:rPr>
        <w:t>3.2</w:t>
      </w:r>
      <w:r>
        <w:rPr>
          <w:rFonts w:hint="eastAsia" w:ascii="宋体" w:hAnsi="宋体" w:eastAsia="宋体" w:cs="宋体"/>
          <w:sz w:val="24"/>
        </w:rPr>
        <w:t>甲方应该指定专人在现场检验成交供应商所供设备及安装中使用的各种材料，要严格按照</w:t>
      </w:r>
      <w:r>
        <w:rPr>
          <w:rFonts w:hint="eastAsia" w:ascii="宋体" w:hAnsi="宋体" w:eastAsia="宋体" w:cs="宋体"/>
          <w:sz w:val="24"/>
          <w:lang w:eastAsia="zh-CN"/>
        </w:rPr>
        <w:t>招标文件</w:t>
      </w:r>
      <w:r>
        <w:rPr>
          <w:rFonts w:hint="eastAsia" w:ascii="宋体" w:hAnsi="宋体" w:eastAsia="宋体" w:cs="宋体"/>
          <w:sz w:val="24"/>
        </w:rPr>
        <w:t>内容、要求及谈判达成的协议，仔细核对各种设备、材料的技术参数、型号等，核对无误后，方可安装调试。</w:t>
      </w:r>
    </w:p>
    <w:p w14:paraId="7665294A">
      <w:pPr>
        <w:tabs>
          <w:tab w:val="left" w:pos="8280"/>
        </w:tabs>
        <w:spacing w:line="560" w:lineRule="exact"/>
        <w:ind w:firstLine="480" w:firstLineChars="200"/>
        <w:rPr>
          <w:rFonts w:hint="eastAsia" w:ascii="宋体" w:hAnsi="宋体" w:eastAsia="宋体" w:cs="宋体"/>
          <w:sz w:val="24"/>
        </w:rPr>
      </w:pPr>
      <w:r>
        <w:rPr>
          <w:rFonts w:hint="eastAsia" w:ascii="宋体" w:hAnsi="宋体" w:eastAsia="宋体" w:cs="宋体"/>
          <w:sz w:val="24"/>
        </w:rPr>
        <w:t>3.3付款条件说明： 所有货物到达甲方指定地点，安装、调试完毕，设备运转正常并验收合格后，达到付款条件起</w:t>
      </w:r>
      <w:r>
        <w:rPr>
          <w:rFonts w:hint="eastAsia" w:ascii="宋体" w:hAnsi="宋体" w:cs="宋体"/>
          <w:sz w:val="24"/>
          <w:lang w:val="en-US" w:eastAsia="zh-CN"/>
        </w:rPr>
        <w:t>3</w:t>
      </w:r>
      <w:r>
        <w:rPr>
          <w:rFonts w:hint="eastAsia" w:ascii="宋体" w:hAnsi="宋体" w:eastAsia="宋体" w:cs="宋体"/>
          <w:sz w:val="24"/>
        </w:rPr>
        <w:t>0 日内，支付合同总金额的</w:t>
      </w:r>
      <w:r>
        <w:rPr>
          <w:rFonts w:hint="eastAsia" w:ascii="宋体" w:hAnsi="宋体" w:eastAsia="宋体" w:cs="宋体"/>
          <w:sz w:val="24"/>
          <w:lang w:val="en-US" w:eastAsia="zh-CN"/>
        </w:rPr>
        <w:t>100</w:t>
      </w:r>
      <w:r>
        <w:rPr>
          <w:rFonts w:hint="eastAsia" w:ascii="宋体" w:hAnsi="宋体" w:eastAsia="宋体" w:cs="宋体"/>
          <w:sz w:val="24"/>
        </w:rPr>
        <w:t>.00%。</w:t>
      </w:r>
    </w:p>
    <w:p w14:paraId="435FFC9F">
      <w:pPr>
        <w:tabs>
          <w:tab w:val="left" w:pos="8280"/>
        </w:tabs>
        <w:spacing w:line="560" w:lineRule="exact"/>
        <w:rPr>
          <w:rFonts w:hint="eastAsia" w:ascii="宋体" w:hAnsi="宋体" w:eastAsia="宋体" w:cs="宋体"/>
          <w:b/>
          <w:sz w:val="24"/>
        </w:rPr>
      </w:pPr>
      <w:r>
        <w:rPr>
          <w:rFonts w:hint="eastAsia" w:ascii="宋体" w:hAnsi="宋体" w:eastAsia="宋体" w:cs="宋体"/>
          <w:b/>
          <w:sz w:val="24"/>
        </w:rPr>
        <w:t>第四条：售后服务</w:t>
      </w:r>
    </w:p>
    <w:p w14:paraId="776858A2">
      <w:pPr>
        <w:tabs>
          <w:tab w:val="left" w:pos="8280"/>
        </w:tabs>
        <w:spacing w:line="560" w:lineRule="exact"/>
        <w:ind w:firstLine="480"/>
        <w:rPr>
          <w:rFonts w:hint="eastAsia" w:ascii="宋体" w:hAnsi="宋体" w:eastAsia="宋体" w:cs="宋体"/>
          <w:sz w:val="24"/>
        </w:rPr>
      </w:pPr>
      <w:r>
        <w:rPr>
          <w:rFonts w:hint="eastAsia" w:ascii="宋体" w:hAnsi="宋体" w:eastAsia="宋体" w:cs="宋体"/>
          <w:sz w:val="24"/>
        </w:rPr>
        <w:t>4.1 售后期限：安装调试验收合格后</w:t>
      </w:r>
      <w:r>
        <w:rPr>
          <w:rFonts w:hint="eastAsia" w:ascii="宋体" w:hAnsi="宋体" w:cs="宋体"/>
          <w:sz w:val="24"/>
          <w:lang w:val="en-US" w:eastAsia="zh-CN"/>
        </w:rPr>
        <w:t>一</w:t>
      </w:r>
      <w:bookmarkStart w:id="0" w:name="_GoBack"/>
      <w:bookmarkEnd w:id="0"/>
      <w:r>
        <w:rPr>
          <w:rFonts w:hint="eastAsia" w:ascii="宋体" w:hAnsi="宋体" w:eastAsia="宋体" w:cs="宋体"/>
          <w:sz w:val="24"/>
        </w:rPr>
        <w:t>年。</w:t>
      </w:r>
    </w:p>
    <w:p w14:paraId="0C58E679">
      <w:pPr>
        <w:tabs>
          <w:tab w:val="left" w:pos="8280"/>
        </w:tabs>
        <w:spacing w:line="560" w:lineRule="exact"/>
        <w:ind w:firstLine="480"/>
        <w:rPr>
          <w:rFonts w:hint="eastAsia" w:ascii="宋体" w:hAnsi="宋体" w:eastAsia="宋体" w:cs="宋体"/>
          <w:sz w:val="24"/>
        </w:rPr>
      </w:pPr>
      <w:r>
        <w:rPr>
          <w:rFonts w:hint="eastAsia" w:ascii="宋体" w:hAnsi="宋体" w:eastAsia="宋体" w:cs="宋体"/>
          <w:sz w:val="24"/>
        </w:rPr>
        <w:t>4.2响应时间：对于甲方反映的问题，乙方应在12小时内安排人员到现场指导。</w:t>
      </w:r>
    </w:p>
    <w:p w14:paraId="16099B38">
      <w:pPr>
        <w:tabs>
          <w:tab w:val="left" w:pos="8280"/>
        </w:tabs>
        <w:spacing w:line="560" w:lineRule="exact"/>
        <w:rPr>
          <w:rFonts w:hint="eastAsia" w:ascii="宋体" w:hAnsi="宋体" w:eastAsia="宋体" w:cs="宋体"/>
          <w:b/>
          <w:sz w:val="24"/>
        </w:rPr>
      </w:pPr>
      <w:r>
        <w:rPr>
          <w:rFonts w:hint="eastAsia" w:ascii="宋体" w:hAnsi="宋体" w:eastAsia="宋体" w:cs="宋体"/>
          <w:b/>
          <w:sz w:val="24"/>
        </w:rPr>
        <w:t>第五条：双方责任</w:t>
      </w:r>
    </w:p>
    <w:p w14:paraId="60FCB51E">
      <w:pPr>
        <w:tabs>
          <w:tab w:val="left" w:pos="8280"/>
        </w:tabs>
        <w:spacing w:line="560" w:lineRule="exact"/>
        <w:ind w:firstLine="480" w:firstLineChars="200"/>
        <w:rPr>
          <w:rFonts w:hint="eastAsia" w:ascii="宋体" w:hAnsi="宋体" w:eastAsia="宋体" w:cs="宋体"/>
          <w:sz w:val="24"/>
        </w:rPr>
      </w:pPr>
      <w:r>
        <w:rPr>
          <w:rFonts w:hint="eastAsia" w:ascii="宋体" w:hAnsi="宋体" w:eastAsia="宋体" w:cs="宋体"/>
          <w:sz w:val="24"/>
        </w:rPr>
        <w:t>5.1 甲方有义务给乙方提供正常、方便的供货环境。</w:t>
      </w:r>
    </w:p>
    <w:p w14:paraId="58AC4102">
      <w:pPr>
        <w:tabs>
          <w:tab w:val="left" w:pos="8280"/>
        </w:tabs>
        <w:spacing w:line="560" w:lineRule="exact"/>
        <w:ind w:firstLine="480" w:firstLineChars="200"/>
        <w:rPr>
          <w:rFonts w:hint="eastAsia" w:ascii="宋体" w:hAnsi="宋体" w:eastAsia="宋体" w:cs="宋体"/>
          <w:sz w:val="24"/>
        </w:rPr>
      </w:pPr>
      <w:r>
        <w:rPr>
          <w:rFonts w:hint="eastAsia" w:ascii="宋体" w:hAnsi="宋体" w:eastAsia="宋体" w:cs="宋体"/>
          <w:sz w:val="24"/>
        </w:rPr>
        <w:t>5.2甲方负责在项目实施中配合工作，需指派专人负责与乙方就项目实施细则进行沟通与实施确认，保证项目实施的顺畅。</w:t>
      </w:r>
    </w:p>
    <w:p w14:paraId="5329BD50">
      <w:pPr>
        <w:tabs>
          <w:tab w:val="left" w:pos="8280"/>
        </w:tabs>
        <w:spacing w:line="560" w:lineRule="exact"/>
        <w:ind w:firstLine="480" w:firstLineChars="200"/>
        <w:rPr>
          <w:rFonts w:hint="eastAsia" w:ascii="宋体" w:hAnsi="宋体" w:eastAsia="宋体" w:cs="宋体"/>
          <w:sz w:val="24"/>
        </w:rPr>
      </w:pPr>
      <w:r>
        <w:rPr>
          <w:rFonts w:hint="eastAsia" w:ascii="宋体" w:hAnsi="宋体" w:eastAsia="宋体" w:cs="宋体"/>
          <w:sz w:val="24"/>
        </w:rPr>
        <w:t>5.3 乙方负责按合同规定的期限内按时供货。如因客观原因引起不能按时供货，需提前3日向甲方说明原因，协商解决。由甲方原因引起工期延期，乙方不承担责任。</w:t>
      </w:r>
    </w:p>
    <w:p w14:paraId="034573B9">
      <w:pPr>
        <w:tabs>
          <w:tab w:val="left" w:pos="8280"/>
        </w:tabs>
        <w:spacing w:line="560" w:lineRule="exact"/>
        <w:ind w:firstLine="480" w:firstLineChars="200"/>
        <w:rPr>
          <w:rFonts w:hint="eastAsia" w:ascii="宋体" w:hAnsi="宋体" w:eastAsia="宋体" w:cs="宋体"/>
          <w:sz w:val="24"/>
        </w:rPr>
      </w:pPr>
      <w:r>
        <w:rPr>
          <w:rFonts w:hint="eastAsia" w:ascii="宋体" w:hAnsi="宋体" w:eastAsia="宋体" w:cs="宋体"/>
          <w:sz w:val="24"/>
        </w:rPr>
        <w:t>5.4 甲方应按照合同规定的时间支付款项，如不能按时付款，甲方应按合同额的0.3%/天向乙方支付违约金。由乙方的原因引起的工期延期，乙方应按合同额的0.3%/天向甲方支付违约金。</w:t>
      </w:r>
    </w:p>
    <w:p w14:paraId="1DD00839">
      <w:pPr>
        <w:tabs>
          <w:tab w:val="left" w:pos="8280"/>
        </w:tabs>
        <w:spacing w:line="560" w:lineRule="exact"/>
        <w:ind w:firstLine="480" w:firstLineChars="200"/>
        <w:rPr>
          <w:rFonts w:hint="eastAsia" w:ascii="宋体" w:hAnsi="宋体" w:eastAsia="宋体" w:cs="宋体"/>
          <w:sz w:val="24"/>
        </w:rPr>
      </w:pPr>
      <w:r>
        <w:rPr>
          <w:rFonts w:hint="eastAsia" w:ascii="宋体" w:hAnsi="宋体" w:eastAsia="宋体" w:cs="宋体"/>
          <w:sz w:val="24"/>
        </w:rPr>
        <w:t>5.5乙方在实施本项目过程中发生的所有工伤事故自行负担，与甲方无关。</w:t>
      </w:r>
    </w:p>
    <w:p w14:paraId="49B65459">
      <w:pPr>
        <w:tabs>
          <w:tab w:val="left" w:pos="8280"/>
        </w:tabs>
        <w:spacing w:line="560" w:lineRule="exact"/>
        <w:rPr>
          <w:rFonts w:hint="eastAsia" w:ascii="宋体" w:hAnsi="宋体" w:eastAsia="宋体" w:cs="宋体"/>
          <w:b/>
          <w:sz w:val="24"/>
        </w:rPr>
      </w:pPr>
      <w:r>
        <w:rPr>
          <w:rFonts w:hint="eastAsia" w:ascii="宋体" w:hAnsi="宋体" w:eastAsia="宋体" w:cs="宋体"/>
          <w:b/>
          <w:sz w:val="24"/>
        </w:rPr>
        <w:t>第六条：争议解决</w:t>
      </w:r>
    </w:p>
    <w:p w14:paraId="080B42C6">
      <w:pPr>
        <w:tabs>
          <w:tab w:val="left" w:pos="8280"/>
        </w:tabs>
        <w:spacing w:line="560" w:lineRule="exact"/>
        <w:ind w:firstLine="480" w:firstLineChars="200"/>
        <w:rPr>
          <w:rFonts w:hint="eastAsia" w:ascii="宋体" w:hAnsi="宋体" w:eastAsia="宋体" w:cs="宋体"/>
          <w:sz w:val="24"/>
        </w:rPr>
      </w:pPr>
      <w:r>
        <w:rPr>
          <w:rFonts w:hint="eastAsia" w:ascii="宋体" w:hAnsi="宋体" w:eastAsia="宋体" w:cs="宋体"/>
          <w:sz w:val="24"/>
        </w:rPr>
        <w:t>6.1 若因履行本合同或与本合同有关事宜所发生的一切争议，双方当事人应通过友好协商方式解决。</w:t>
      </w:r>
    </w:p>
    <w:p w14:paraId="0D3474DA">
      <w:pPr>
        <w:tabs>
          <w:tab w:val="left" w:pos="8280"/>
        </w:tabs>
        <w:spacing w:line="560" w:lineRule="exact"/>
        <w:ind w:firstLine="480" w:firstLineChars="200"/>
        <w:rPr>
          <w:rFonts w:hint="eastAsia" w:ascii="宋体" w:hAnsi="宋体" w:eastAsia="宋体" w:cs="宋体"/>
          <w:sz w:val="24"/>
        </w:rPr>
      </w:pPr>
      <w:r>
        <w:rPr>
          <w:rFonts w:hint="eastAsia" w:ascii="宋体" w:hAnsi="宋体" w:eastAsia="宋体" w:cs="宋体"/>
          <w:sz w:val="24"/>
        </w:rPr>
        <w:t>6.2 如果协商未成，双方同意向甲方所在地仲裁委员会提交仲裁并遵守仲裁规则。</w:t>
      </w:r>
    </w:p>
    <w:p w14:paraId="6B706492">
      <w:pPr>
        <w:tabs>
          <w:tab w:val="left" w:pos="8280"/>
        </w:tabs>
        <w:spacing w:line="560" w:lineRule="exact"/>
        <w:rPr>
          <w:rFonts w:hint="eastAsia" w:ascii="宋体" w:hAnsi="宋体" w:eastAsia="宋体" w:cs="宋体"/>
          <w:b/>
          <w:sz w:val="24"/>
        </w:rPr>
      </w:pPr>
      <w:r>
        <w:rPr>
          <w:rFonts w:hint="eastAsia" w:ascii="宋体" w:hAnsi="宋体" w:eastAsia="宋体" w:cs="宋体"/>
          <w:b/>
          <w:sz w:val="24"/>
        </w:rPr>
        <w:t>第七条：不可抗力</w:t>
      </w:r>
    </w:p>
    <w:p w14:paraId="70A37D92">
      <w:pPr>
        <w:tabs>
          <w:tab w:val="left" w:pos="8280"/>
        </w:tabs>
        <w:spacing w:line="560" w:lineRule="exact"/>
        <w:ind w:firstLine="480" w:firstLineChars="200"/>
        <w:rPr>
          <w:rFonts w:hint="eastAsia" w:ascii="宋体" w:hAnsi="宋体" w:eastAsia="宋体" w:cs="宋体"/>
          <w:sz w:val="24"/>
        </w:rPr>
      </w:pPr>
      <w:r>
        <w:rPr>
          <w:rFonts w:hint="eastAsia" w:ascii="宋体" w:hAnsi="宋体" w:eastAsia="宋体" w:cs="宋体"/>
          <w:sz w:val="24"/>
        </w:rPr>
        <w:t>7.1 因不可抗力或其他意外，使得本合同的履行不可能或无意义时，任一方均可以解除本合同，且不承担违约责任。遭受不可抗力、意外事件的一方通过书面的形式通知对方，本合同即告终止。</w:t>
      </w:r>
    </w:p>
    <w:p w14:paraId="4FC10822">
      <w:pPr>
        <w:tabs>
          <w:tab w:val="left" w:pos="8280"/>
        </w:tabs>
        <w:spacing w:line="560" w:lineRule="exact"/>
        <w:ind w:firstLine="480" w:firstLineChars="200"/>
        <w:rPr>
          <w:rFonts w:hint="eastAsia" w:ascii="宋体" w:hAnsi="宋体" w:eastAsia="宋体" w:cs="宋体"/>
          <w:sz w:val="24"/>
        </w:rPr>
      </w:pPr>
      <w:r>
        <w:rPr>
          <w:rFonts w:hint="eastAsia" w:ascii="宋体" w:hAnsi="宋体" w:eastAsia="宋体" w:cs="宋体"/>
          <w:sz w:val="24"/>
        </w:rPr>
        <w:t>7.2 本合同所称不可抗力、意外事件是指不能预见、不能克服或不能避免且对一方或双方当事人造成重大影响的客观事件，包括自然灾害如洪水、地震、瘟疫流行和风暴等以及社会事件如战争、动乱、政府行为。</w:t>
      </w:r>
    </w:p>
    <w:p w14:paraId="004363D0">
      <w:pPr>
        <w:tabs>
          <w:tab w:val="left" w:pos="8280"/>
        </w:tabs>
        <w:spacing w:line="560" w:lineRule="exact"/>
        <w:rPr>
          <w:rFonts w:hint="eastAsia" w:ascii="宋体" w:hAnsi="宋体" w:eastAsia="宋体" w:cs="宋体"/>
          <w:b/>
          <w:sz w:val="24"/>
        </w:rPr>
      </w:pPr>
      <w:r>
        <w:rPr>
          <w:rFonts w:hint="eastAsia" w:ascii="宋体" w:hAnsi="宋体" w:eastAsia="宋体" w:cs="宋体"/>
          <w:b/>
          <w:sz w:val="24"/>
        </w:rPr>
        <w:t>第八条：其他约定</w:t>
      </w:r>
    </w:p>
    <w:p w14:paraId="6D145649">
      <w:pPr>
        <w:tabs>
          <w:tab w:val="left" w:pos="8280"/>
        </w:tabs>
        <w:spacing w:line="560" w:lineRule="exact"/>
        <w:ind w:firstLine="480" w:firstLineChars="200"/>
        <w:rPr>
          <w:rFonts w:hint="eastAsia" w:ascii="宋体" w:hAnsi="宋体" w:eastAsia="宋体" w:cs="宋体"/>
          <w:sz w:val="24"/>
        </w:rPr>
      </w:pPr>
      <w:r>
        <w:rPr>
          <w:rFonts w:hint="eastAsia" w:ascii="宋体" w:hAnsi="宋体" w:eastAsia="宋体" w:cs="宋体"/>
          <w:sz w:val="24"/>
        </w:rPr>
        <w:t>8.1 本合同的解除、终止或者本合同有关条款的无效，均不影响本合同关于合同的解释、违约责任及争议解决的有关约定的效力。</w:t>
      </w:r>
    </w:p>
    <w:p w14:paraId="55C582C0">
      <w:pPr>
        <w:tabs>
          <w:tab w:val="left" w:pos="8280"/>
        </w:tabs>
        <w:spacing w:line="560" w:lineRule="exact"/>
        <w:ind w:firstLine="480" w:firstLineChars="200"/>
        <w:rPr>
          <w:rFonts w:hint="eastAsia" w:ascii="宋体" w:hAnsi="宋体" w:eastAsia="宋体" w:cs="宋体"/>
          <w:sz w:val="24"/>
        </w:rPr>
      </w:pPr>
      <w:r>
        <w:rPr>
          <w:rFonts w:hint="eastAsia" w:ascii="宋体" w:hAnsi="宋体" w:eastAsia="宋体" w:cs="宋体"/>
          <w:sz w:val="24"/>
        </w:rPr>
        <w:t>8.2 本合同的订立、效力、解释、履行和争议的解决均使用中华人民共和国法律法规。</w:t>
      </w:r>
    </w:p>
    <w:p w14:paraId="606D0019">
      <w:pPr>
        <w:tabs>
          <w:tab w:val="left" w:pos="8280"/>
        </w:tabs>
        <w:spacing w:line="560" w:lineRule="exact"/>
        <w:ind w:firstLine="480" w:firstLineChars="200"/>
        <w:rPr>
          <w:rFonts w:hint="eastAsia" w:ascii="宋体" w:hAnsi="宋体" w:eastAsia="宋体" w:cs="宋体"/>
          <w:sz w:val="24"/>
        </w:rPr>
      </w:pPr>
      <w:r>
        <w:rPr>
          <w:rFonts w:hint="eastAsia" w:ascii="宋体" w:hAnsi="宋体" w:eastAsia="宋体" w:cs="宋体"/>
          <w:sz w:val="24"/>
        </w:rPr>
        <w:t>8.3 如果本合同任何规定与现行法律不符，被确定为无效或无法实施时，本合同的其他所有条款将继续有效。此种情况下，双方将以有效的约定替换该约定，且该有效约定应尽可能接近原约定和本合同相应的精神和宗旨。</w:t>
      </w:r>
    </w:p>
    <w:p w14:paraId="7331481B">
      <w:pPr>
        <w:tabs>
          <w:tab w:val="left" w:pos="8280"/>
        </w:tabs>
        <w:spacing w:line="560" w:lineRule="exact"/>
        <w:ind w:firstLine="480" w:firstLineChars="200"/>
        <w:rPr>
          <w:rFonts w:hint="eastAsia" w:ascii="宋体" w:hAnsi="宋体" w:eastAsia="宋体" w:cs="宋体"/>
          <w:sz w:val="24"/>
        </w:rPr>
      </w:pPr>
      <w:r>
        <w:rPr>
          <w:rFonts w:hint="eastAsia" w:ascii="宋体" w:hAnsi="宋体" w:eastAsia="宋体" w:cs="宋体"/>
          <w:sz w:val="24"/>
        </w:rPr>
        <w:t>8.4 对本合同的理解与解释依据合同目的和文本原意及业界通行的理解和惯例进行，本合同的标题不应影响本合同的解释。</w:t>
      </w:r>
    </w:p>
    <w:p w14:paraId="784C26CB">
      <w:pPr>
        <w:tabs>
          <w:tab w:val="left" w:pos="8280"/>
        </w:tabs>
        <w:spacing w:line="560" w:lineRule="exact"/>
        <w:ind w:firstLine="480" w:firstLineChars="200"/>
        <w:rPr>
          <w:rFonts w:hint="eastAsia" w:ascii="宋体" w:hAnsi="宋体" w:eastAsia="宋体" w:cs="宋体"/>
          <w:sz w:val="24"/>
        </w:rPr>
      </w:pPr>
      <w:r>
        <w:rPr>
          <w:rFonts w:hint="eastAsia" w:ascii="宋体" w:hAnsi="宋体" w:eastAsia="宋体" w:cs="宋体"/>
          <w:sz w:val="24"/>
        </w:rPr>
        <w:t>8.5 经双方协商一致可以对本合同有关条款进行变更，但应以书面形式确认。</w:t>
      </w:r>
    </w:p>
    <w:p w14:paraId="05690479">
      <w:pPr>
        <w:tabs>
          <w:tab w:val="left" w:pos="8280"/>
        </w:tabs>
        <w:spacing w:line="560" w:lineRule="exact"/>
        <w:ind w:firstLine="480" w:firstLineChars="200"/>
        <w:rPr>
          <w:rFonts w:hint="eastAsia" w:ascii="宋体" w:hAnsi="宋体" w:eastAsia="宋体" w:cs="宋体"/>
          <w:sz w:val="24"/>
        </w:rPr>
      </w:pPr>
      <w:r>
        <w:rPr>
          <w:rFonts w:hint="eastAsia" w:ascii="宋体" w:hAnsi="宋体" w:eastAsia="宋体" w:cs="宋体"/>
          <w:sz w:val="24"/>
        </w:rPr>
        <w:t>8.6订立本合同所依法律、法规、规章发生变化，致使本合同无法履行的，经甲乙双方协商同意，可以变更本合同相关内容或者终止合同的履行。</w:t>
      </w:r>
    </w:p>
    <w:p w14:paraId="40C617AC">
      <w:pPr>
        <w:tabs>
          <w:tab w:val="left" w:pos="8280"/>
        </w:tabs>
        <w:spacing w:line="560" w:lineRule="exact"/>
        <w:ind w:firstLine="480" w:firstLineChars="200"/>
        <w:rPr>
          <w:rFonts w:hint="eastAsia" w:ascii="宋体" w:hAnsi="宋体" w:eastAsia="宋体" w:cs="宋体"/>
          <w:sz w:val="24"/>
        </w:rPr>
      </w:pPr>
      <w:r>
        <w:rPr>
          <w:rFonts w:hint="eastAsia" w:ascii="宋体" w:hAnsi="宋体" w:eastAsia="宋体" w:cs="宋体"/>
          <w:sz w:val="24"/>
        </w:rPr>
        <w:t>8.7 甲、乙双方应本着诚实信用的原则履行本合同，任何一方在履行中采用欺诈、胁迫或者暴力的手段，另一方均可解除本合同并有权要求对方赔偿损失。</w:t>
      </w:r>
    </w:p>
    <w:p w14:paraId="3993BE63">
      <w:pPr>
        <w:tabs>
          <w:tab w:val="left" w:pos="8280"/>
        </w:tabs>
        <w:spacing w:line="560" w:lineRule="exact"/>
        <w:rPr>
          <w:rFonts w:hint="eastAsia" w:ascii="宋体" w:hAnsi="宋体" w:eastAsia="宋体" w:cs="宋体"/>
          <w:b/>
          <w:sz w:val="24"/>
        </w:rPr>
      </w:pPr>
      <w:r>
        <w:rPr>
          <w:rFonts w:hint="eastAsia" w:ascii="宋体" w:hAnsi="宋体" w:eastAsia="宋体" w:cs="宋体"/>
          <w:b/>
          <w:sz w:val="24"/>
        </w:rPr>
        <w:t>第九条：附则</w:t>
      </w:r>
    </w:p>
    <w:p w14:paraId="0668E8CE">
      <w:pPr>
        <w:tabs>
          <w:tab w:val="left" w:pos="8280"/>
        </w:tabs>
        <w:spacing w:line="560" w:lineRule="exact"/>
        <w:ind w:firstLine="480" w:firstLineChars="200"/>
        <w:rPr>
          <w:rFonts w:hint="eastAsia" w:ascii="宋体" w:hAnsi="宋体" w:eastAsia="宋体" w:cs="宋体"/>
          <w:sz w:val="24"/>
        </w:rPr>
      </w:pPr>
      <w:r>
        <w:rPr>
          <w:rFonts w:hint="eastAsia" w:ascii="宋体" w:hAnsi="宋体" w:eastAsia="宋体" w:cs="宋体"/>
          <w:sz w:val="24"/>
        </w:rPr>
        <w:t>9.1 本合同如有未尽事宜，双方协商补充约定解决。</w:t>
      </w:r>
    </w:p>
    <w:p w14:paraId="0C6E6D9D">
      <w:pPr>
        <w:tabs>
          <w:tab w:val="left" w:pos="8280"/>
        </w:tabs>
        <w:spacing w:line="560" w:lineRule="exact"/>
        <w:ind w:firstLine="480" w:firstLineChars="200"/>
        <w:rPr>
          <w:rFonts w:hint="eastAsia" w:ascii="宋体" w:hAnsi="宋体" w:eastAsia="宋体" w:cs="宋体"/>
          <w:sz w:val="24"/>
        </w:rPr>
      </w:pPr>
      <w:r>
        <w:rPr>
          <w:rFonts w:hint="eastAsia" w:ascii="宋体" w:hAnsi="宋体" w:eastAsia="宋体" w:cs="宋体"/>
          <w:sz w:val="24"/>
        </w:rPr>
        <w:t>9.2 乙方或甲方如有违约行为，执行违约金后，可继续按照本合同条款执行。</w:t>
      </w:r>
    </w:p>
    <w:p w14:paraId="7AB8C2EE">
      <w:pPr>
        <w:tabs>
          <w:tab w:val="left" w:pos="8280"/>
        </w:tabs>
        <w:spacing w:line="560" w:lineRule="exact"/>
        <w:ind w:firstLine="480" w:firstLineChars="200"/>
        <w:rPr>
          <w:rFonts w:hint="eastAsia" w:ascii="宋体" w:hAnsi="宋体" w:eastAsia="宋体" w:cs="宋体"/>
          <w:sz w:val="24"/>
        </w:rPr>
      </w:pPr>
      <w:r>
        <w:rPr>
          <w:rFonts w:hint="eastAsia" w:ascii="宋体" w:hAnsi="宋体" w:eastAsia="宋体" w:cs="宋体"/>
          <w:sz w:val="24"/>
        </w:rPr>
        <w:t>9.3本合同一式贰份，甲乙双方各执1份，经甲乙双方签字、盖章后生效。</w:t>
      </w:r>
    </w:p>
    <w:p w14:paraId="6515E30A">
      <w:pPr>
        <w:tabs>
          <w:tab w:val="left" w:pos="8280"/>
        </w:tabs>
        <w:spacing w:line="560" w:lineRule="exact"/>
        <w:ind w:firstLine="480"/>
        <w:rPr>
          <w:rFonts w:hint="eastAsia" w:ascii="宋体" w:hAnsi="宋体" w:eastAsia="宋体" w:cs="宋体"/>
          <w:sz w:val="28"/>
          <w:szCs w:val="28"/>
        </w:rPr>
      </w:pPr>
    </w:p>
    <w:p w14:paraId="40F77909">
      <w:pPr>
        <w:tabs>
          <w:tab w:val="left" w:pos="8280"/>
        </w:tabs>
        <w:spacing w:line="560" w:lineRule="exact"/>
        <w:ind w:firstLine="480"/>
        <w:rPr>
          <w:rFonts w:hint="eastAsia" w:ascii="宋体" w:hAnsi="宋体" w:eastAsia="宋体" w:cs="宋体"/>
          <w:sz w:val="28"/>
          <w:szCs w:val="28"/>
        </w:rPr>
      </w:pPr>
    </w:p>
    <w:p w14:paraId="498523E9">
      <w:pPr>
        <w:tabs>
          <w:tab w:val="left" w:pos="8280"/>
        </w:tabs>
        <w:spacing w:line="560" w:lineRule="exact"/>
        <w:ind w:firstLine="480"/>
        <w:rPr>
          <w:rFonts w:hint="eastAsia" w:ascii="宋体" w:hAnsi="宋体" w:eastAsia="宋体" w:cs="宋体"/>
          <w:sz w:val="28"/>
          <w:szCs w:val="28"/>
        </w:rPr>
      </w:pPr>
    </w:p>
    <w:p w14:paraId="1DC346A8">
      <w:pPr>
        <w:tabs>
          <w:tab w:val="left" w:pos="8280"/>
        </w:tabs>
        <w:spacing w:line="560" w:lineRule="exact"/>
        <w:ind w:firstLine="480"/>
        <w:rPr>
          <w:rFonts w:hint="eastAsia" w:ascii="宋体" w:hAnsi="宋体" w:eastAsia="宋体" w:cs="宋体"/>
          <w:sz w:val="28"/>
          <w:szCs w:val="28"/>
        </w:rPr>
      </w:pPr>
    </w:p>
    <w:tbl>
      <w:tblPr>
        <w:tblStyle w:val="3"/>
        <w:tblW w:w="0" w:type="auto"/>
        <w:tblInd w:w="0" w:type="dxa"/>
        <w:tblLayout w:type="fixed"/>
        <w:tblCellMar>
          <w:top w:w="0" w:type="dxa"/>
          <w:left w:w="108" w:type="dxa"/>
          <w:bottom w:w="0" w:type="dxa"/>
          <w:right w:w="108" w:type="dxa"/>
        </w:tblCellMar>
      </w:tblPr>
      <w:tblGrid>
        <w:gridCol w:w="4819"/>
        <w:gridCol w:w="4468"/>
      </w:tblGrid>
      <w:tr w14:paraId="7FA6570A">
        <w:tblPrEx>
          <w:tblCellMar>
            <w:top w:w="0" w:type="dxa"/>
            <w:left w:w="108" w:type="dxa"/>
            <w:bottom w:w="0" w:type="dxa"/>
            <w:right w:w="108" w:type="dxa"/>
          </w:tblCellMar>
        </w:tblPrEx>
        <w:trPr>
          <w:trHeight w:val="851" w:hRule="atLeast"/>
        </w:trPr>
        <w:tc>
          <w:tcPr>
            <w:tcW w:w="4819" w:type="dxa"/>
            <w:noWrap w:val="0"/>
            <w:vAlign w:val="top"/>
          </w:tcPr>
          <w:p w14:paraId="5F1DC53C">
            <w:pPr>
              <w:tabs>
                <w:tab w:val="left" w:pos="8280"/>
              </w:tabs>
              <w:spacing w:line="560" w:lineRule="exact"/>
              <w:rPr>
                <w:rFonts w:hint="eastAsia" w:ascii="宋体" w:hAnsi="宋体" w:eastAsia="宋体" w:cs="宋体"/>
                <w:u w:val="single"/>
              </w:rPr>
            </w:pPr>
            <w:r>
              <w:rPr>
                <w:rFonts w:hint="eastAsia" w:ascii="宋体" w:hAnsi="宋体" w:eastAsia="宋体" w:cs="宋体"/>
              </w:rPr>
              <w:t>甲方：（盖章）</w:t>
            </w:r>
          </w:p>
        </w:tc>
        <w:tc>
          <w:tcPr>
            <w:tcW w:w="4468" w:type="dxa"/>
            <w:noWrap w:val="0"/>
            <w:vAlign w:val="top"/>
          </w:tcPr>
          <w:p w14:paraId="42E350CB">
            <w:pPr>
              <w:tabs>
                <w:tab w:val="left" w:pos="8280"/>
              </w:tabs>
              <w:spacing w:line="560" w:lineRule="exact"/>
              <w:rPr>
                <w:rFonts w:hint="eastAsia" w:ascii="宋体" w:hAnsi="宋体" w:eastAsia="宋体" w:cs="宋体"/>
              </w:rPr>
            </w:pPr>
            <w:r>
              <w:rPr>
                <w:rFonts w:hint="eastAsia" w:ascii="宋体" w:hAnsi="宋体" w:eastAsia="宋体" w:cs="宋体"/>
              </w:rPr>
              <w:t>乙方：（盖章）</w:t>
            </w:r>
          </w:p>
        </w:tc>
      </w:tr>
      <w:tr w14:paraId="73170EF9">
        <w:tblPrEx>
          <w:tblCellMar>
            <w:top w:w="0" w:type="dxa"/>
            <w:left w:w="108" w:type="dxa"/>
            <w:bottom w:w="0" w:type="dxa"/>
            <w:right w:w="108" w:type="dxa"/>
          </w:tblCellMar>
        </w:tblPrEx>
        <w:trPr>
          <w:trHeight w:val="851" w:hRule="atLeast"/>
        </w:trPr>
        <w:tc>
          <w:tcPr>
            <w:tcW w:w="4819" w:type="dxa"/>
            <w:noWrap w:val="0"/>
            <w:vAlign w:val="top"/>
          </w:tcPr>
          <w:p w14:paraId="502CEB2E">
            <w:pPr>
              <w:tabs>
                <w:tab w:val="left" w:pos="8280"/>
              </w:tabs>
              <w:spacing w:line="560" w:lineRule="exact"/>
              <w:rPr>
                <w:rFonts w:hint="eastAsia" w:ascii="宋体" w:hAnsi="宋体" w:eastAsia="宋体" w:cs="宋体"/>
                <w:u w:val="single"/>
              </w:rPr>
            </w:pPr>
            <w:r>
              <w:rPr>
                <w:rFonts w:hint="eastAsia" w:ascii="宋体" w:hAnsi="宋体" w:eastAsia="宋体" w:cs="宋体"/>
              </w:rPr>
              <w:t>地址：</w:t>
            </w:r>
          </w:p>
        </w:tc>
        <w:tc>
          <w:tcPr>
            <w:tcW w:w="4468" w:type="dxa"/>
            <w:noWrap w:val="0"/>
            <w:vAlign w:val="top"/>
          </w:tcPr>
          <w:p w14:paraId="24D701CE">
            <w:pPr>
              <w:tabs>
                <w:tab w:val="left" w:pos="8280"/>
              </w:tabs>
              <w:spacing w:line="560" w:lineRule="exact"/>
              <w:rPr>
                <w:rFonts w:hint="eastAsia" w:ascii="宋体" w:hAnsi="宋体" w:eastAsia="宋体" w:cs="宋体"/>
              </w:rPr>
            </w:pPr>
            <w:r>
              <w:rPr>
                <w:rFonts w:hint="eastAsia" w:ascii="宋体" w:hAnsi="宋体" w:eastAsia="宋体" w:cs="宋体"/>
              </w:rPr>
              <w:t>地址：</w:t>
            </w:r>
          </w:p>
        </w:tc>
      </w:tr>
      <w:tr w14:paraId="33310954">
        <w:tblPrEx>
          <w:tblCellMar>
            <w:top w:w="0" w:type="dxa"/>
            <w:left w:w="108" w:type="dxa"/>
            <w:bottom w:w="0" w:type="dxa"/>
            <w:right w:w="108" w:type="dxa"/>
          </w:tblCellMar>
        </w:tblPrEx>
        <w:trPr>
          <w:trHeight w:val="851" w:hRule="atLeast"/>
        </w:trPr>
        <w:tc>
          <w:tcPr>
            <w:tcW w:w="4819" w:type="dxa"/>
            <w:noWrap w:val="0"/>
            <w:vAlign w:val="top"/>
          </w:tcPr>
          <w:p w14:paraId="2C06A057">
            <w:pPr>
              <w:tabs>
                <w:tab w:val="left" w:pos="8280"/>
              </w:tabs>
              <w:spacing w:line="560" w:lineRule="exact"/>
              <w:rPr>
                <w:rFonts w:hint="eastAsia" w:ascii="宋体" w:hAnsi="宋体" w:eastAsia="宋体" w:cs="宋体"/>
                <w:u w:val="single"/>
              </w:rPr>
            </w:pPr>
            <w:r>
              <w:rPr>
                <w:rFonts w:hint="eastAsia" w:ascii="宋体" w:hAnsi="宋体" w:eastAsia="宋体" w:cs="宋体"/>
              </w:rPr>
              <w:t>法定代表人：</w:t>
            </w:r>
          </w:p>
        </w:tc>
        <w:tc>
          <w:tcPr>
            <w:tcW w:w="4468" w:type="dxa"/>
            <w:noWrap w:val="0"/>
            <w:vAlign w:val="top"/>
          </w:tcPr>
          <w:p w14:paraId="39DF50D4">
            <w:pPr>
              <w:tabs>
                <w:tab w:val="left" w:pos="8280"/>
              </w:tabs>
              <w:spacing w:line="560" w:lineRule="exact"/>
              <w:rPr>
                <w:rFonts w:hint="eastAsia" w:ascii="宋体" w:hAnsi="宋体" w:eastAsia="宋体" w:cs="宋体"/>
                <w:u w:val="single"/>
              </w:rPr>
            </w:pPr>
            <w:r>
              <w:rPr>
                <w:rFonts w:hint="eastAsia" w:ascii="宋体" w:hAnsi="宋体" w:eastAsia="宋体" w:cs="宋体"/>
              </w:rPr>
              <w:t>法定代表人：</w:t>
            </w:r>
          </w:p>
        </w:tc>
      </w:tr>
      <w:tr w14:paraId="5C58EEB1">
        <w:tblPrEx>
          <w:tblCellMar>
            <w:top w:w="0" w:type="dxa"/>
            <w:left w:w="108" w:type="dxa"/>
            <w:bottom w:w="0" w:type="dxa"/>
            <w:right w:w="108" w:type="dxa"/>
          </w:tblCellMar>
        </w:tblPrEx>
        <w:trPr>
          <w:trHeight w:val="851" w:hRule="atLeast"/>
        </w:trPr>
        <w:tc>
          <w:tcPr>
            <w:tcW w:w="4819" w:type="dxa"/>
            <w:noWrap w:val="0"/>
            <w:vAlign w:val="top"/>
          </w:tcPr>
          <w:p w14:paraId="093EE84C">
            <w:pPr>
              <w:tabs>
                <w:tab w:val="left" w:pos="8280"/>
              </w:tabs>
              <w:spacing w:line="560" w:lineRule="exact"/>
              <w:rPr>
                <w:rFonts w:hint="eastAsia" w:ascii="宋体" w:hAnsi="宋体" w:eastAsia="宋体" w:cs="宋体"/>
                <w:u w:val="single"/>
              </w:rPr>
            </w:pPr>
            <w:r>
              <w:rPr>
                <w:rFonts w:hint="eastAsia" w:ascii="宋体" w:hAnsi="宋体" w:eastAsia="宋体" w:cs="宋体"/>
              </w:rPr>
              <w:t>委托代理人：</w:t>
            </w:r>
          </w:p>
        </w:tc>
        <w:tc>
          <w:tcPr>
            <w:tcW w:w="4468" w:type="dxa"/>
            <w:noWrap w:val="0"/>
            <w:vAlign w:val="top"/>
          </w:tcPr>
          <w:p w14:paraId="7BE00EF7">
            <w:pPr>
              <w:tabs>
                <w:tab w:val="left" w:pos="8280"/>
              </w:tabs>
              <w:spacing w:line="560" w:lineRule="exact"/>
              <w:rPr>
                <w:rFonts w:hint="eastAsia" w:ascii="宋体" w:hAnsi="宋体" w:eastAsia="宋体" w:cs="宋体"/>
                <w:u w:val="single"/>
              </w:rPr>
            </w:pPr>
            <w:r>
              <w:rPr>
                <w:rFonts w:hint="eastAsia" w:ascii="宋体" w:hAnsi="宋体" w:eastAsia="宋体" w:cs="宋体"/>
              </w:rPr>
              <w:t>经办人：</w:t>
            </w:r>
          </w:p>
        </w:tc>
      </w:tr>
      <w:tr w14:paraId="2EC274D0">
        <w:tblPrEx>
          <w:tblCellMar>
            <w:top w:w="0" w:type="dxa"/>
            <w:left w:w="108" w:type="dxa"/>
            <w:bottom w:w="0" w:type="dxa"/>
            <w:right w:w="108" w:type="dxa"/>
          </w:tblCellMar>
        </w:tblPrEx>
        <w:trPr>
          <w:trHeight w:val="851" w:hRule="atLeast"/>
        </w:trPr>
        <w:tc>
          <w:tcPr>
            <w:tcW w:w="4819" w:type="dxa"/>
            <w:noWrap w:val="0"/>
            <w:vAlign w:val="top"/>
          </w:tcPr>
          <w:p w14:paraId="7C93A40F">
            <w:pPr>
              <w:tabs>
                <w:tab w:val="left" w:pos="8280"/>
              </w:tabs>
              <w:spacing w:line="560" w:lineRule="exact"/>
              <w:rPr>
                <w:rFonts w:hint="eastAsia" w:ascii="宋体" w:hAnsi="宋体" w:eastAsia="宋体" w:cs="宋体"/>
                <w:u w:val="single"/>
              </w:rPr>
            </w:pPr>
            <w:r>
              <w:rPr>
                <w:rFonts w:hint="eastAsia" w:ascii="宋体" w:hAnsi="宋体" w:eastAsia="宋体" w:cs="宋体"/>
              </w:rPr>
              <w:t>电话：</w:t>
            </w:r>
          </w:p>
        </w:tc>
        <w:tc>
          <w:tcPr>
            <w:tcW w:w="4468" w:type="dxa"/>
            <w:noWrap w:val="0"/>
            <w:vAlign w:val="top"/>
          </w:tcPr>
          <w:p w14:paraId="7E6B54AD">
            <w:pPr>
              <w:tabs>
                <w:tab w:val="left" w:pos="8280"/>
              </w:tabs>
              <w:spacing w:line="560" w:lineRule="exact"/>
              <w:rPr>
                <w:rFonts w:hint="eastAsia" w:ascii="宋体" w:hAnsi="宋体" w:eastAsia="宋体" w:cs="宋体"/>
              </w:rPr>
            </w:pPr>
            <w:r>
              <w:rPr>
                <w:rFonts w:hint="eastAsia" w:ascii="宋体" w:hAnsi="宋体" w:eastAsia="宋体" w:cs="宋体"/>
              </w:rPr>
              <w:t>电话：</w:t>
            </w:r>
          </w:p>
        </w:tc>
      </w:tr>
      <w:tr w14:paraId="2E1CE025">
        <w:tblPrEx>
          <w:tblCellMar>
            <w:top w:w="0" w:type="dxa"/>
            <w:left w:w="108" w:type="dxa"/>
            <w:bottom w:w="0" w:type="dxa"/>
            <w:right w:w="108" w:type="dxa"/>
          </w:tblCellMar>
        </w:tblPrEx>
        <w:trPr>
          <w:trHeight w:val="851" w:hRule="atLeast"/>
        </w:trPr>
        <w:tc>
          <w:tcPr>
            <w:tcW w:w="4819" w:type="dxa"/>
            <w:noWrap w:val="0"/>
            <w:vAlign w:val="top"/>
          </w:tcPr>
          <w:p w14:paraId="40AFDA5F">
            <w:pPr>
              <w:tabs>
                <w:tab w:val="left" w:pos="8280"/>
              </w:tabs>
              <w:spacing w:line="560" w:lineRule="exact"/>
              <w:rPr>
                <w:rFonts w:hint="eastAsia" w:ascii="宋体" w:hAnsi="宋体" w:eastAsia="宋体" w:cs="宋体"/>
                <w:u w:val="single"/>
              </w:rPr>
            </w:pPr>
            <w:r>
              <w:rPr>
                <w:rFonts w:hint="eastAsia" w:ascii="宋体" w:hAnsi="宋体" w:eastAsia="宋体" w:cs="宋体"/>
              </w:rPr>
              <w:t>账号：</w:t>
            </w:r>
          </w:p>
        </w:tc>
        <w:tc>
          <w:tcPr>
            <w:tcW w:w="4468" w:type="dxa"/>
            <w:noWrap w:val="0"/>
            <w:vAlign w:val="top"/>
          </w:tcPr>
          <w:p w14:paraId="0BDF1461">
            <w:pPr>
              <w:tabs>
                <w:tab w:val="left" w:pos="8280"/>
              </w:tabs>
              <w:spacing w:line="560" w:lineRule="exact"/>
              <w:rPr>
                <w:rFonts w:hint="eastAsia" w:ascii="宋体" w:hAnsi="宋体" w:eastAsia="宋体" w:cs="宋体"/>
                <w:u w:val="single"/>
              </w:rPr>
            </w:pPr>
            <w:r>
              <w:rPr>
                <w:rFonts w:hint="eastAsia" w:ascii="宋体" w:hAnsi="宋体" w:eastAsia="宋体" w:cs="宋体"/>
              </w:rPr>
              <w:t>账号：</w:t>
            </w:r>
          </w:p>
        </w:tc>
      </w:tr>
      <w:tr w14:paraId="1BB95472">
        <w:tblPrEx>
          <w:tblCellMar>
            <w:top w:w="0" w:type="dxa"/>
            <w:left w:w="108" w:type="dxa"/>
            <w:bottom w:w="0" w:type="dxa"/>
            <w:right w:w="108" w:type="dxa"/>
          </w:tblCellMar>
        </w:tblPrEx>
        <w:trPr>
          <w:trHeight w:val="851" w:hRule="atLeast"/>
        </w:trPr>
        <w:tc>
          <w:tcPr>
            <w:tcW w:w="4819" w:type="dxa"/>
            <w:noWrap w:val="0"/>
            <w:vAlign w:val="top"/>
          </w:tcPr>
          <w:p w14:paraId="338965C9">
            <w:pPr>
              <w:tabs>
                <w:tab w:val="left" w:pos="8280"/>
              </w:tabs>
              <w:spacing w:line="560" w:lineRule="exact"/>
              <w:rPr>
                <w:rFonts w:hint="eastAsia" w:ascii="宋体" w:hAnsi="宋体" w:eastAsia="宋体" w:cs="宋体"/>
                <w:u w:val="single"/>
              </w:rPr>
            </w:pPr>
            <w:r>
              <w:rPr>
                <w:rFonts w:hint="eastAsia" w:ascii="宋体" w:hAnsi="宋体" w:eastAsia="宋体" w:cs="宋体"/>
              </w:rPr>
              <w:t>开户银行：</w:t>
            </w:r>
          </w:p>
        </w:tc>
        <w:tc>
          <w:tcPr>
            <w:tcW w:w="4468" w:type="dxa"/>
            <w:noWrap w:val="0"/>
            <w:vAlign w:val="top"/>
          </w:tcPr>
          <w:p w14:paraId="25C35968">
            <w:pPr>
              <w:tabs>
                <w:tab w:val="left" w:pos="8280"/>
              </w:tabs>
              <w:spacing w:line="560" w:lineRule="exact"/>
              <w:rPr>
                <w:rFonts w:hint="eastAsia" w:ascii="宋体" w:hAnsi="宋体" w:eastAsia="宋体" w:cs="宋体"/>
              </w:rPr>
            </w:pPr>
            <w:r>
              <w:rPr>
                <w:rFonts w:hint="eastAsia" w:ascii="宋体" w:hAnsi="宋体" w:eastAsia="宋体" w:cs="宋体"/>
              </w:rPr>
              <w:t>开户银行：</w:t>
            </w:r>
          </w:p>
        </w:tc>
      </w:tr>
      <w:tr w14:paraId="4DE8915F">
        <w:tblPrEx>
          <w:tblCellMar>
            <w:top w:w="0" w:type="dxa"/>
            <w:left w:w="108" w:type="dxa"/>
            <w:bottom w:w="0" w:type="dxa"/>
            <w:right w:w="108" w:type="dxa"/>
          </w:tblCellMar>
        </w:tblPrEx>
        <w:trPr>
          <w:trHeight w:val="851" w:hRule="atLeast"/>
        </w:trPr>
        <w:tc>
          <w:tcPr>
            <w:tcW w:w="9287" w:type="dxa"/>
            <w:gridSpan w:val="2"/>
            <w:noWrap w:val="0"/>
            <w:vAlign w:val="top"/>
          </w:tcPr>
          <w:p w14:paraId="0E16D5F5">
            <w:pPr>
              <w:tabs>
                <w:tab w:val="left" w:pos="8280"/>
              </w:tabs>
              <w:spacing w:line="560" w:lineRule="exact"/>
              <w:jc w:val="center"/>
              <w:rPr>
                <w:rFonts w:hint="eastAsia" w:ascii="宋体" w:hAnsi="宋体" w:eastAsia="宋体" w:cs="宋体"/>
                <w:u w:val="single"/>
              </w:rPr>
            </w:pPr>
            <w:r>
              <w:rPr>
                <w:rFonts w:hint="eastAsia" w:ascii="宋体" w:hAnsi="宋体" w:eastAsia="宋体" w:cs="宋体"/>
              </w:rPr>
              <w:t>年  月  日</w:t>
            </w:r>
          </w:p>
        </w:tc>
      </w:tr>
    </w:tbl>
    <w:p w14:paraId="28DBABF3">
      <w:pPr>
        <w:tabs>
          <w:tab w:val="left" w:pos="8280"/>
        </w:tabs>
        <w:spacing w:line="560" w:lineRule="exact"/>
        <w:ind w:firstLine="480"/>
        <w:rPr>
          <w:rFonts w:hint="eastAsia" w:ascii="宋体" w:hAnsi="宋体" w:eastAsia="宋体" w:cs="宋体"/>
          <w:sz w:val="32"/>
          <w:szCs w:val="32"/>
          <w:u w:val="single"/>
        </w:rPr>
      </w:pPr>
    </w:p>
    <w:p w14:paraId="4B98A0F8"/>
    <w:p w14:paraId="0BA301F2"/>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7FC4093"/>
    <w:rsid w:val="3EE6168C"/>
    <w:rsid w:val="5E563EE0"/>
    <w:rsid w:val="7DAC17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1485</Words>
  <Characters>1555</Characters>
  <Lines>0</Lines>
  <Paragraphs>0</Paragraphs>
  <TotalTime>1</TotalTime>
  <ScaleCrop>false</ScaleCrop>
  <LinksUpToDate>false</LinksUpToDate>
  <CharactersWithSpaces>1664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2025-05-21T05:10:00Z</dcterms:created>
  <dc:creator>Administrator</dc:creator>
  <cp:lastModifiedBy>Gabeng</cp:lastModifiedBy>
  <dcterms:modified xsi:type="dcterms:W3CDTF">2026-07-20T03:40:40Z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eyJoZGlkIjoiNTZmMjc2MjQ1M2E3MTNhNmE3M2Q5ODc0MTA5OWMyMTEiLCJ1c2VySWQiOiIyNDU5MTMxOTUifQ==</vt:lpwstr>
  </property>
  <property fmtid="{D5CDD505-2E9C-101B-9397-08002B2CF9AE}" pid="4" name="ICV">
    <vt:lpwstr>2DC5F98474F6414DAF4635321CA3F846_12</vt:lpwstr>
  </property>
</Properties>
</file>