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版本号：LZBE2025-229620260509001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能源材料实验室建设项目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LZBE2025-2296</w:t>
      </w:r>
      <w:r>
        <w:br/>
      </w:r>
      <w:r>
        <w:br/>
      </w:r>
      <w:r>
        <w:br/>
      </w:r>
    </w:p>
    <w:p>
      <w:pPr>
        <w:pStyle w:val="null3"/>
        <w:jc w:val="center"/>
        <w:outlineLvl w:val="2"/>
      </w:pPr>
      <w:r>
        <w:rPr>
          <w:rFonts w:ascii="仿宋_GB2312" w:hAnsi="仿宋_GB2312" w:cs="仿宋_GB2312" w:eastAsia="仿宋_GB2312"/>
          <w:sz w:val="28"/>
          <w:b/>
        </w:rPr>
        <w:t>延安大学</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延安大学</w:t>
      </w:r>
      <w:r>
        <w:rPr>
          <w:rFonts w:ascii="仿宋_GB2312" w:hAnsi="仿宋_GB2312" w:cs="仿宋_GB2312" w:eastAsia="仿宋_GB2312"/>
        </w:rPr>
        <w:t>委托，拟对</w:t>
      </w:r>
      <w:r>
        <w:rPr>
          <w:rFonts w:ascii="仿宋_GB2312" w:hAnsi="仿宋_GB2312" w:cs="仿宋_GB2312" w:eastAsia="仿宋_GB2312"/>
        </w:rPr>
        <w:t>能源材料实验室建设项目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LZBE2025-2296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能源材料实验室建设项目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延安大学延安大学能源材料实验室建设项目，具体内容详见招标文件第3章。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1、具有独立承担民事责任能力的法人、其他组织或自然人：法人或者其他组织提供营业执照等证明文件，自然人提供身份证件，投标人需在项目电子化交易系统中按要求上传相应证明文件并进行电子签章。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投标人提供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w:t>
      </w:r>
    </w:p>
    <w:p>
      <w:pPr>
        <w:pStyle w:val="null3"/>
      </w:pPr>
      <w:r>
        <w:rPr>
          <w:rFonts w:ascii="仿宋_GB2312" w:hAnsi="仿宋_GB2312" w:cs="仿宋_GB2312" w:eastAsia="仿宋_GB2312"/>
        </w:rPr>
        <w:t>3、财务状况报告：投标人提供 2024 或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投标人基本账户银行出具的资信证明，同时还需提供投标人基本存款账户开户许可证（或基本存款账户信息证明））。或提供专业担保机构出具的投标担保函，投标人需在项目电子化交易系统中按要求上传相应证明文件；</w:t>
      </w:r>
    </w:p>
    <w:p>
      <w:pPr>
        <w:pStyle w:val="null3"/>
      </w:pPr>
      <w:r>
        <w:rPr>
          <w:rFonts w:ascii="仿宋_GB2312" w:hAnsi="仿宋_GB2312" w:cs="仿宋_GB2312" w:eastAsia="仿宋_GB2312"/>
        </w:rPr>
        <w:t>4、参加本次政府采购活动前3年内在经营活动中没有重大违法记录的书面声明：参加本次政府采购活动前3年内在经营活动中没有重大违法记录的书面声明：投标人需在项目电子化交易系统中按要求上传相应证明文件并进行电子签章。</w:t>
      </w:r>
    </w:p>
    <w:p>
      <w:pPr>
        <w:pStyle w:val="null3"/>
      </w:pPr>
      <w:r>
        <w:rPr>
          <w:rFonts w:ascii="仿宋_GB2312" w:hAnsi="仿宋_GB2312" w:cs="仿宋_GB2312" w:eastAsia="仿宋_GB2312"/>
        </w:rPr>
        <w:t>5、具有履行合同所必需的设备和专业技术能力书面声明函：具有履行合同所必需的设备和专业技术能力书面声明函：投标人需在项目电子化交易系统中按要求上传相应证明文件并进行电子签章。</w:t>
      </w:r>
    </w:p>
    <w:p>
      <w:pPr>
        <w:pStyle w:val="null3"/>
      </w:pPr>
      <w:r>
        <w:rPr>
          <w:rFonts w:ascii="仿宋_GB2312" w:hAnsi="仿宋_GB2312" w:cs="仿宋_GB2312" w:eastAsia="仿宋_GB2312"/>
        </w:rPr>
        <w:t>6、信用状况：不得为“信用中国”网站（www.creditchina.gov.cn）中列入失信被执行人和重大税收违法失信主体的投标人，不得为中国政府采购网（www.ccgp.gov.cn）政府采购严重违法失信行为记录名单中被财政部门禁止参加政府采购活动的投标人；以开标后的网站查询记录为准。</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8、特定资质：所投进口产品的完整授权链证明材料：所投产品如为进口产品，提供所投进口产品的完整授权链证明材料。</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延安大学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延安市宝塔区圣地路580号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0911-2650177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开户名称：龙寰项目管理咨询有限公司</w:t>
            </w:r>
          </w:p>
          <w:p>
            <w:pPr>
              <w:pStyle w:val="null3"/>
            </w:pPr>
            <w:r>
              <w:rPr>
                <w:rFonts w:ascii="仿宋_GB2312" w:hAnsi="仿宋_GB2312" w:cs="仿宋_GB2312" w:eastAsia="仿宋_GB2312"/>
              </w:rPr>
              <w:t>开户银行：平安银行西安高新路支行</w:t>
            </w:r>
          </w:p>
          <w:p>
            <w:pPr>
              <w:pStyle w:val="null3"/>
            </w:pPr>
            <w:r>
              <w:rPr>
                <w:rFonts w:ascii="仿宋_GB2312" w:hAnsi="仿宋_GB2312" w:cs="仿宋_GB2312" w:eastAsia="仿宋_GB2312"/>
              </w:rPr>
              <w:t>银行账号：30201278018473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说明：（1）履约保证金缴纳时间：中标后10日内需要缴纳履约保证金。未在规定时间内缴纳履约保证金视为拒签合同，自动放弃中标资格。 （2）履约保证金缴纳形式：采用银行对公转账、电汇或者金融机构、担保机构出具的保函等非现金的形式对公形式缴纳。 （3）履约保证金的退还：项目验收合格后30个日历日内，无质量问题且不存在争议，一次性无息退还至中标人账户。 （4）履约保证金收取 单位名称：延安大学； 账号：102085448994； 开户行：中国银行延安延大支行。</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费用按委托代理采购项目中标(成交)金额的百分之一(1%)收取；(2)采购代理服务费收取标准设置下限和上限。不足人民币肆仟元整(￥4000.00)的，按人民币肆仟元整(￥4000.00)收取：超过人民币伍万元整(￥50000.00)的，按人民币伍万元整(￥50000.00)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延安大学</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延安大学</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延安大学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验收时将逐项对照上述文件，核实所供货物是否完全响应招标需求且与投标承诺一致；2、合同及附件文本，验收过程中，所有核查内容均以合同及附件的约定为准，任何与合同不符的偏差均视为未通过验收；3、国家相应的标准、规范；4、使用高精度标准样品进行验证，结果必须达到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地址：陕西省西安市高新区太白南路181号A座</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延安大学能源材料实验室建设项目，1项，具体详见技术要求。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同步热分析仪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733,000.00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配套工作站</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高低温交变试验箱</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59,000.00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标的名称：同步热分析仪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ind w:left="435"/>
              <w:jc w:val="left"/>
            </w:pPr>
            <w:r>
              <w:rPr>
                <w:rFonts w:ascii="仿宋_GB2312" w:hAnsi="仿宋_GB2312" w:cs="仿宋_GB2312" w:eastAsia="仿宋_GB2312"/>
                <w:sz w:val="20"/>
              </w:rPr>
              <w:t>温度范围：室温至</w:t>
            </w:r>
            <w:r>
              <w:rPr>
                <w:rFonts w:ascii="仿宋_GB2312" w:hAnsi="仿宋_GB2312" w:cs="仿宋_GB2312" w:eastAsia="仿宋_GB2312"/>
                <w:sz w:val="20"/>
              </w:rPr>
              <w:t>1500℃</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动态温度精度：</w:t>
            </w:r>
            <w:r>
              <w:rPr>
                <w:rFonts w:ascii="仿宋_GB2312" w:hAnsi="仿宋_GB2312" w:cs="仿宋_GB2312" w:eastAsia="仿宋_GB2312"/>
                <w:sz w:val="20"/>
              </w:rPr>
              <w:t>±0.5℃</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加热速率（线性）：</w:t>
            </w:r>
            <w:r>
              <w:rPr>
                <w:rFonts w:ascii="仿宋_GB2312" w:hAnsi="仿宋_GB2312" w:cs="仿宋_GB2312" w:eastAsia="仿宋_GB2312"/>
                <w:sz w:val="20"/>
              </w:rPr>
              <w:t>0.1至100℃/min</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rPr>
              <w:t>量热准确度</w:t>
            </w:r>
            <w:r>
              <w:rPr>
                <w:rFonts w:ascii="仿宋_GB2312" w:hAnsi="仿宋_GB2312" w:cs="仿宋_GB2312" w:eastAsia="仿宋_GB2312"/>
                <w:sz w:val="20"/>
              </w:rPr>
              <w:t>/精度：±2%（基于金属标样）</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0"/>
              </w:rPr>
              <w:t>比热准确度：</w:t>
            </w:r>
            <w:r>
              <w:rPr>
                <w:rFonts w:ascii="仿宋_GB2312" w:hAnsi="仿宋_GB2312" w:cs="仿宋_GB2312" w:eastAsia="仿宋_GB2312"/>
                <w:sz w:val="20"/>
              </w:rPr>
              <w:t>±5%</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最大样品量：</w:t>
            </w:r>
            <w:r>
              <w:rPr>
                <w:rFonts w:ascii="仿宋_GB2312" w:hAnsi="仿宋_GB2312" w:cs="仿宋_GB2312" w:eastAsia="仿宋_GB2312"/>
                <w:sz w:val="20"/>
              </w:rPr>
              <w:t>≤200</w:t>
            </w:r>
            <w:r>
              <w:rPr>
                <w:rFonts w:ascii="仿宋_GB2312" w:hAnsi="仿宋_GB2312" w:cs="仿宋_GB2312" w:eastAsia="仿宋_GB2312"/>
                <w:sz w:val="21"/>
              </w:rPr>
              <w:t xml:space="preserve"> </w:t>
            </w:r>
            <w:r>
              <w:rPr>
                <w:rFonts w:ascii="仿宋_GB2312" w:hAnsi="仿宋_GB2312" w:cs="仿宋_GB2312" w:eastAsia="仿宋_GB2312"/>
                <w:sz w:val="20"/>
              </w:rPr>
              <w:t>mg</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0"/>
              </w:rPr>
              <w:t>称重准确度：</w:t>
            </w:r>
            <w:r>
              <w:rPr>
                <w:rFonts w:ascii="仿宋_GB2312" w:hAnsi="仿宋_GB2312" w:cs="仿宋_GB2312" w:eastAsia="仿宋_GB2312"/>
                <w:sz w:val="20"/>
              </w:rPr>
              <w:t>±0.5%</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0"/>
              </w:rPr>
              <w:t>称重精度：</w:t>
            </w:r>
            <w:r>
              <w:rPr>
                <w:rFonts w:ascii="仿宋_GB2312" w:hAnsi="仿宋_GB2312" w:cs="仿宋_GB2312" w:eastAsia="仿宋_GB2312"/>
                <w:sz w:val="20"/>
              </w:rPr>
              <w:t>±0.1%</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重量基线漂移</w:t>
            </w:r>
            <w:r>
              <w:rPr>
                <w:rFonts w:ascii="仿宋_GB2312" w:hAnsi="仿宋_GB2312" w:cs="仿宋_GB2312" w:eastAsia="仿宋_GB2312"/>
                <w:sz w:val="20"/>
              </w:rPr>
              <w:t>[无基线扣除]：≤50 μg</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0"/>
              </w:rPr>
              <w:t>真空度</w:t>
            </w:r>
            <w:r>
              <w:rPr>
                <w:rFonts w:ascii="仿宋_GB2312" w:hAnsi="仿宋_GB2312" w:cs="仿宋_GB2312" w:eastAsia="仿宋_GB2312"/>
                <w:sz w:val="20"/>
              </w:rPr>
              <w:t>50 μTorr</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结构设计：水平式双杆双电子天平设计和水平式加热</w:t>
            </w:r>
            <w:r>
              <w:rPr>
                <w:rFonts w:ascii="仿宋_GB2312" w:hAnsi="仿宋_GB2312" w:cs="仿宋_GB2312" w:eastAsia="仿宋_GB2312"/>
                <w:sz w:val="20"/>
                <w:color w:val="000000"/>
              </w:rPr>
              <w:t>炉，</w:t>
            </w:r>
            <w:r>
              <w:rPr>
                <w:rFonts w:ascii="仿宋_GB2312" w:hAnsi="仿宋_GB2312" w:cs="仿宋_GB2312" w:eastAsia="仿宋_GB2312"/>
                <w:sz w:val="20"/>
              </w:rPr>
              <w:t>利于气体与样品的接触及进行气体交换，没有烟囱</w:t>
            </w:r>
            <w:r>
              <w:rPr>
                <w:rFonts w:ascii="仿宋_GB2312" w:hAnsi="仿宋_GB2312" w:cs="仿宋_GB2312" w:eastAsia="仿宋_GB2312"/>
                <w:sz w:val="20"/>
              </w:rPr>
              <w:t>(浮力)效应。</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高性能抗干扰，开机即用，无需外接恒温设备，灵敏度</w:t>
            </w:r>
            <w:r>
              <w:rPr>
                <w:rFonts w:ascii="仿宋_GB2312" w:hAnsi="仿宋_GB2312" w:cs="仿宋_GB2312" w:eastAsia="仿宋_GB2312"/>
                <w:sz w:val="20"/>
              </w:rPr>
              <w:t>可</w:t>
            </w:r>
            <w:r>
              <w:rPr>
                <w:rFonts w:ascii="仿宋_GB2312" w:hAnsi="仿宋_GB2312" w:cs="仿宋_GB2312" w:eastAsia="仿宋_GB2312"/>
                <w:sz w:val="20"/>
              </w:rPr>
              <w:t>达</w:t>
            </w:r>
            <w:r>
              <w:rPr>
                <w:rFonts w:ascii="仿宋_GB2312" w:hAnsi="仿宋_GB2312" w:cs="仿宋_GB2312" w:eastAsia="仿宋_GB2312"/>
                <w:sz w:val="20"/>
              </w:rPr>
              <w:t>0.1µg</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一次试验，能同时实时测得（非实验后换算得到）</w:t>
            </w:r>
            <w:r>
              <w:rPr>
                <w:rFonts w:ascii="仿宋_GB2312" w:hAnsi="仿宋_GB2312" w:cs="仿宋_GB2312" w:eastAsia="仿宋_GB2312"/>
                <w:sz w:val="20"/>
              </w:rPr>
              <w:t>DSC，TGA，DTA三条曲线</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双样品</w:t>
            </w:r>
            <w:r>
              <w:rPr>
                <w:rFonts w:ascii="仿宋_GB2312" w:hAnsi="仿宋_GB2312" w:cs="仿宋_GB2312" w:eastAsia="仿宋_GB2312"/>
                <w:sz w:val="20"/>
              </w:rPr>
              <w:t>TGA测试：允许样品和参比端同时放样品，进行双样品测试，分别得到两个样品的TGA－DTA信号，从而可以在完全一致的氛围下进行样品的比较，同时也提高了实验的效率</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0"/>
              </w:rPr>
              <w:t>配置步阶恒温技术：一个实验可以进行多种升温速率控制且不需要进行不同升温速率的校正，有利于多成分样品的分析。</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ind w:left="435"/>
              <w:jc w:val="left"/>
            </w:pPr>
            <w:r>
              <w:rPr>
                <w:rFonts w:ascii="仿宋_GB2312" w:hAnsi="仿宋_GB2312" w:cs="仿宋_GB2312" w:eastAsia="仿宋_GB2312"/>
                <w:sz w:val="20"/>
              </w:rPr>
              <w:t>配置调制</w:t>
            </w:r>
            <w:r>
              <w:rPr>
                <w:rFonts w:ascii="仿宋_GB2312" w:hAnsi="仿宋_GB2312" w:cs="仿宋_GB2312" w:eastAsia="仿宋_GB2312"/>
                <w:sz w:val="20"/>
              </w:rPr>
              <w:t>DSC (MDSC)技术：可以优异的比热测量方法</w:t>
            </w:r>
          </w:p>
          <w:p>
            <w:pPr>
              <w:pStyle w:val="null3"/>
              <w:spacing w:before="105"/>
              <w:ind w:left="435"/>
              <w:jc w:val="left"/>
            </w:pPr>
            <w:r>
              <w:rPr>
                <w:rFonts w:ascii="仿宋_GB2312" w:hAnsi="仿宋_GB2312" w:cs="仿宋_GB2312" w:eastAsia="仿宋_GB2312"/>
                <w:sz w:val="20"/>
              </w:rPr>
              <w:t>配置调制</w:t>
            </w:r>
            <w:r>
              <w:rPr>
                <w:rFonts w:ascii="仿宋_GB2312" w:hAnsi="仿宋_GB2312" w:cs="仿宋_GB2312" w:eastAsia="仿宋_GB2312"/>
                <w:sz w:val="20"/>
              </w:rPr>
              <w:t>TGA (MTGA)技术：可以提高动力学研究的实验效率</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配置高分辨</w:t>
            </w:r>
            <w:r>
              <w:rPr>
                <w:rFonts w:ascii="仿宋_GB2312" w:hAnsi="仿宋_GB2312" w:cs="仿宋_GB2312" w:eastAsia="仿宋_GB2312"/>
                <w:sz w:val="20"/>
              </w:rPr>
              <w:t>Hi-Res TGA技术：可以高效分离重叠的重量损失</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both"/>
            </w:pPr>
            <w:r>
              <w:rPr>
                <w:rFonts w:ascii="仿宋_GB2312" w:hAnsi="仿宋_GB2312" w:cs="仿宋_GB2312" w:eastAsia="仿宋_GB2312"/>
                <w:sz w:val="20"/>
              </w:rPr>
              <w:t>测试气氛：至少包含空气、惰性气氛（动态或静态）。</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仪器经过一次校准后，改变任何试验条件（坩埚类型、升温速率、气氛），无需重新校准，仪器能够自动修正偏差。</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jc w:val="both"/>
            </w:pPr>
            <w:r>
              <w:rPr>
                <w:rFonts w:ascii="仿宋_GB2312" w:hAnsi="仿宋_GB2312" w:cs="仿宋_GB2312" w:eastAsia="仿宋_GB2312"/>
                <w:sz w:val="20"/>
              </w:rPr>
              <w:t>实验过程中能调整未进行的实验步骤，并出示修改实验步骤界面为证；能自动规划安排各种校正、检验及诊断测试。</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jc w:val="both"/>
            </w:pPr>
            <w:r>
              <w:rPr>
                <w:rFonts w:ascii="仿宋_GB2312" w:hAnsi="仿宋_GB2312" w:cs="仿宋_GB2312" w:eastAsia="仿宋_GB2312"/>
                <w:sz w:val="20"/>
              </w:rPr>
              <w:t>人机交互：仪器主机采用</w:t>
            </w:r>
            <w:r>
              <w:rPr>
                <w:rFonts w:ascii="仿宋_GB2312" w:hAnsi="仿宋_GB2312" w:cs="仿宋_GB2312" w:eastAsia="仿宋_GB2312"/>
                <w:sz w:val="20"/>
              </w:rPr>
              <w:t>App化彩色触摸屏，一键触摸功能，可实现实时图谱监控。</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提供</w:t>
            </w:r>
            <w:r>
              <w:rPr>
                <w:rFonts w:ascii="仿宋_GB2312" w:hAnsi="仿宋_GB2312" w:cs="仿宋_GB2312" w:eastAsia="仿宋_GB2312"/>
                <w:sz w:val="20"/>
              </w:rPr>
              <w:t>MSDS查询功能：提供2015版《危险化学品目录》中2828种危化品的MSDS文件及其它常用化学品的MSDS文</w:t>
            </w:r>
            <w:r>
              <w:rPr>
                <w:rFonts w:ascii="仿宋_GB2312" w:hAnsi="仿宋_GB2312" w:cs="仿宋_GB2312" w:eastAsia="仿宋_GB2312"/>
                <w:sz w:val="20"/>
                <w:color w:val="000000"/>
              </w:rPr>
              <w:t>件；</w:t>
            </w:r>
            <w:r>
              <w:rPr>
                <w:rFonts w:ascii="仿宋_GB2312" w:hAnsi="仿宋_GB2312" w:cs="仿宋_GB2312" w:eastAsia="仿宋_GB2312"/>
                <w:sz w:val="20"/>
              </w:rPr>
              <w:t>用户可根据中文名称、精确名称、英文名称、</w:t>
            </w:r>
            <w:r>
              <w:rPr>
                <w:rFonts w:ascii="仿宋_GB2312" w:hAnsi="仿宋_GB2312" w:cs="仿宋_GB2312" w:eastAsia="仿宋_GB2312"/>
                <w:sz w:val="20"/>
              </w:rPr>
              <w:t>CAS.NO进行检索，让搜索更便捷、高效、准确；用户管理员也可对MSDS文件进行上传，系统具备单个文件上传及压缩文件批量导入的功能；MSDS文件可下载，方便用户在一些高危化学品使用区域打印张贴；MSDS文件需将伤害紧急处置关键部位进行醒目标注，避免人员操作时忽略关键步骤。</w:t>
            </w:r>
          </w:p>
        </w:tc>
      </w:tr>
      <w:tr>
        <w:tc>
          <w:tcPr>
            <w:tcW w:type="dxa" w:w="2769"/>
          </w:tcPr>
          <w:p>
            <w:pPr>
              <w:pStyle w:val="null3"/>
            </w:pPr>
            <w:r>
              <w:rPr>
                <w:rFonts w:ascii="仿宋_GB2312" w:hAnsi="仿宋_GB2312" w:cs="仿宋_GB2312" w:eastAsia="仿宋_GB2312"/>
              </w:rPr>
              <w:t>23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可扩展</w:t>
            </w:r>
            <w:r>
              <w:rPr>
                <w:rFonts w:ascii="仿宋_GB2312" w:hAnsi="仿宋_GB2312" w:cs="仿宋_GB2312" w:eastAsia="仿宋_GB2312"/>
                <w:sz w:val="20"/>
              </w:rPr>
              <w:t>4路新型气体混合及切换模块；可扩展与FTIR或MS联用</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jc w:val="both"/>
            </w:pPr>
            <w:r>
              <w:rPr>
                <w:rFonts w:ascii="仿宋_GB2312" w:hAnsi="仿宋_GB2312" w:cs="仿宋_GB2312" w:eastAsia="仿宋_GB2312"/>
                <w:sz w:val="20"/>
              </w:rPr>
              <w:t>样品支架：包括可以同时测量</w:t>
            </w:r>
            <w:r>
              <w:rPr>
                <w:rFonts w:ascii="仿宋_GB2312" w:hAnsi="仿宋_GB2312" w:cs="仿宋_GB2312" w:eastAsia="仿宋_GB2312"/>
                <w:sz w:val="20"/>
              </w:rPr>
              <w:t>DSC，TGA 及DTA 信号的样品支架，两套；</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spacing w:before="120"/>
              <w:ind w:right="60"/>
              <w:jc w:val="both"/>
            </w:pPr>
            <w:r>
              <w:rPr>
                <w:rFonts w:ascii="仿宋_GB2312" w:hAnsi="仿宋_GB2312" w:cs="仿宋_GB2312" w:eastAsia="仿宋_GB2312"/>
                <w:sz w:val="20"/>
              </w:rPr>
              <w:t>样品坩锅：</w:t>
            </w:r>
          </w:p>
          <w:p>
            <w:pPr>
              <w:pStyle w:val="null3"/>
              <w:spacing w:before="120"/>
              <w:ind w:right="60"/>
              <w:jc w:val="both"/>
            </w:pPr>
            <w:r>
              <w:rPr>
                <w:rFonts w:ascii="仿宋_GB2312" w:hAnsi="仿宋_GB2312" w:cs="仿宋_GB2312" w:eastAsia="仿宋_GB2312"/>
                <w:sz w:val="20"/>
              </w:rPr>
              <w:t>110ul白金样品盘：3个</w:t>
            </w:r>
            <w:r>
              <w:rPr>
                <w:rFonts w:ascii="仿宋_GB2312" w:hAnsi="仿宋_GB2312" w:cs="仿宋_GB2312" w:eastAsia="仿宋_GB2312"/>
                <w:sz w:val="21"/>
              </w:rPr>
              <w:t xml:space="preserve"> </w:t>
            </w:r>
          </w:p>
          <w:p>
            <w:pPr>
              <w:pStyle w:val="null3"/>
              <w:spacing w:before="120"/>
              <w:ind w:right="60"/>
              <w:jc w:val="both"/>
            </w:pPr>
            <w:r>
              <w:rPr>
                <w:rFonts w:ascii="仿宋_GB2312" w:hAnsi="仿宋_GB2312" w:cs="仿宋_GB2312" w:eastAsia="仿宋_GB2312"/>
                <w:sz w:val="20"/>
              </w:rPr>
              <w:t>90ul陶瓷样品盘：9个</w:t>
            </w:r>
          </w:p>
          <w:p>
            <w:pPr>
              <w:pStyle w:val="null3"/>
              <w:spacing w:before="120"/>
              <w:ind w:right="60"/>
              <w:jc w:val="both"/>
            </w:pPr>
            <w:r>
              <w:rPr>
                <w:rFonts w:ascii="仿宋_GB2312" w:hAnsi="仿宋_GB2312" w:cs="仿宋_GB2312" w:eastAsia="仿宋_GB2312"/>
                <w:sz w:val="20"/>
              </w:rPr>
              <w:t>40ul陶瓷样品盘：3个</w:t>
            </w:r>
          </w:p>
          <w:p>
            <w:pPr>
              <w:pStyle w:val="null3"/>
              <w:jc w:val="both"/>
            </w:pPr>
            <w:r>
              <w:rPr>
                <w:rFonts w:ascii="仿宋_GB2312" w:hAnsi="仿宋_GB2312" w:cs="仿宋_GB2312" w:eastAsia="仿宋_GB2312"/>
                <w:sz w:val="20"/>
              </w:rPr>
              <w:t>陶瓷样品盘盖：</w:t>
            </w:r>
            <w:r>
              <w:rPr>
                <w:rFonts w:ascii="仿宋_GB2312" w:hAnsi="仿宋_GB2312" w:cs="仿宋_GB2312" w:eastAsia="仿宋_GB2312"/>
                <w:sz w:val="20"/>
              </w:rPr>
              <w:t>3个</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jc w:val="both"/>
            </w:pPr>
            <w:r>
              <w:rPr>
                <w:rFonts w:ascii="仿宋_GB2312" w:hAnsi="仿宋_GB2312" w:cs="仿宋_GB2312" w:eastAsia="仿宋_GB2312"/>
                <w:sz w:val="20"/>
              </w:rPr>
              <w:t>软件：可以进行自由转换的中英文控制</w:t>
            </w:r>
            <w:r>
              <w:rPr>
                <w:rFonts w:ascii="仿宋_GB2312" w:hAnsi="仿宋_GB2312" w:cs="仿宋_GB2312" w:eastAsia="仿宋_GB2312"/>
                <w:sz w:val="20"/>
              </w:rPr>
              <w:t>/分析软件，配备全套全功能热分析操作及分析软件；</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jc w:val="both"/>
            </w:pPr>
            <w:r>
              <w:rPr>
                <w:rFonts w:ascii="仿宋_GB2312" w:hAnsi="仿宋_GB2312" w:cs="仿宋_GB2312" w:eastAsia="仿宋_GB2312"/>
                <w:sz w:val="20"/>
              </w:rPr>
              <w:t>一体化数字式流量控制：要求流量计整合在主机内，气体的流量和种类可计入到原始数据中，并可进行气体切换；</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b/>
              </w:rPr>
              <w:t>备注：</w:t>
            </w:r>
            <w:r>
              <w:rPr>
                <w:rFonts w:ascii="仿宋_GB2312" w:hAnsi="仿宋_GB2312" w:cs="仿宋_GB2312" w:eastAsia="仿宋_GB2312"/>
              </w:rPr>
              <w:t>本项目采购的如有产品属于节能产品政府采购品目清单（见附件）中应强制采购的产品范围，供应商应当提供国家确定的认证机构出具的、处于有效期之内的节能产品认证证书，否则作无效投标处理。</w:t>
            </w:r>
          </w:p>
        </w:tc>
      </w:tr>
    </w:tbl>
    <w:p>
      <w:pPr>
        <w:pStyle w:val="null3"/>
      </w:pPr>
      <w:r>
        <w:rPr>
          <w:rFonts w:ascii="仿宋_GB2312" w:hAnsi="仿宋_GB2312" w:cs="仿宋_GB2312" w:eastAsia="仿宋_GB2312"/>
        </w:rPr>
        <w:t>标的名称：配套工作站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00"/>
              </w:rPr>
              <w:t>处理器</w:t>
            </w:r>
            <w:r>
              <w:rPr>
                <w:rFonts w:ascii="仿宋_GB2312" w:hAnsi="仿宋_GB2312" w:cs="仿宋_GB2312" w:eastAsia="仿宋_GB2312"/>
                <w:sz w:val="20"/>
                <w:color w:val="000000"/>
              </w:rPr>
              <w:t>≥</w:t>
            </w:r>
            <w:r>
              <w:rPr>
                <w:rFonts w:ascii="仿宋_GB2312" w:hAnsi="仿宋_GB2312" w:cs="仿宋_GB2312" w:eastAsia="仿宋_GB2312"/>
                <w:sz w:val="20"/>
                <w:color w:val="000000"/>
              </w:rPr>
              <w:t>14</w:t>
            </w:r>
            <w:r>
              <w:rPr>
                <w:rFonts w:ascii="仿宋_GB2312" w:hAnsi="仿宋_GB2312" w:cs="仿宋_GB2312" w:eastAsia="仿宋_GB2312"/>
                <w:sz w:val="20"/>
                <w:color w:val="000000"/>
              </w:rPr>
              <w:t>核</w:t>
            </w:r>
            <w:r>
              <w:rPr>
                <w:rFonts w:ascii="仿宋_GB2312" w:hAnsi="仿宋_GB2312" w:cs="仿宋_GB2312" w:eastAsia="仿宋_GB2312"/>
                <w:sz w:val="20"/>
                <w:color w:val="000000"/>
              </w:rPr>
              <w:t>，主频</w:t>
            </w:r>
            <w:r>
              <w:rPr>
                <w:rFonts w:ascii="仿宋_GB2312" w:hAnsi="仿宋_GB2312" w:cs="仿宋_GB2312" w:eastAsia="仿宋_GB2312"/>
                <w:sz w:val="20"/>
                <w:color w:val="000000"/>
              </w:rPr>
              <w:t>≥3200MHz</w:t>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w:t>
            </w:r>
            <w:r>
              <w:rPr>
                <w:rFonts w:ascii="仿宋_GB2312" w:hAnsi="仿宋_GB2312" w:cs="仿宋_GB2312" w:eastAsia="仿宋_GB2312"/>
                <w:sz w:val="20"/>
                <w:color w:val="000000"/>
              </w:rPr>
              <w:t>32</w:t>
            </w:r>
            <w:r>
              <w:rPr>
                <w:rFonts w:ascii="仿宋_GB2312" w:hAnsi="仿宋_GB2312" w:cs="仿宋_GB2312" w:eastAsia="仿宋_GB2312"/>
                <w:sz w:val="20"/>
                <w:color w:val="000000"/>
              </w:rPr>
              <w:t>GB</w:t>
            </w:r>
            <w:r>
              <w:rPr>
                <w:rFonts w:ascii="仿宋_GB2312" w:hAnsi="仿宋_GB2312" w:cs="仿宋_GB2312" w:eastAsia="仿宋_GB2312"/>
                <w:sz w:val="20"/>
                <w:color w:val="000000"/>
              </w:rPr>
              <w:t>，固态硬盘内存</w:t>
            </w:r>
            <w:r>
              <w:rPr>
                <w:rFonts w:ascii="仿宋_GB2312" w:hAnsi="仿宋_GB2312" w:cs="仿宋_GB2312" w:eastAsia="仿宋_GB2312"/>
                <w:sz w:val="20"/>
                <w:color w:val="000000"/>
              </w:rPr>
              <w:t>≥1TB、显示器≥23.8</w:t>
            </w:r>
            <w:r>
              <w:rPr>
                <w:rFonts w:ascii="仿宋_GB2312" w:hAnsi="仿宋_GB2312" w:cs="仿宋_GB2312" w:eastAsia="仿宋_GB2312"/>
                <w:sz w:val="20"/>
                <w:color w:val="000000"/>
              </w:rPr>
              <w:t>英寸</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备注：</w:t>
            </w:r>
            <w:r>
              <w:rPr>
                <w:rFonts w:ascii="仿宋_GB2312" w:hAnsi="仿宋_GB2312" w:cs="仿宋_GB2312" w:eastAsia="仿宋_GB2312"/>
              </w:rPr>
              <w:t>本项目采购的如有产品属于节能产品政府采购品目清单（见附件）中应强制采购的产品范围，供应商应当提供国家确定的认证机构出具的、处于有效期之内的节能产品认证证书，否则作无效投标处理。</w:t>
            </w:r>
          </w:p>
        </w:tc>
      </w:tr>
    </w:tbl>
    <w:p>
      <w:pPr>
        <w:pStyle w:val="null3"/>
      </w:pPr>
      <w:r>
        <w:rPr>
          <w:rFonts w:ascii="仿宋_GB2312" w:hAnsi="仿宋_GB2312" w:cs="仿宋_GB2312" w:eastAsia="仿宋_GB2312"/>
        </w:rPr>
        <w:t>标的名称：高低温交变试验箱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ind w:right="60"/>
              <w:jc w:val="both"/>
            </w:pPr>
            <w:r>
              <w:rPr>
                <w:rFonts w:ascii="仿宋_GB2312" w:hAnsi="仿宋_GB2312" w:cs="仿宋_GB2312" w:eastAsia="仿宋_GB2312"/>
                <w:sz w:val="20"/>
              </w:rPr>
              <w:t>温度范围：</w:t>
            </w:r>
            <w:r>
              <w:rPr>
                <w:rFonts w:ascii="仿宋_GB2312" w:hAnsi="仿宋_GB2312" w:cs="仿宋_GB2312" w:eastAsia="仿宋_GB2312"/>
                <w:sz w:val="20"/>
              </w:rPr>
              <w:t>-70°C~+150°C</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温度均匀度：</w:t>
            </w:r>
            <w:r>
              <w:rPr>
                <w:rFonts w:ascii="仿宋_GB2312" w:hAnsi="仿宋_GB2312" w:cs="仿宋_GB2312" w:eastAsia="仿宋_GB2312"/>
                <w:sz w:val="20"/>
              </w:rPr>
              <w:t>±2°C</w:t>
            </w:r>
            <w:r>
              <w:rPr>
                <w:rFonts w:ascii="仿宋_GB2312" w:hAnsi="仿宋_GB2312" w:cs="仿宋_GB2312" w:eastAsia="仿宋_GB2312"/>
                <w:sz w:val="20"/>
              </w:rPr>
              <w:t>；</w:t>
            </w:r>
            <w:r>
              <w:rPr>
                <w:rFonts w:ascii="仿宋_GB2312" w:hAnsi="仿宋_GB2312" w:cs="仿宋_GB2312" w:eastAsia="仿宋_GB2312"/>
                <w:sz w:val="20"/>
              </w:rPr>
              <w:t>温度控制精度：</w:t>
            </w:r>
            <w:r>
              <w:rPr>
                <w:rFonts w:ascii="仿宋_GB2312" w:hAnsi="仿宋_GB2312" w:cs="仿宋_GB2312" w:eastAsia="仿宋_GB2312"/>
                <w:sz w:val="20"/>
              </w:rPr>
              <w:t>±0.1°C</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升温时间：</w:t>
            </w:r>
            <w:r>
              <w:rPr>
                <w:rFonts w:ascii="仿宋_GB2312" w:hAnsi="仿宋_GB2312" w:cs="仿宋_GB2312" w:eastAsia="仿宋_GB2312"/>
                <w:sz w:val="20"/>
              </w:rPr>
              <w:t>+25°C~+150°C约70分钟（空载非线性）</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rPr>
              <w:t>降温时间：</w:t>
            </w:r>
            <w:r>
              <w:rPr>
                <w:rFonts w:ascii="仿宋_GB2312" w:hAnsi="仿宋_GB2312" w:cs="仿宋_GB2312" w:eastAsia="仿宋_GB2312"/>
                <w:sz w:val="20"/>
              </w:rPr>
              <w:t>+25°C至最低温约90分钟（空载非线性）</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0"/>
              </w:rPr>
              <w:t>控制器：</w:t>
            </w:r>
            <w:r>
              <w:rPr>
                <w:rFonts w:ascii="仿宋_GB2312" w:hAnsi="仿宋_GB2312" w:cs="仿宋_GB2312" w:eastAsia="仿宋_GB2312"/>
                <w:sz w:val="20"/>
              </w:rPr>
              <w:t>LCD液晶屏P.I.D.可编程温度控制器SP790</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0"/>
              </w:rPr>
              <w:t>内部尺寸</w:t>
            </w:r>
            <w:r>
              <w:rPr>
                <w:rFonts w:ascii="仿宋_GB2312" w:hAnsi="仿宋_GB2312" w:cs="仿宋_GB2312" w:eastAsia="仿宋_GB2312"/>
                <w:sz w:val="20"/>
              </w:rPr>
              <w:t>W×D×H（cm）</w:t>
            </w:r>
            <w:r>
              <w:rPr>
                <w:rFonts w:ascii="仿宋_GB2312" w:hAnsi="仿宋_GB2312" w:cs="仿宋_GB2312" w:eastAsia="仿宋_GB2312"/>
                <w:sz w:val="20"/>
              </w:rPr>
              <w:t>≥</w:t>
            </w:r>
            <w:r>
              <w:rPr>
                <w:rFonts w:ascii="仿宋_GB2312" w:hAnsi="仿宋_GB2312" w:cs="仿宋_GB2312" w:eastAsia="仿宋_GB2312"/>
                <w:sz w:val="20"/>
              </w:rPr>
              <w:t>45×45×60</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0"/>
              </w:rPr>
              <w:t>内部容积（</w:t>
            </w:r>
            <w:r>
              <w:rPr>
                <w:rFonts w:ascii="仿宋_GB2312" w:hAnsi="仿宋_GB2312" w:cs="仿宋_GB2312" w:eastAsia="仿宋_GB2312"/>
                <w:sz w:val="20"/>
              </w:rPr>
              <w:t>L）：</w:t>
            </w:r>
            <w:r>
              <w:rPr>
                <w:rFonts w:ascii="仿宋_GB2312" w:hAnsi="仿宋_GB2312" w:cs="仿宋_GB2312" w:eastAsia="仿宋_GB2312"/>
                <w:sz w:val="20"/>
              </w:rPr>
              <w:t>≥115</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0"/>
              </w:rPr>
              <w:t>外部尺寸</w:t>
            </w:r>
            <w:r>
              <w:rPr>
                <w:rFonts w:ascii="仿宋_GB2312" w:hAnsi="仿宋_GB2312" w:cs="仿宋_GB2312" w:eastAsia="仿宋_GB2312"/>
                <w:sz w:val="20"/>
              </w:rPr>
              <w:t>W×D×H（cm）</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5</w:t>
            </w:r>
            <w:r>
              <w:rPr>
                <w:rFonts w:ascii="仿宋_GB2312" w:hAnsi="仿宋_GB2312" w:cs="仿宋_GB2312" w:eastAsia="仿宋_GB2312"/>
                <w:sz w:val="20"/>
              </w:rPr>
              <w:t>×7</w:t>
            </w:r>
            <w:r>
              <w:rPr>
                <w:rFonts w:ascii="仿宋_GB2312" w:hAnsi="仿宋_GB2312" w:cs="仿宋_GB2312" w:eastAsia="仿宋_GB2312"/>
                <w:sz w:val="20"/>
              </w:rPr>
              <w:t>5</w:t>
            </w:r>
            <w:r>
              <w:rPr>
                <w:rFonts w:ascii="仿宋_GB2312" w:hAnsi="仿宋_GB2312" w:cs="仿宋_GB2312" w:eastAsia="仿宋_GB2312"/>
                <w:sz w:val="20"/>
              </w:rPr>
              <w:t>×15</w:t>
            </w:r>
            <w:r>
              <w:rPr>
                <w:rFonts w:ascii="仿宋_GB2312" w:hAnsi="仿宋_GB2312" w:cs="仿宋_GB2312" w:eastAsia="仿宋_GB2312"/>
                <w:sz w:val="20"/>
              </w:rPr>
              <w:t>0</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0"/>
              </w:rPr>
              <w:t>搁板：</w:t>
            </w:r>
            <w:r>
              <w:rPr>
                <w:rFonts w:ascii="仿宋_GB2312" w:hAnsi="仿宋_GB2312" w:cs="仿宋_GB2312" w:eastAsia="仿宋_GB2312"/>
                <w:sz w:val="20"/>
              </w:rPr>
              <w:t>≥2个</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0"/>
              </w:rPr>
              <w:t>功率（</w:t>
            </w:r>
            <w:r>
              <w:rPr>
                <w:rFonts w:ascii="仿宋_GB2312" w:hAnsi="仿宋_GB2312" w:cs="仿宋_GB2312" w:eastAsia="仿宋_GB2312"/>
                <w:sz w:val="20"/>
              </w:rPr>
              <w:t>KW）</w:t>
            </w:r>
            <w:r>
              <w:rPr>
                <w:rFonts w:ascii="仿宋_GB2312" w:hAnsi="仿宋_GB2312" w:cs="仿宋_GB2312" w:eastAsia="仿宋_GB2312"/>
                <w:sz w:val="20"/>
              </w:rPr>
              <w:t>≥</w:t>
            </w:r>
            <w:r>
              <w:rPr>
                <w:rFonts w:ascii="仿宋_GB2312" w:hAnsi="仿宋_GB2312" w:cs="仿宋_GB2312" w:eastAsia="仿宋_GB2312"/>
                <w:sz w:val="20"/>
              </w:rPr>
              <w:t>4.2</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0"/>
              </w:rPr>
              <w:t>电源：</w:t>
            </w:r>
            <w:r>
              <w:rPr>
                <w:rFonts w:ascii="仿宋_GB2312" w:hAnsi="仿宋_GB2312" w:cs="仿宋_GB2312" w:eastAsia="仿宋_GB2312"/>
                <w:sz w:val="20"/>
              </w:rPr>
              <w:t>220V 50Hz</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0"/>
              </w:rPr>
              <w:t>外箱材质：冷轧钢板表面喷塑，内部材质：</w:t>
            </w:r>
            <w:r>
              <w:rPr>
                <w:rFonts w:ascii="仿宋_GB2312" w:hAnsi="仿宋_GB2312" w:cs="仿宋_GB2312" w:eastAsia="仿宋_GB2312"/>
                <w:sz w:val="20"/>
              </w:rPr>
              <w:t>SUS304不锈钢板</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原装全封闭压缩机</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0"/>
              </w:rPr>
              <w:t>多组</w:t>
            </w:r>
            <w:r>
              <w:rPr>
                <w:rFonts w:ascii="仿宋_GB2312" w:hAnsi="仿宋_GB2312" w:cs="仿宋_GB2312" w:eastAsia="仿宋_GB2312"/>
                <w:sz w:val="20"/>
              </w:rPr>
              <w:t>P.I.D.区域控制，应对不同温度条件，程序容量为≥10组×100段</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0"/>
              </w:rPr>
              <w:t>内箱装有风机形成微气流循环，提高箱内温度均匀度</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符合</w:t>
            </w:r>
            <w:r>
              <w:rPr>
                <w:rFonts w:ascii="仿宋_GB2312" w:hAnsi="仿宋_GB2312" w:cs="仿宋_GB2312" w:eastAsia="仿宋_GB2312"/>
                <w:sz w:val="20"/>
              </w:rPr>
              <w:t>“环境试验设备技术条件”系列标准中的GB/T10589-1989（低温试验箱技术条件）、GB/T10592-1989（高低温试验箱技术条件）、GB/T11158/T（高温试验箱技术条件）的要求</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1"/>
                <w:b/>
              </w:rPr>
              <w:t>备注：</w:t>
            </w:r>
            <w:r>
              <w:rPr>
                <w:rFonts w:ascii="仿宋_GB2312" w:hAnsi="仿宋_GB2312" w:cs="仿宋_GB2312" w:eastAsia="仿宋_GB2312"/>
                <w:sz w:val="21"/>
              </w:rPr>
              <w:t>本项目采购的如有产品属于节能产品政府采购品目清单（见附件）中应强制采购的产品范围，供应商应当提供国家确定的认证机构出具的、处于有效期之内的节能产品认证证书，否则作无效投标处理。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①交货期：自合同签订之日起120日。②质保期：货物验收合格之日起不少于一年。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验收时将逐项对照上述文件，核实所供货物是否完全响应招标需求且与投标承诺一致；2、合同及附件文本，验收过程中，所有核查内容均以合同及附件的约定为准，任何与合同不符的偏差均视为未通过验收；3、国家相应的标准、规范；4、使用高精度标准样品进行验证，结果必须达到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货物验收合格之日起一年。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按合同约定提供服务或未达到约定的服务标准、产品质量的，甲方有权解除合同，并可依法向乙方主张不低于合同总价款30%的违约金，造成损害的，可一并主张损害赔偿。甲方违约的，应当赔偿乙方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二、本项目中标人须在领取中标通知书时，线下提供纸质投标文件（正本一份，副本二份，纸质文件需与系统签章版文件保持一致）交由采购代理机构。 三、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四、投标保证金退还：中标通知书发出之日起5个工作日内退还未中标人的投标保证金，自政府采购合同签订之日起5个工作日内退还中标人的投标保证金。 五、采购人应按照采购文件和中标人投标文件，在中标通知书发出之日起25日内签订合同。 六、对本国产品的支持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七、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八、报价说明：1、因采购人具有教科文进口环节减免税资格，进口设备可以报免税报价，不在教科文减免范围的设备应按含税开展报价。2、免税报价免除仅为进口环节的教科文减免税（进口环节增值税）。3、供应商报价未明确免税报价的视为含税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投标人提供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 2024 或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投标人基本账户银行出具的资信证明，同时还需提供投标人基本存款账户开户许可证（或基本存款账户信息证明））。或提供专业担保机构出具的投标担保函，投标人需在项目电子化交易系统中按要求上传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参加本次政府采购活动前3年内在经营活动中没有重大违法记录的书面声明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投标人，不得为中国政府采购网（www.ccgp.gov.cn）政府采购严重违法失信行为记录名单中被财政部门禁止参加政府采购活动的投标人；以开标后的网站查询记录为准。</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所投进口产品的完整授权链证明材料：所投产品如为进口产品，提供所投进口产品的完整授权链证明材料。</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此处投标（响应）报价异常低价以投标单价合计金额为准进行核算； 且不允许单项金额0元报价及赠送。</w:t>
            </w:r>
          </w:p>
        </w:tc>
        <w:tc>
          <w:tcPr>
            <w:tcW w:type="dxa" w:w="1661"/>
          </w:tcPr>
          <w:p>
            <w:pPr>
              <w:pStyle w:val="null3"/>
            </w:pPr>
            <w:r>
              <w:rPr>
                <w:rFonts w:ascii="仿宋_GB2312" w:hAnsi="仿宋_GB2312" w:cs="仿宋_GB2312" w:eastAsia="仿宋_GB2312"/>
              </w:rPr>
              <w:t>开标一览表 标的清单 开标一览表、分项报价表.docx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开标一览表 投标人资格条件证明文件.docx 关于符合本国产品标准的声明函.docx 节能产品政府采购品目清单.docx 环境标志产品政府采购品目清单.docx 投标方案说明.docx 中小企业声明函 技术指标偏差表.docx 商务条款响应说明.docx 保证金缴纳凭证或担保机构出具的保函.docx 投标函 残疾人福利性单位声明函 标的清单 投标文件封面 开标一览表、分项报价表.docx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投标人资格条件证明文件.docx 关于符合本国产品标准的声明函.docx 节能产品政府采购品目清单.docx 环境标志产品政府采购品目清单.docx 投标方案说明.docx 中小企业声明函 技术指标偏差表.docx 商务条款响应说明.docx 保证金缴纳凭证或担保机构出具的保函.docx 投标函 残疾人福利性单位声明函 标的清单 投标文件封面 开标一览表、分项报价表.docx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开标一览表 投标人资格条件证明文件.docx 关于符合本国产品标准的声明函.docx 节能产品政府采购品目清单.docx 环境标志产品政府采购品目清单.docx 投标方案说明.docx 中小企业声明函 技术指标偏差表.docx 商务条款响应说明.docx 保证金缴纳凭证或担保机构出具的保函.docx 投标函 残疾人福利性单位声明函 标的清单 投标文件封面 开标一览表、分项报价表.docx 投标人承诺书.docx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投标保证金缴纳符合招标文件要求。</w:t>
            </w:r>
          </w:p>
        </w:tc>
        <w:tc>
          <w:tcPr>
            <w:tcW w:type="dxa" w:w="1661"/>
          </w:tcPr>
          <w:p>
            <w:pPr>
              <w:pStyle w:val="null3"/>
            </w:pPr>
            <w:r>
              <w:rPr>
                <w:rFonts w:ascii="仿宋_GB2312" w:hAnsi="仿宋_GB2312" w:cs="仿宋_GB2312" w:eastAsia="仿宋_GB2312"/>
              </w:rPr>
              <w:t>保证金缴纳凭证或担保机构出具的保函.docx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交货期符合招标文件要求。</w:t>
            </w:r>
          </w:p>
        </w:tc>
        <w:tc>
          <w:tcPr>
            <w:tcW w:type="dxa" w:w="1661"/>
          </w:tcPr>
          <w:p>
            <w:pPr>
              <w:pStyle w:val="null3"/>
            </w:pPr>
            <w:r>
              <w:rPr>
                <w:rFonts w:ascii="仿宋_GB2312" w:hAnsi="仿宋_GB2312" w:cs="仿宋_GB2312" w:eastAsia="仿宋_GB2312"/>
              </w:rPr>
              <w:t>投标文件封面 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质保期符合招标文件要求。</w:t>
            </w:r>
          </w:p>
        </w:tc>
        <w:tc>
          <w:tcPr>
            <w:tcW w:type="dxa" w:w="1661"/>
          </w:tcPr>
          <w:p>
            <w:pPr>
              <w:pStyle w:val="null3"/>
            </w:pPr>
            <w:r>
              <w:rPr>
                <w:rFonts w:ascii="仿宋_GB2312" w:hAnsi="仿宋_GB2312" w:cs="仿宋_GB2312" w:eastAsia="仿宋_GB2312"/>
              </w:rPr>
              <w:t>投标文件封面 商务条款响应说明.docx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投标人资格条件证明文件.docx 关于符合本国产品标准的声明函.docx 节能产品政府采购品目清单.docx 环境标志产品政府采购品目清单.docx 投标方案说明.docx 中小企业声明函 技术指标偏差表.docx 商务条款响应说明.docx 保证金缴纳凭证或担保机构出具的保函.docx 投标函 残疾人福利性单位声明函 标的清单 投标文件封面 开标一览表、分项报价表.docx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根据投标人对所投产品技术参数的响应情况进行评审：完全符合、响应招标文件要求，没有负偏离计24分；“▲”号参数为重要技术指标，每负偏离一项扣1.5分，非“▲”号参数每负偏离一项扣0.2分，扣完为止。 备注： 技术参数中“▲”参数须提供相应的佐证材料（包括但不限于产品彩页、说明书、检测报告、官网和功能截图等）予以证明技术的响应性，否则视为负偏离。</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投标人承诺书.docx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投标人提供针对本项目的实施方案，就其方案是否合理科学及措施得当，是否针对本项目实施提出重点、难点并给出相应的解决方案，进度安排、质量保证、安装及验收方案的描述。 评审依据：内容全面完整、对各项要求有详细描述，能切合本项目实际情况，方案清晰、内容科学合理，得8分，每出现一处瑕疵扣1分，扣完为止。 备注：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投标人承诺书.docx</w:t>
            </w:r>
          </w:p>
        </w:tc>
      </w:tr>
      <w:tr>
        <w:tc>
          <w:tcPr>
            <w:tcW w:type="dxa" w:w="831"/>
            <w:vMerge/>
          </w:tcPr>
          <w:p/>
        </w:tc>
        <w:tc>
          <w:tcPr>
            <w:tcW w:type="dxa" w:w="1661"/>
          </w:tcPr>
          <w:p>
            <w:pPr>
              <w:pStyle w:val="null3"/>
            </w:pPr>
            <w:r>
              <w:rPr>
                <w:rFonts w:ascii="仿宋_GB2312" w:hAnsi="仿宋_GB2312" w:cs="仿宋_GB2312" w:eastAsia="仿宋_GB2312"/>
              </w:rPr>
              <w:t>供货组织安排</w:t>
            </w:r>
          </w:p>
        </w:tc>
        <w:tc>
          <w:tcPr>
            <w:tcW w:type="dxa" w:w="2492"/>
          </w:tcPr>
          <w:p>
            <w:pPr>
              <w:pStyle w:val="null3"/>
            </w:pPr>
            <w:r>
              <w:rPr>
                <w:rFonts w:ascii="仿宋_GB2312" w:hAnsi="仿宋_GB2312" w:cs="仿宋_GB2312" w:eastAsia="仿宋_GB2312"/>
              </w:rPr>
              <w:t>投标人针对本项目有具体的供货组织安排，详细的人员、财力调配、运输、派送措施及产品到货后验收时的重点等实施方案。 评审依据：内容全面完整、对各项要求有详细描述，能切合本项目实际情况，方案清晰、内容科学合理，得3分，每出现一处瑕疵扣0.5分，扣完为止。 备注：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投标人承诺书.docx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投标人在产品使用、技术保障方面的方案及保证措施，根据响应程度按差别赋分。 评审依据：内容全面完整、对各项要求有详细描述，能切合本项目实际情况，方案清晰、内容科学合理，得6分，每出现一处瑕疵扣1分，扣完为止。 备注：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投标人承诺书.docx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负责为采购人培训操作人员，并有完整的培训方案。培训方案具有完善性、合理性。制定培训课程计划表，列出培训课程地点和时间、培训的内容、方式、次数等，培训内容应包括所提供产品的原理和技术性能、操作方法、安装调试、排除故障等各个方面，培训的具体日期及人数由使用单位确定。 评审依据：内容全面完整、对各项要求有详细描述，能切合本项目实际情况，方案清晰、内容科学合理，得5分，每出现一处瑕疵扣0.5分，扣完为止。 备注：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投标人承诺书.docx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投标人针对本项目有明确的售后服务措施，项目质保期内提供包括但不限于售后服务内容、服务流程、各类故障解决响应时间、服务方式等内容：售后服务、保障体系及措施完善，可提供现场技术支持。 评审依据：内容全面完整、对各项要求有详细描述，能切合本项目实际情况，方案清晰、内容科学合理，得5分，每出现一处瑕疵扣1分，扣完为止。 备注：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投标人承诺书.docx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提供所投产品合法来源渠道证明文件（包括但不限于销售协议或代理协议或原厂授权等），每提供1个产品计2分，满分4分，未提供不计分。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投标人承诺书.docx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投标人提供2023年1月1日至今（以合同签订日期为准）类似项目业绩合同，每提供一份计1分，满分4分。 （注：需提供项目合同或协议的关键页（包括但不限于合同首尾页、项目内容页，签字盖章页，签订日期页）扫描件，加盖公章，否则不计分。）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投标人承诺书.docx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 0.5分，每有一项为环境标志产品经国家认证的计 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投标人承诺书.docx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价格分统一采用低价优先法计算，即满足招标文件要求且投标价格最低的投标报价为评标基准价，其价格分为满分。其他投标人的价格分统一按照下列公式计算：投标报价得分=(评标基准价／投标报价)×40 ，计算分数时四舍五入取小数点后两位。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详见附件：保证金缴纳凭证或担保机构出具的保函.docx</w:t>
      </w:r>
    </w:p>
    <w:p>
      <w:pPr>
        <w:pStyle w:val="null3"/>
        <w:ind w:firstLine="960"/>
      </w:pPr>
      <w:r>
        <w:rPr>
          <w:rFonts w:ascii="仿宋_GB2312" w:hAnsi="仿宋_GB2312" w:cs="仿宋_GB2312" w:eastAsia="仿宋_GB2312"/>
        </w:rPr>
        <w:t>详见附件：节能产品政府采购品目清单.docx</w:t>
      </w:r>
    </w:p>
    <w:p>
      <w:pPr>
        <w:pStyle w:val="null3"/>
        <w:ind w:firstLine="960"/>
      </w:pPr>
      <w:r>
        <w:rPr>
          <w:rFonts w:ascii="仿宋_GB2312" w:hAnsi="仿宋_GB2312" w:cs="仿宋_GB2312" w:eastAsia="仿宋_GB2312"/>
        </w:rPr>
        <w:t>详见附件：环境标志产品政府采购品目清单.docx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