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版本号：HXTC-ZFCG-南郑区-2026052520260611002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2026年南郑区圣水镇廖坝村中药材加工产业示范园建设项目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HXTC-ZFCG-南郑区-20260525</w:t>
      </w:r>
      <w:r>
        <w:br/>
      </w:r>
      <w:r>
        <w:br/>
      </w:r>
      <w:r>
        <w:br/>
      </w:r>
    </w:p>
    <w:p>
      <w:pPr>
        <w:pStyle w:val="null3"/>
        <w:jc w:val="center"/>
        <w:outlineLvl w:val="2"/>
      </w:pPr>
      <w:r>
        <w:rPr>
          <w:rFonts w:ascii="仿宋_GB2312" w:hAnsi="仿宋_GB2312" w:cs="仿宋_GB2312" w:eastAsia="仿宋_GB2312"/>
          <w:sz w:val="28"/>
          <w:b/>
        </w:rPr>
        <w:t>汉中市南郑区圣水镇人民政府</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汉中市南郑区圣水镇人民政府</w:t>
      </w:r>
      <w:r>
        <w:rPr>
          <w:rFonts w:ascii="仿宋_GB2312" w:hAnsi="仿宋_GB2312" w:cs="仿宋_GB2312" w:eastAsia="仿宋_GB2312"/>
        </w:rPr>
        <w:t>委托，拟对</w:t>
      </w:r>
      <w:r>
        <w:rPr>
          <w:rFonts w:ascii="仿宋_GB2312" w:hAnsi="仿宋_GB2312" w:cs="仿宋_GB2312" w:eastAsia="仿宋_GB2312"/>
        </w:rPr>
        <w:t>2026年南郑区圣水镇廖坝村中药材加工产业示范园建设项目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HXTC-ZFCG-南郑区-20260525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2026年南郑区圣水镇廖坝村中药材加工产业示范园建设项目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南郑区圣水镇廖坝村中药材加工产业示范园建设项目，1项，主要工程内容包含：新建钢结构厂房；配套室外工程。公厕及冷库改造；二层附属用房改造；新建钢结构厂房，建筑面积624.96㎡，地上一层，檐口高度6.5m，门式刚架结构；配套室外工程：混凝土地面硬化1500.00㎡，围挡39.73m，铁皮大门一樘；公厕及冷库改造：室内地面、墙面、天棚改造，外墙刷真石漆，更换屋面瓦及檩条；二层附属用房改造：更换门窗，正面外墙刷真石漆，更换屋面瓦及檩条等（具体内容详见本项目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采购包1（2026年南郑区圣水镇廖坝村中药材加工产业示范园建设项目）：属于专门面向中小企业采购。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具有履行合同所必须的设备和专业技术能力：供应商须同时具备建设行政主管部门核发的[建筑工程施工总承包]三级（含三级）及以上资质等级和[钢结构工程专业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具有履行合同所必须的设备和专业技术能力：供应商须同时具备建设行政主管部门核发的[建筑工程施工总承包]三级（含三级）及以上资质等级和[钢结构工程专业承包]三级（含三级）及以上资质等级，且具有有效的安全生产许可证并在有效期内，供应商需在本项目电子化交易系统中按要求上传相关证明文件并签章；</w:t>
      </w:r>
    </w:p>
    <w:p>
      <w:pPr>
        <w:pStyle w:val="null3"/>
      </w:pPr>
      <w:r>
        <w:rPr>
          <w:rFonts w:ascii="仿宋_GB2312" w:hAnsi="仿宋_GB2312" w:cs="仿宋_GB2312" w:eastAsia="仿宋_GB2312"/>
        </w:rPr>
        <w:t>3、拟派项目负责人执业资格和专业要求：拟派项目负责人须具备[建筑工程专业]注册建造师二级（含二级）及以上执业资格和安全生产考核合格B证，且无在建项目、无不良信用记录【注：①提供项目负责人证照复印件（职称证、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拟派项目负责人执业资格和专业要求：拟派项目负责人须具备[建筑工程专业]注册建造师二级（含二级）及以上执业资格和安全生产考核合格B证，且无在建项目、无不良信用记录，供应商需在本项目电子化交易系统中按要求上传相关证明文件并签章；</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注：提供“供应商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7、供应商按规定缴纳了磋商保证金或提供磋商担保函【注：提供加盖公章的复印件。供应商需在本项目电子化交易系统中按要求上传相关证明文件并电子签章】：按规定缴纳了磋商保证金或提供磋商担保函看，供应商需在本项目电子化交易系统中按要求上传相关证明文件并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汉中市南郑区圣水镇人民政府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汉中市南郑区圣水镇中营社区1组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汉中市南郑区圣水镇人民政府经办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0916-5411011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陕西省汉中市汉台区将坛西路南侧35号颐馨园小区东单元11楼1101室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0916-2524867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开户名称：华兴天成项目咨询有限公司汉中分公司</w:t>
            </w:r>
          </w:p>
          <w:p>
            <w:pPr>
              <w:pStyle w:val="null3"/>
            </w:pPr>
            <w:r>
              <w:rPr>
                <w:rFonts w:ascii="仿宋_GB2312" w:hAnsi="仿宋_GB2312" w:cs="仿宋_GB2312" w:eastAsia="仿宋_GB2312"/>
              </w:rPr>
              <w:t>开户银行：中国银行股份有限公司汉中天汉大道支行</w:t>
            </w:r>
          </w:p>
          <w:p>
            <w:pPr>
              <w:pStyle w:val="null3"/>
            </w:pPr>
            <w:r>
              <w:rPr>
                <w:rFonts w:ascii="仿宋_GB2312" w:hAnsi="仿宋_GB2312" w:cs="仿宋_GB2312" w:eastAsia="仿宋_GB2312"/>
              </w:rPr>
              <w:t>银行账号：1024 8277 3591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发展改革委员会办公厅颁发的《关于采购代理服务收费有关问题的通知》（发改办价格[2003] 857号）、《国家发展改革委关于降低部分建设项目收费标准规范收费行为等有关问题的通知》（发改价格[2011]534号）的有关规定执行或双方合同约定。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汉中市南郑区圣水镇人民政府</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汉中市南郑区圣水镇人民政府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汉中市南郑区圣水镇人民政府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符合国家及行业现行技术规范标准，具体内容甲乙双方合同内约定或按照建设工程施工合同范本（GF—2017—0201）内容执行。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联系电话：18691605987</w:t>
      </w:r>
    </w:p>
    <w:p>
      <w:pPr>
        <w:pStyle w:val="null3"/>
      </w:pPr>
      <w:r>
        <w:rPr>
          <w:rFonts w:ascii="仿宋_GB2312" w:hAnsi="仿宋_GB2312" w:cs="仿宋_GB2312" w:eastAsia="仿宋_GB2312"/>
        </w:rPr>
        <w:t>地址：陕西省汉中市汉台区将坛西路南侧35号颐馨园小区商住楼11楼1101室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2,894,374.12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2026年南郑区圣水镇廖坝村中药材加工产业示范园建设项目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标的名称：2026年南郑区圣水镇廖坝村中药材加工产业示范园建设项目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1、工程概况</w:t>
            </w:r>
            <w:r>
              <w:rPr>
                <w:rFonts w:ascii="仿宋_GB2312" w:hAnsi="仿宋_GB2312" w:cs="仿宋_GB2312" w:eastAsia="仿宋_GB2312"/>
                <w:sz w:val="24"/>
              </w:rPr>
              <w:t>：</w:t>
            </w:r>
            <w:r>
              <w:rPr>
                <w:rFonts w:ascii="仿宋_GB2312" w:hAnsi="仿宋_GB2312" w:cs="仿宋_GB2312" w:eastAsia="仿宋_GB2312"/>
                <w:sz w:val="24"/>
              </w:rPr>
              <w:t>2026年南郑区圣水镇廖坝村中药材加工产业示范园建设项目，1项，主要工程内容包含：新建钢结构厂房；配套室外工程。公厕及冷库改造；二层附属用房改造；新建钢结构厂房，建筑面积624.96㎡，地上一层，檐口高度6.5m，门式刚架结构；配套室外工程：混凝土地面硬化1500.00㎡，围挡39.73m，铁皮大门一樘；公厕及冷库改造：室内地面、墙面、天棚改造，外墙刷真石漆，更换屋面瓦及檩条；二层附属用房改造：更换门窗，正面外墙刷真石漆，更换屋面瓦及檩条等（具体内容详见本项目施工图纸及工程量清单）</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2、施工范围：本项目施工图纸、设计文件及工程量清单范围内全部工程内容。</w:t>
            </w:r>
          </w:p>
          <w:p>
            <w:pPr>
              <w:pStyle w:val="null3"/>
              <w:jc w:val="left"/>
            </w:pPr>
            <w:r>
              <w:rPr>
                <w:rFonts w:ascii="仿宋_GB2312" w:hAnsi="仿宋_GB2312" w:cs="仿宋_GB2312" w:eastAsia="仿宋_GB2312"/>
                <w:sz w:val="24"/>
              </w:rPr>
              <w:t>3、施工地点</w:t>
            </w:r>
            <w:r>
              <w:rPr>
                <w:rFonts w:ascii="仿宋_GB2312" w:hAnsi="仿宋_GB2312" w:cs="仿宋_GB2312" w:eastAsia="仿宋_GB2312"/>
                <w:sz w:val="24"/>
              </w:rPr>
              <w:t>：位于</w:t>
            </w:r>
            <w:r>
              <w:rPr>
                <w:rFonts w:ascii="仿宋_GB2312" w:hAnsi="仿宋_GB2312" w:cs="仿宋_GB2312" w:eastAsia="仿宋_GB2312"/>
                <w:sz w:val="24"/>
              </w:rPr>
              <w:t>汉中市</w:t>
            </w:r>
            <w:r>
              <w:rPr>
                <w:rFonts w:ascii="仿宋_GB2312" w:hAnsi="仿宋_GB2312" w:cs="仿宋_GB2312" w:eastAsia="仿宋_GB2312"/>
                <w:sz w:val="24"/>
              </w:rPr>
              <w:t>南郑区圣水镇廖坝村</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计划工期</w:t>
            </w:r>
            <w:r>
              <w:rPr>
                <w:rFonts w:ascii="仿宋_GB2312" w:hAnsi="仿宋_GB2312" w:cs="仿宋_GB2312" w:eastAsia="仿宋_GB2312"/>
                <w:sz w:val="24"/>
              </w:rPr>
              <w:t>（合同履行期限）：合同签订后</w:t>
            </w:r>
            <w:r>
              <w:rPr>
                <w:rFonts w:ascii="仿宋_GB2312" w:hAnsi="仿宋_GB2312" w:cs="仿宋_GB2312" w:eastAsia="仿宋_GB2312"/>
                <w:sz w:val="24"/>
              </w:rPr>
              <w:t>90日历天（具体服务起止日期可随合同签订时间相应顺延）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工程质量</w:t>
            </w:r>
            <w:r>
              <w:rPr>
                <w:rFonts w:ascii="仿宋_GB2312" w:hAnsi="仿宋_GB2312" w:cs="仿宋_GB2312" w:eastAsia="仿宋_GB2312"/>
                <w:sz w:val="24"/>
              </w:rPr>
              <w:t>要求</w:t>
            </w:r>
            <w:r>
              <w:rPr>
                <w:rFonts w:ascii="仿宋_GB2312" w:hAnsi="仿宋_GB2312" w:cs="仿宋_GB2312" w:eastAsia="仿宋_GB2312"/>
                <w:sz w:val="24"/>
              </w:rPr>
              <w:t>：交工验收的质量评定：合格；竣工验收的质量评定：合格</w:t>
            </w:r>
            <w:r>
              <w:rPr>
                <w:rFonts w:ascii="仿宋_GB2312" w:hAnsi="仿宋_GB2312" w:cs="仿宋_GB2312" w:eastAsia="仿宋_GB2312"/>
                <w:sz w:val="24"/>
              </w:rPr>
              <w:t>；</w:t>
            </w:r>
            <w:r>
              <w:rPr>
                <w:rFonts w:ascii="仿宋_GB2312" w:hAnsi="仿宋_GB2312" w:cs="仿宋_GB2312" w:eastAsia="仿宋_GB2312"/>
                <w:sz w:val="24"/>
              </w:rPr>
              <w:t>质量达到</w:t>
            </w:r>
            <w:r>
              <w:rPr>
                <w:rFonts w:ascii="仿宋_GB2312" w:hAnsi="仿宋_GB2312" w:cs="仿宋_GB2312" w:eastAsia="仿宋_GB2312"/>
                <w:sz w:val="24"/>
              </w:rPr>
              <w:t>建筑工程</w:t>
            </w:r>
            <w:r>
              <w:rPr>
                <w:rFonts w:ascii="仿宋_GB2312" w:hAnsi="仿宋_GB2312" w:cs="仿宋_GB2312" w:eastAsia="仿宋_GB2312"/>
                <w:sz w:val="24"/>
              </w:rPr>
              <w:t>合格标准，并满足国家相关标准、规范及有关技术文件要求。</w:t>
            </w:r>
          </w:p>
          <w:p>
            <w:pPr>
              <w:pStyle w:val="null3"/>
              <w:jc w:val="left"/>
            </w:pPr>
            <w:r>
              <w:rPr>
                <w:rFonts w:ascii="仿宋_GB2312" w:hAnsi="仿宋_GB2312" w:cs="仿宋_GB2312" w:eastAsia="仿宋_GB2312"/>
                <w:sz w:val="24"/>
              </w:rPr>
              <w:t>6、安全目标：无安全责任事故发生。</w:t>
            </w:r>
          </w:p>
          <w:p>
            <w:pPr>
              <w:pStyle w:val="null3"/>
              <w:jc w:val="left"/>
            </w:pPr>
            <w:r>
              <w:rPr>
                <w:rFonts w:ascii="仿宋_GB2312" w:hAnsi="仿宋_GB2312" w:cs="仿宋_GB2312" w:eastAsia="仿宋_GB2312"/>
                <w:sz w:val="24"/>
              </w:rPr>
              <w:t>7、工程</w:t>
            </w:r>
            <w:r>
              <w:rPr>
                <w:rFonts w:ascii="仿宋_GB2312" w:hAnsi="仿宋_GB2312" w:cs="仿宋_GB2312" w:eastAsia="仿宋_GB2312"/>
                <w:sz w:val="24"/>
              </w:rPr>
              <w:t>质量保修期：</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（自工程竣工初验合格之日起计算，</w:t>
            </w:r>
            <w:r>
              <w:rPr>
                <w:rFonts w:ascii="仿宋_GB2312" w:hAnsi="仿宋_GB2312" w:cs="仿宋_GB2312" w:eastAsia="仿宋_GB2312"/>
                <w:sz w:val="24"/>
              </w:rPr>
              <w:t>若该质量</w:t>
            </w:r>
            <w:r>
              <w:rPr>
                <w:rFonts w:ascii="仿宋_GB2312" w:hAnsi="仿宋_GB2312" w:cs="仿宋_GB2312" w:eastAsia="仿宋_GB2312"/>
                <w:sz w:val="24"/>
              </w:rPr>
              <w:t>保修期</w:t>
            </w:r>
            <w:r>
              <w:rPr>
                <w:rFonts w:ascii="仿宋_GB2312" w:hAnsi="仿宋_GB2312" w:cs="仿宋_GB2312" w:eastAsia="仿宋_GB2312"/>
                <w:sz w:val="24"/>
              </w:rPr>
              <w:t>小于国家标准，则以国家</w:t>
            </w:r>
            <w:r>
              <w:rPr>
                <w:rFonts w:ascii="仿宋_GB2312" w:hAnsi="仿宋_GB2312" w:cs="仿宋_GB2312" w:eastAsia="仿宋_GB2312"/>
                <w:sz w:val="24"/>
              </w:rPr>
              <w:t>最新</w:t>
            </w:r>
            <w:r>
              <w:rPr>
                <w:rFonts w:ascii="仿宋_GB2312" w:hAnsi="仿宋_GB2312" w:cs="仿宋_GB2312" w:eastAsia="仿宋_GB2312"/>
                <w:sz w:val="24"/>
              </w:rPr>
              <w:t>标准为准</w:t>
            </w:r>
            <w:r>
              <w:rPr>
                <w:rFonts w:ascii="仿宋_GB2312" w:hAnsi="仿宋_GB2312" w:cs="仿宋_GB2312" w:eastAsia="仿宋_GB2312"/>
                <w:sz w:val="24"/>
              </w:rPr>
              <w:t>）。</w:t>
            </w:r>
          </w:p>
          <w:p>
            <w:pPr>
              <w:pStyle w:val="null3"/>
            </w:pPr>
            <w:r>
              <w:rPr>
                <w:rFonts w:ascii="仿宋_GB2312" w:hAnsi="仿宋_GB2312" w:cs="仿宋_GB2312" w:eastAsia="仿宋_GB2312"/>
                <w:sz w:val="24"/>
              </w:rPr>
              <w:t>8、其他权利与义务：满足竞争性磋商文件要求。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2"/>
            </w:pPr>
            <w:r>
              <w:rPr>
                <w:rFonts w:ascii="仿宋_GB2312" w:hAnsi="仿宋_GB2312" w:cs="仿宋_GB2312" w:eastAsia="仿宋_GB2312"/>
                <w:sz w:val="24"/>
                <w:b/>
              </w:rPr>
              <w:t>1.本项目工程概述：</w:t>
            </w:r>
          </w:p>
          <w:p>
            <w:pPr>
              <w:pStyle w:val="null3"/>
              <w:ind w:firstLine="560"/>
            </w:pPr>
            <w:r>
              <w:rPr>
                <w:rFonts w:ascii="仿宋_GB2312" w:hAnsi="仿宋_GB2312" w:cs="仿宋_GB2312" w:eastAsia="仿宋_GB2312"/>
                <w:sz w:val="24"/>
              </w:rPr>
              <w:t>（1）本工程为2026年南郑区圣水镇廖坝村中药材加工产业示范园建设项目。包含：新建钢结构厂房；配套室外工程。公厕及冷库改造；二层附属用房改造。</w:t>
            </w:r>
          </w:p>
          <w:p>
            <w:pPr>
              <w:pStyle w:val="null3"/>
              <w:ind w:firstLine="560"/>
            </w:pPr>
            <w:r>
              <w:rPr>
                <w:rFonts w:ascii="仿宋_GB2312" w:hAnsi="仿宋_GB2312" w:cs="仿宋_GB2312" w:eastAsia="仿宋_GB2312"/>
                <w:sz w:val="24"/>
              </w:rPr>
              <w:t>（2）新建钢结构厂房，建筑面积624.96㎡，地上一层，檐口高度6.5m，门式刚架结构。</w:t>
            </w:r>
          </w:p>
          <w:p>
            <w:pPr>
              <w:pStyle w:val="null3"/>
              <w:ind w:firstLine="560"/>
            </w:pPr>
            <w:r>
              <w:rPr>
                <w:rFonts w:ascii="仿宋_GB2312" w:hAnsi="仿宋_GB2312" w:cs="仿宋_GB2312" w:eastAsia="仿宋_GB2312"/>
                <w:sz w:val="24"/>
              </w:rPr>
              <w:t>（3）配套室外工程：混凝土地面硬化1500.00㎡，围挡39.73m，铁皮大门一樘。</w:t>
            </w:r>
          </w:p>
          <w:p>
            <w:pPr>
              <w:pStyle w:val="null3"/>
              <w:ind w:firstLine="560"/>
            </w:pPr>
            <w:r>
              <w:rPr>
                <w:rFonts w:ascii="仿宋_GB2312" w:hAnsi="仿宋_GB2312" w:cs="仿宋_GB2312" w:eastAsia="仿宋_GB2312"/>
                <w:sz w:val="24"/>
              </w:rPr>
              <w:t>（4）公厕及冷库改造：室内地面、墙面、天棚改造，外墙刷真石漆，更换屋面瓦及檩条。</w:t>
            </w:r>
          </w:p>
          <w:p>
            <w:pPr>
              <w:pStyle w:val="null3"/>
              <w:ind w:firstLine="560"/>
            </w:pPr>
            <w:r>
              <w:rPr>
                <w:rFonts w:ascii="仿宋_GB2312" w:hAnsi="仿宋_GB2312" w:cs="仿宋_GB2312" w:eastAsia="仿宋_GB2312"/>
                <w:sz w:val="24"/>
              </w:rPr>
              <w:t>（5）二层附属用房改造：更换门窗，正面外墙刷真石漆，更换屋面瓦及檩条。</w:t>
            </w:r>
          </w:p>
          <w:p>
            <w:pPr>
              <w:pStyle w:val="null3"/>
              <w:ind w:firstLine="562"/>
            </w:pPr>
            <w:r>
              <w:rPr>
                <w:rFonts w:ascii="仿宋_GB2312" w:hAnsi="仿宋_GB2312" w:cs="仿宋_GB2312" w:eastAsia="仿宋_GB2312"/>
                <w:sz w:val="24"/>
                <w:b/>
              </w:rPr>
              <w:t>2.编制依据：</w:t>
            </w:r>
          </w:p>
          <w:p>
            <w:pPr>
              <w:pStyle w:val="null3"/>
              <w:ind w:firstLine="560"/>
            </w:pPr>
            <w:r>
              <w:rPr>
                <w:rFonts w:ascii="仿宋_GB2312" w:hAnsi="仿宋_GB2312" w:cs="仿宋_GB2312" w:eastAsia="仿宋_GB2312"/>
                <w:sz w:val="24"/>
              </w:rPr>
              <w:t>（1）由设计公司设计的2026年南郑区圣水镇廖坝村中药材加工产业示范园建设项目施工图。</w:t>
            </w:r>
          </w:p>
          <w:p>
            <w:pPr>
              <w:pStyle w:val="null3"/>
              <w:ind w:firstLine="560"/>
            </w:pPr>
            <w:r>
              <w:rPr>
                <w:rFonts w:ascii="仿宋_GB2312" w:hAnsi="仿宋_GB2312" w:cs="仿宋_GB2312" w:eastAsia="仿宋_GB2312"/>
                <w:sz w:val="24"/>
              </w:rPr>
              <w:t>（2）《陕西省工程建设标准之建设工程工程量清单计价标准》（2025）；</w:t>
            </w:r>
          </w:p>
          <w:p>
            <w:pPr>
              <w:pStyle w:val="null3"/>
              <w:ind w:firstLine="560"/>
            </w:pPr>
            <w:r>
              <w:rPr>
                <w:rFonts w:ascii="仿宋_GB2312" w:hAnsi="仿宋_GB2312" w:cs="仿宋_GB2312" w:eastAsia="仿宋_GB2312"/>
                <w:sz w:val="24"/>
              </w:rPr>
              <w:t>（3）《陕西省工程建设标准之工程量计算标准》（2025）；</w:t>
            </w:r>
          </w:p>
          <w:p>
            <w:pPr>
              <w:pStyle w:val="null3"/>
              <w:ind w:firstLine="560"/>
            </w:pPr>
            <w:r>
              <w:rPr>
                <w:rFonts w:ascii="仿宋_GB2312" w:hAnsi="仿宋_GB2312" w:cs="仿宋_GB2312" w:eastAsia="仿宋_GB2312"/>
                <w:sz w:val="24"/>
              </w:rPr>
              <w:t>（4）《陕西省建设工程费用规则（2025）》。</w:t>
            </w:r>
          </w:p>
          <w:p>
            <w:pPr>
              <w:pStyle w:val="null3"/>
              <w:ind w:firstLine="562"/>
            </w:pPr>
            <w:r>
              <w:rPr>
                <w:rFonts w:ascii="仿宋_GB2312" w:hAnsi="仿宋_GB2312" w:cs="仿宋_GB2312" w:eastAsia="仿宋_GB2312"/>
                <w:sz w:val="24"/>
                <w:b/>
              </w:rPr>
              <w:t>3.有关问题说明：</w:t>
            </w:r>
          </w:p>
          <w:p>
            <w:pPr>
              <w:pStyle w:val="null3"/>
            </w:pPr>
            <w:r>
              <w:rPr>
                <w:rFonts w:ascii="仿宋_GB2312" w:hAnsi="仿宋_GB2312" w:cs="仿宋_GB2312" w:eastAsia="仿宋_GB2312"/>
                <w:sz w:val="24"/>
                <w:b/>
              </w:rPr>
              <w:t>（一）公共问题：</w:t>
            </w:r>
          </w:p>
          <w:p>
            <w:pPr>
              <w:pStyle w:val="null3"/>
              <w:ind w:firstLine="560"/>
            </w:pPr>
            <w:r>
              <w:rPr>
                <w:rFonts w:ascii="仿宋_GB2312" w:hAnsi="仿宋_GB2312" w:cs="仿宋_GB2312" w:eastAsia="仿宋_GB2312"/>
                <w:sz w:val="24"/>
              </w:rPr>
              <w:t>（1）本项目混凝土按商品混凝土，砂浆按预拌砂浆编制计算；</w:t>
            </w:r>
          </w:p>
          <w:p>
            <w:pPr>
              <w:pStyle w:val="null3"/>
              <w:ind w:firstLine="560"/>
            </w:pPr>
            <w:r>
              <w:rPr>
                <w:rFonts w:ascii="仿宋_GB2312" w:hAnsi="仿宋_GB2312" w:cs="仿宋_GB2312" w:eastAsia="仿宋_GB2312"/>
                <w:sz w:val="24"/>
              </w:rPr>
              <w:t>（2）余土弃置运距暂按5km计算，结算时按实结算。</w:t>
            </w:r>
          </w:p>
          <w:p>
            <w:pPr>
              <w:pStyle w:val="null3"/>
            </w:pPr>
            <w:r>
              <w:rPr>
                <w:rFonts w:ascii="仿宋_GB2312" w:hAnsi="仿宋_GB2312" w:cs="仿宋_GB2312" w:eastAsia="仿宋_GB2312"/>
                <w:sz w:val="24"/>
                <w:b/>
              </w:rPr>
              <w:t>（二）药材加工厂有关问题：</w:t>
            </w:r>
          </w:p>
          <w:p>
            <w:pPr>
              <w:pStyle w:val="null3"/>
              <w:ind w:firstLine="560"/>
            </w:pPr>
            <w:r>
              <w:rPr>
                <w:rFonts w:ascii="仿宋_GB2312" w:hAnsi="仿宋_GB2312" w:cs="仿宋_GB2312" w:eastAsia="仿宋_GB2312"/>
                <w:sz w:val="24"/>
              </w:rPr>
              <w:t>（1）药材加工厂房结构图纸设计地基处理做法为暂定，地基处理按预留暂列金50000.00元计入，结算时按实际发生工程量计算；</w:t>
            </w:r>
          </w:p>
          <w:p>
            <w:pPr>
              <w:pStyle w:val="null3"/>
              <w:ind w:firstLine="560"/>
            </w:pPr>
            <w:r>
              <w:rPr>
                <w:rFonts w:ascii="仿宋_GB2312" w:hAnsi="仿宋_GB2312" w:cs="仿宋_GB2312" w:eastAsia="仿宋_GB2312"/>
                <w:sz w:val="24"/>
              </w:rPr>
              <w:t>（2）药材加工厂房结构图纸设计：膨胀型防火涂料,等效热阻为0.24，厚度按照厂家涂料选用。经与设计沟通，暂按2.4mm计算，结算时按实调整。</w:t>
            </w:r>
          </w:p>
          <w:p>
            <w:pPr>
              <w:pStyle w:val="null3"/>
              <w:ind w:firstLine="560"/>
            </w:pPr>
            <w:r>
              <w:rPr>
                <w:rFonts w:ascii="仿宋_GB2312" w:hAnsi="仿宋_GB2312" w:cs="仿宋_GB2312" w:eastAsia="仿宋_GB2312"/>
                <w:sz w:val="24"/>
              </w:rPr>
              <w:t>（3）药材加工厂房，浸泡池筏板厚度建筑与结构图纸设计不一致，经与设计沟通，浸泡池筏板厚度按结构设计500mm计算；</w:t>
            </w:r>
          </w:p>
          <w:p>
            <w:pPr>
              <w:pStyle w:val="null3"/>
              <w:ind w:firstLine="560"/>
            </w:pPr>
            <w:r>
              <w:rPr>
                <w:rFonts w:ascii="仿宋_GB2312" w:hAnsi="仿宋_GB2312" w:cs="仿宋_GB2312" w:eastAsia="仿宋_GB2312"/>
                <w:sz w:val="24"/>
              </w:rPr>
              <w:t>（4）药材加工厂房大门，无详细设计，暂按综合单价450元/㎡计算；</w:t>
            </w:r>
          </w:p>
          <w:p>
            <w:pPr>
              <w:pStyle w:val="null3"/>
              <w:ind w:firstLine="560"/>
            </w:pPr>
            <w:r>
              <w:rPr>
                <w:rFonts w:ascii="仿宋_GB2312" w:hAnsi="仿宋_GB2312" w:cs="仿宋_GB2312" w:eastAsia="仿宋_GB2312"/>
                <w:sz w:val="24"/>
              </w:rPr>
              <w:t>（5）药材加工厂房给水水平管敷设高度不详，经与设计沟通按3.5m计算；</w:t>
            </w:r>
          </w:p>
          <w:p>
            <w:pPr>
              <w:pStyle w:val="null3"/>
              <w:ind w:firstLine="560"/>
            </w:pPr>
            <w:r>
              <w:rPr>
                <w:rFonts w:ascii="仿宋_GB2312" w:hAnsi="仿宋_GB2312" w:cs="仿宋_GB2312" w:eastAsia="仿宋_GB2312"/>
                <w:sz w:val="24"/>
              </w:rPr>
              <w:t>（6）药材加工厂房潜污泵由厂家确定参数，暂定主材价1500元/台计入。</w:t>
            </w:r>
          </w:p>
          <w:p>
            <w:pPr>
              <w:pStyle w:val="null3"/>
              <w:ind w:firstLine="560"/>
            </w:pPr>
            <w:r>
              <w:rPr>
                <w:rFonts w:ascii="仿宋_GB2312" w:hAnsi="仿宋_GB2312" w:cs="仿宋_GB2312" w:eastAsia="仿宋_GB2312"/>
                <w:sz w:val="24"/>
              </w:rPr>
              <w:t>（7）药材加工厂房内设备：烘干链条炕 1套，蒸煮机 1套，蒸汽发生器1套，切片机4套按建设单位给定暂定价计入，结算时按实际采购设备调整.</w:t>
            </w:r>
          </w:p>
          <w:p>
            <w:pPr>
              <w:pStyle w:val="null3"/>
            </w:pPr>
            <w:r>
              <w:rPr>
                <w:rFonts w:ascii="仿宋_GB2312" w:hAnsi="仿宋_GB2312" w:cs="仿宋_GB2312" w:eastAsia="仿宋_GB2312"/>
                <w:sz w:val="24"/>
                <w:b/>
              </w:rPr>
              <w:t>（三）室外有关问题：</w:t>
            </w:r>
          </w:p>
          <w:p>
            <w:pPr>
              <w:pStyle w:val="null3"/>
              <w:ind w:firstLine="560"/>
            </w:pPr>
            <w:r>
              <w:rPr>
                <w:rFonts w:ascii="仿宋_GB2312" w:hAnsi="仿宋_GB2312" w:cs="仿宋_GB2312" w:eastAsia="仿宋_GB2312"/>
                <w:sz w:val="24"/>
              </w:rPr>
              <w:t>（1）室外硬化地面，暂按硬化地面厚度计算挖土方，结算时按实调整；</w:t>
            </w:r>
          </w:p>
          <w:p>
            <w:pPr>
              <w:pStyle w:val="null3"/>
              <w:ind w:firstLine="560"/>
            </w:pPr>
            <w:r>
              <w:rPr>
                <w:rFonts w:ascii="仿宋_GB2312" w:hAnsi="仿宋_GB2312" w:cs="仿宋_GB2312" w:eastAsia="仿宋_GB2312"/>
                <w:sz w:val="24"/>
              </w:rPr>
              <w:t>（2）室外硬化地面面积按设计图纸工程量1500.00㎡计算，结算时按实调整；</w:t>
            </w:r>
          </w:p>
          <w:p>
            <w:pPr>
              <w:pStyle w:val="null3"/>
              <w:ind w:firstLine="560"/>
            </w:pPr>
            <w:r>
              <w:rPr>
                <w:rFonts w:ascii="仿宋_GB2312" w:hAnsi="仿宋_GB2312" w:cs="仿宋_GB2312" w:eastAsia="仿宋_GB2312"/>
                <w:sz w:val="24"/>
              </w:rPr>
              <w:t>（3）室外铁皮大门，无详细设计，暂按综合单价280元/㎡计算；</w:t>
            </w:r>
          </w:p>
          <w:p>
            <w:pPr>
              <w:pStyle w:val="null3"/>
              <w:ind w:firstLine="560"/>
            </w:pPr>
            <w:r>
              <w:rPr>
                <w:rFonts w:ascii="仿宋_GB2312" w:hAnsi="仿宋_GB2312" w:cs="仿宋_GB2312" w:eastAsia="仿宋_GB2312"/>
                <w:sz w:val="24"/>
              </w:rPr>
              <w:t>（4）室外总图房屋拆除不在本次发包范围内，暂不计入；</w:t>
            </w:r>
          </w:p>
          <w:p>
            <w:pPr>
              <w:pStyle w:val="null3"/>
              <w:ind w:firstLine="560"/>
            </w:pPr>
            <w:r>
              <w:rPr>
                <w:rFonts w:ascii="仿宋_GB2312" w:hAnsi="仿宋_GB2312" w:cs="仿宋_GB2312" w:eastAsia="仿宋_GB2312"/>
                <w:sz w:val="24"/>
              </w:rPr>
              <w:t>（5）室外总图地磅规格设计不详，安装时需现场确定，暂按综合单价38000.00元计入。</w:t>
            </w:r>
          </w:p>
          <w:p>
            <w:pPr>
              <w:pStyle w:val="null3"/>
            </w:pPr>
            <w:r>
              <w:rPr>
                <w:rFonts w:ascii="仿宋_GB2312" w:hAnsi="仿宋_GB2312" w:cs="仿宋_GB2312" w:eastAsia="仿宋_GB2312"/>
                <w:sz w:val="24"/>
                <w:b/>
              </w:rPr>
              <w:t>（四）公厕及冷库有关问题：</w:t>
            </w:r>
          </w:p>
          <w:p>
            <w:pPr>
              <w:pStyle w:val="null3"/>
              <w:ind w:firstLine="560"/>
            </w:pPr>
            <w:r>
              <w:rPr>
                <w:rFonts w:ascii="仿宋_GB2312" w:hAnsi="仿宋_GB2312" w:cs="仿宋_GB2312" w:eastAsia="仿宋_GB2312"/>
                <w:sz w:val="24"/>
              </w:rPr>
              <w:t>（1）冷库地面做法，建筑设计与制冷工艺设计做法不一致，经与设计沟通，按制冷工艺设计图纸冷库地面做法计算；</w:t>
            </w:r>
          </w:p>
          <w:p>
            <w:pPr>
              <w:pStyle w:val="null3"/>
              <w:ind w:firstLine="560"/>
            </w:pPr>
            <w:r>
              <w:rPr>
                <w:rFonts w:ascii="仿宋_GB2312" w:hAnsi="仿宋_GB2312" w:cs="仿宋_GB2312" w:eastAsia="仿宋_GB2312"/>
                <w:sz w:val="24"/>
              </w:rPr>
              <w:t>（2）冷库内保温墙面及天棚均按制冷工艺设计图纸计算；</w:t>
            </w:r>
          </w:p>
          <w:p>
            <w:pPr>
              <w:pStyle w:val="null3"/>
              <w:ind w:firstLine="560"/>
            </w:pPr>
            <w:r>
              <w:rPr>
                <w:rFonts w:ascii="仿宋_GB2312" w:hAnsi="仿宋_GB2312" w:cs="仿宋_GB2312" w:eastAsia="仿宋_GB2312"/>
                <w:sz w:val="24"/>
              </w:rPr>
              <w:t>（3）冷库制冷工艺图纸设计制冷机组基础，因机组尺寸不详，机组基础暂未计算；</w:t>
            </w:r>
          </w:p>
          <w:p>
            <w:pPr>
              <w:pStyle w:val="null3"/>
              <w:ind w:firstLine="560"/>
            </w:pPr>
            <w:r>
              <w:rPr>
                <w:rFonts w:ascii="仿宋_GB2312" w:hAnsi="仿宋_GB2312" w:cs="仿宋_GB2312" w:eastAsia="仿宋_GB2312"/>
                <w:sz w:val="24"/>
              </w:rPr>
              <w:t>（4）冷库V型风冷冷凝压缩机组，按专业工程暂估价75000.00元计入预算；</w:t>
            </w:r>
          </w:p>
          <w:p>
            <w:pPr>
              <w:pStyle w:val="null3"/>
              <w:ind w:firstLine="560"/>
            </w:pPr>
            <w:r>
              <w:rPr>
                <w:rFonts w:ascii="仿宋_GB2312" w:hAnsi="仿宋_GB2312" w:cs="仿宋_GB2312" w:eastAsia="仿宋_GB2312"/>
                <w:sz w:val="24"/>
              </w:rPr>
              <w:t>（5）卫生间内隔断，经咨询设计单位，按成品卫生间隔断计算。</w:t>
            </w:r>
          </w:p>
          <w:p>
            <w:pPr>
              <w:pStyle w:val="null3"/>
              <w:ind w:firstLine="560"/>
            </w:pPr>
            <w:r>
              <w:rPr>
                <w:rFonts w:ascii="仿宋_GB2312" w:hAnsi="仿宋_GB2312" w:cs="仿宋_GB2312" w:eastAsia="仿宋_GB2312"/>
                <w:sz w:val="24"/>
              </w:rPr>
              <w:t>（6）外墙真石漆按暂定综合单价80元/㎡。</w:t>
            </w:r>
          </w:p>
          <w:p>
            <w:pPr>
              <w:pStyle w:val="null3"/>
              <w:ind w:firstLine="562"/>
            </w:pPr>
            <w:r>
              <w:rPr>
                <w:rFonts w:ascii="仿宋_GB2312" w:hAnsi="仿宋_GB2312" w:cs="仿宋_GB2312" w:eastAsia="仿宋_GB2312"/>
                <w:sz w:val="24"/>
                <w:b/>
              </w:rPr>
              <w:t>4.本工程为中药加工厂新建厂房项目，</w:t>
            </w:r>
            <w:r>
              <w:rPr>
                <w:rFonts w:ascii="仿宋_GB2312" w:hAnsi="仿宋_GB2312" w:cs="仿宋_GB2312" w:eastAsia="仿宋_GB2312"/>
                <w:sz w:val="24"/>
              </w:rPr>
              <w:t>新建厂房需配套安装多台生产及辅助设备，用于满足中药加工全流程作业需求。现阶段为项目预算编制阶段，按暂定型号及价格计入：（1）烘干链条炕（型号:日处理 1-5 吨，全自动控温）：100000.00元/套；（2）蒸煮机（型号:日处理 1-3 吨，带自动控温、计时功能）：40000.00元/套；（3）蒸汽发生器（型号:0.3-0.5 吨/小时）30000.00元/套；（4）切片机（型号:日处理 1 吨以上，带变频调速）：30000.00元/套。</w:t>
            </w:r>
          </w:p>
          <w:p>
            <w:pPr>
              <w:pStyle w:val="null3"/>
              <w:ind w:firstLine="562"/>
            </w:pPr>
            <w:r>
              <w:rPr>
                <w:rFonts w:ascii="仿宋_GB2312" w:hAnsi="仿宋_GB2312" w:cs="仿宋_GB2312" w:eastAsia="仿宋_GB2312"/>
                <w:sz w:val="24"/>
                <w:b/>
              </w:rPr>
              <w:t>5.本工程量清单编制软件采用：</w:t>
            </w:r>
            <w:r>
              <w:rPr>
                <w:rFonts w:ascii="仿宋_GB2312" w:hAnsi="仿宋_GB2312" w:cs="仿宋_GB2312" w:eastAsia="仿宋_GB2312"/>
                <w:sz w:val="24"/>
              </w:rPr>
              <w:t>广联达云计价平台GCCP7.0。</w:t>
            </w:r>
          </w:p>
          <w:p>
            <w:pPr>
              <w:pStyle w:val="null3"/>
              <w:ind w:firstLine="562"/>
            </w:pPr>
            <w:r>
              <w:rPr>
                <w:rFonts w:ascii="仿宋_GB2312" w:hAnsi="仿宋_GB2312" w:cs="仿宋_GB2312" w:eastAsia="仿宋_GB2312"/>
                <w:sz w:val="24"/>
                <w:b/>
              </w:rPr>
              <w:t>6.磋商报价要求：</w:t>
            </w:r>
            <w:r>
              <w:rPr>
                <w:rFonts w:ascii="仿宋_GB2312" w:hAnsi="仿宋_GB2312" w:cs="仿宋_GB2312" w:eastAsia="仿宋_GB2312"/>
                <w:sz w:val="24"/>
              </w:rPr>
              <w:t>（1）本项目设有最高限价，最高限价经财政评审后，金额：¥2,894,374.12元（大写：贰佰捌拾玖万肆仟叁佰柒拾肆元壹角贰分），供应商的磋商响应报价超过最高限价的，视为未响应竞争性磋商文件要求，其磋商响应文件按无效响应处理。（2）供应商各轮次磋商总报价不得超过采购预算金额（最高限价），且满足磋商文件中不正当竞争预防措施（实质性要求）内容。</w:t>
            </w:r>
          </w:p>
          <w:p>
            <w:pPr>
              <w:pStyle w:val="null3"/>
              <w:ind w:firstLine="562"/>
            </w:pPr>
            <w:r>
              <w:rPr>
                <w:rFonts w:ascii="仿宋_GB2312" w:hAnsi="仿宋_GB2312" w:cs="仿宋_GB2312" w:eastAsia="仿宋_GB2312"/>
                <w:sz w:val="24"/>
                <w:b/>
              </w:rPr>
              <w:t>7.其他：</w:t>
            </w:r>
            <w:r>
              <w:rPr>
                <w:rFonts w:ascii="仿宋_GB2312" w:hAnsi="仿宋_GB2312" w:cs="仿宋_GB2312" w:eastAsia="仿宋_GB2312"/>
                <w:sz w:val="24"/>
              </w:rPr>
              <w:t>（1）本采购项目的材料、设备、施工须达到所涉及到的现行中华人民共和国以及省、自治区、直辖市或行业的工程建设标准、规范的要求；（2）该项工程项目的材料、设备、施工除须达到以上标准外，还应满足方案设计要求和采购人在竞争性磋商文件中的有关要求；（3）该工程项目的材料、设备、施工如无上述1、2条的标准，在材料、设备的定货采购和施工安装时，应出具生产厂家或施工安装企业在技术监督部门已备案企业标准，并经采购人批准后方可实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施严格遵循国家及陕西省现行建设工程标准，编制依据为工程设计公司设计的本项目施工图、《陕西省工程建设标准之建设工程工程量清单计价标准》(2025)、《陕西省工程建设标准之工程量计算标准》(2025)及《《陕西省建设工程费用规则》(2025)》；其中钢结构厂房按门式刚架相关规范计量，混凝土采用商品混凝土、砂浆采用预拌砂浆，涉及暂定做法（地基处理暂列金、防火涂料厚度暂定、做法不一致以设计沟通为准等）均按编制说明约定执行，结算时按实调整。</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1.本项目工程概述： （1）本工程为2026年南郑区圣水镇廖坝村中药材加工产业示范园建设项目。包含：新建钢结构厂房；配套室外工程。公厕及冷库改造；二层附属用房改造。 （2）新建钢结构厂房，建筑面积624.96㎡，地上一层，檐口高度6.5m，门式刚架结构。 （3）配套室外工程：混凝土地面硬化1500.00㎡，围挡39.73m，铁皮大门一樘。 （4）公厕及冷库改造：室内地面、墙面、天棚改造，外墙刷真石漆，更换屋面瓦及檩条。 （5）二层附属用房改造：更换门窗，正面外墙刷真石漆，更换屋面瓦及檩条。 2.编制依据： （1）由设计公司设计的2026年南郑区圣水镇廖坝村中药材加工产业示范园建设项目施工图。 （2）《陕西省工程建设标准之建设工程工程量清单计价标准》（2025）； （3）《陕西省工程建设标准之工程量计算标准》（2025）； （4）《陕西省建设工程费用规则（2025）》。 3.有关问题说明： （一）公共问题： （1）本项目混凝土按商品混凝土，砂浆按预拌砂浆编制计算； （2）余土弃置运距暂按5km计算，结算时按实结算。 （二）药材加工厂有关问题： （1）药材加工厂房结构图纸设计地基处理做法为暂定，地基处理按预留暂列金50000.00元计入，结算时按实际发生工程量计算； （2）药材加工厂房结构图纸设计：膨胀型防火涂料,等效热阻为0.24，厚度按照厂家涂料选用。经与设计沟通，暂按2.4mm计算，结算时按实调整。 （3）药材加工厂房，浸泡池筏板厚度建筑与结构图纸设计不一致，经与设计沟通，浸泡池筏板厚度按结构设计500mm计算； （4）药材加工厂房大门，无详细设计，暂按综合单价450元/㎡计算； （5）药材加工厂房给水水平管敷设高度不详，经与设计沟通按3.5m计算； （6）药材加工厂房潜污泵由厂家确定参数，暂定主材价1500元/台计入。 （7）药材加工厂房内设备：烘干链条炕 1套，蒸煮机 1套，蒸汽发生器1套，切片机4套按建设单位给定暂定价计入，结算时按实际采购设备调整. （三）室外有关问题： （1）室外硬化地面，暂按硬化地面厚度计算挖土方，结算时按实调整； （2）室外硬化地面面积按设计图纸工程量1500.00㎡计算，结算时按实调整； （3）室外铁皮大门，无详细设计，暂按综合单价280元/㎡计算； （4）室外总图房屋拆除不在本次发包范围内，暂不计入； （5）室外总图地磅规格设计不详，安装时需现场确定，暂按综合单价38000.00元计入。 （四）公厕及冷库有关问题： （1）冷库地面做法，建筑设计与制冷工艺设计做法不一致，经与设计沟通，按制冷工艺设计图纸冷库地面做法计算； （2）冷库内保温墙面及天棚均按制冷工艺设计图纸计算； （3）冷库制冷工艺图纸设计制冷机组基础，因机组尺寸不详，机组基础暂未计算； （4）冷库V型风冷冷凝压缩机组，按专业工程暂估价75000.00元计入预算； （5）卫生间内隔断，经咨询设计单位，按成品卫生间隔断计算。 （6）外墙真石漆按暂定综合单价80元/㎡。 4.本工程为中药加工厂新建厂房项目，新建厂房需配套安装多台生产及辅助设备，用于满足中药加工全流程作业需求。现阶段为项目预算编制阶段，按暂定型号及价格计入：（1）烘干链条炕（型号:日处理 1-5 吨，全自动控温）：100000.00元/套；（2）蒸煮机（型号:日处理 1-3 吨，带自动控温、计时功能）：40000.00元/套；（3）蒸汽发生器（型号:0.3-0.5 吨/小时）30000.00元/套；（4）切片机（型号:日处理 1 吨以上，带变频调速）：30000.00元/套。 5.本工程量清单编制软件采用：广联达云计价平台GCCP7.0。 6.磋商报价要求：（1）本项目设有最高限价，最高限价经财政评审后，金额：¥2,894,374.12元（大写：贰佰捌拾玖万肆仟叁佰柒拾肆元壹角贰分），供应商的磋商响应报价超过最高限价的，视为未响应竞争性磋商文件要求，其磋商响应文件按无效响应处理。（2）供应商各轮次磋商总报价不得超过采购预算金额（最高限价），且满足磋商文件中不正当竞争预防措施（实质性要求）内容。 7.其他：（1）本采购项目的材料、设备、施工须达到所涉及到的现行中华人民共和国以及省、自治区、直辖市或行业的工程建设标准、规范的要求；（2）该项工程项目的材料、设备、施工除须达到以上标准外，还应满足方案设计要求和采购人在竞争性磋商文件中的有关要求；（3）该工程项目的材料、设备、施工如无上述1、2条的标准，在材料、设备的定货采购和施工安装时，应出具生产厂家或施工安装企业在技术监督部门已备案企业标准，并经采购人批准后方可实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1.项目名称：2026年南郑区圣水镇廖坝村中药材加工产业示范园建设项目； 2.为顺利推进政府采购电子化交易平台应用工作，供应商务必在开标截止时间30分钟前，通过项目电子化交易系统进行签到，如未进行签到，产生的一切后果由供应商自行承担。 3.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磋商文件未列明，而供应商认为应当计取的费用均应列入报价中。报价时不论是否计取，采购人均按已计取对待。各供应商所有分项报价（与最后磋商报价比例一致）同比例下浮。 4.签名是指手写签名或者加盖名章，盖章是指加盖单位印章。 5.本项目所属行业为建筑业。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供应商须同时具备建设行政主管部门核发的[建筑工程施工总承包]三级（含三级）及以上资质等级和[钢结构工程专业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须的设备和专业技术能力：供应商须同时具备建设行政主管部门核发的[建筑工程施工总承包]三级（含三级）及以上资质等级和[钢结构工程专业承包]三级（含三级）及以上资质等级，且具有有效的安全生产许可证并在有效期内，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执业资格和专业要求：拟派项目负责人须具备[建筑工程专业]注册建造师二级（含二级）及以上执业资格和安全生产考核合格B证，且无在建项目、无不良信用记录【注：①提供项目负责人证照复印件（职称证、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拟派项目负责人执业资格和专业要求：拟派项目负责人须具备[建筑工程专业]注册建造师二级（含二级）及以上执业资格和安全生产考核合格B证，且无在建项目、无不良信用记录，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本项目不接受联合体磋商，单位负责人为同一人或者存在控股、管理关系的不同单位不得同时参与本项目磋商响应【注：提供“供应商非联合体”声明函】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供应商按规定缴纳了磋商保证金或提供磋商担保函【注：提供加盖公章的复印件。供应商需在本项目电子化交易系统中按要求上传相关证明文件并电子签章】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按规定缴纳了磋商保证金或提供磋商担保函看，供应商需在本项目电子化交易系统中按要求上传相关证明文件并签章。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①施工方案；</w:t>
            </w:r>
          </w:p>
        </w:tc>
        <w:tc>
          <w:tcPr>
            <w:tcW w:type="dxa" w:w="2492"/>
          </w:tcPr>
          <w:p>
            <w:pPr>
              <w:pStyle w:val="null3"/>
            </w:pPr>
            <w:r>
              <w:rPr>
                <w:rFonts w:ascii="仿宋_GB2312" w:hAnsi="仿宋_GB2312" w:cs="仿宋_GB2312" w:eastAsia="仿宋_GB2312"/>
              </w:rPr>
              <w:t>一、评审内容：供应商针对项目编制完善的施工方案，内容包含：①工程重难点及解决措施；②各类工程施工方法；③施工质量通病防治措施。 二、评审标准： 1、完整性：（1）完整性强：全面涵盖工程重难点及解决措施、各类工程施工方法、质量通病防治三大板块；内容系统、逻辑严密，从识别问题到制定方法再到预防措施形成闭环，无关键环节遗漏；（2）较完整：基本包含三大板块，但在某一板块中仅列出常见问题，缺少对应的具体防治做法，仅缺少量非关键性细节；（3）完整性一般：存在明显缺失（如仅写施工方法未分析重难点，或无通病防治措施），或各板块内容衔接不畅，影响整体施工的预判；（4）缺乏完整性：缺失核心板块，无法支撑项目科学实施，存在明显不完善之处。2、针对性：（1）针对性强：方案能够完全切合本项目工程实际情况（如准确识别本项目的结构形式、特殊工艺、周边环境等重难点），施工方法和通病防治措施针对本项目特点制定；（2）具有一定的针对性：方案结构基本完整，能大致契合本项目要求，但对本项目特定难点的分析或应对措施略显不足；（3）针对性一般：计划中存在明显不适用本项目的内容（如施工方法照搬通用模板，未结合本项目图纸特点；或通病防治措施未提及本项目涉及的具体分项工程）；（4）缺乏针对性：明显套用其他项目模板，未结合本项目实际（如未提及本项目建筑面积、结构类型、地质条件等关键信息），存在“万能型”描述。3、可实施性：（1）可实施性强：施工方法步骤清晰、参数明确，重难点解决措施有具体的技术支撑，通病防治有具体的检查节点和验收标准，可落地、可检查；（2）具有一定的可实施性：方法基本可行，措施基本能执行，但部分表述模糊（如“加强管理”“注意质量”），或缺少关键的参数、节点控制，可实施性较强但不够精细 ；（3）可实施性一般：方案中存在至少一处表述模糊、难以执行或不够科学合理的内容（如施工顺序不合理、通病防治措施缺乏操作性）；（4）缺乏可实施性：方案内容空洞，施工方法泛泛而谈，重难点解决措施无具体技术路径，通病防治流于形式，存在逻辑漏洞、常识错误或合理性差。 三、赋分标准：（1）根据供应商响应程度及评审内容要求，以上评审内容均完整、针对性强且实施性强的，得满分12分； （2）其中每有一条评审内容缺项的，扣4分； （3）每项评审内容中若有一处完整性、针对性或可实施性内容有缺陷或与项目不匹配的，扣1分，扣完为止。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附件1：综合评分明细表：①施工方案.docx</w:t>
            </w:r>
          </w:p>
        </w:tc>
      </w:tr>
      <w:tr>
        <w:tc>
          <w:tcPr>
            <w:tcW w:type="dxa" w:w="831"/>
            <w:vMerge/>
          </w:tcPr>
          <w:p/>
        </w:tc>
        <w:tc>
          <w:tcPr>
            <w:tcW w:type="dxa" w:w="1661"/>
          </w:tcPr>
          <w:p>
            <w:pPr>
              <w:pStyle w:val="null3"/>
            </w:pPr>
            <w:r>
              <w:rPr>
                <w:rFonts w:ascii="仿宋_GB2312" w:hAnsi="仿宋_GB2312" w:cs="仿宋_GB2312" w:eastAsia="仿宋_GB2312"/>
              </w:rPr>
              <w:t>②资源配置计划；</w:t>
            </w:r>
          </w:p>
        </w:tc>
        <w:tc>
          <w:tcPr>
            <w:tcW w:type="dxa" w:w="2492"/>
          </w:tcPr>
          <w:p>
            <w:pPr>
              <w:pStyle w:val="null3"/>
            </w:pPr>
            <w:r>
              <w:rPr>
                <w:rFonts w:ascii="仿宋_GB2312" w:hAnsi="仿宋_GB2312" w:cs="仿宋_GB2312" w:eastAsia="仿宋_GB2312"/>
              </w:rPr>
              <w:t>一、评审内容：供应商针对项目编制完善的资源配置计划，内容包含：①劳动力资源配置计划；②施工机械设备投入计划；③主要施工材料供应计划。 二、评审标准：1、完整性：（1）完整性强：计划全面覆盖了劳动力、机械设备、材料供应三大内容；各计划中均明确了具体的时间节点、数量及进场安排，无关键环节遗漏；（2）较完整：基本覆盖三大内容，但在某一计划中缺少部分时间节点或数量明细，仅存在少量非关键性的细枝末节缺失；（3）完整性一般：对三大内容虽有涉及，但存在明显的缺失项，影响整体实施的预判；（4）缺乏完整性：缺失多个关键环节或核心内容，无法支撑项目顺利推进，存在明显不完善之处。2、针对性：（1）针对性强：资源配置计划完全切合本项目实际规模及工期要求；劳动力工种搭配、机械型号选择、材料规格均精准响应本项目需求；（2）具有一定的针对性：计划基本完整，能大致切合本项目实际情况，对关键资源的配置针对性较强；（3）针对性一般：计划中多数内容能够切合本项目，但存在至少一处明显不适用；（4）缺乏针对性：计划明显套用其他项目模板，未结合本项目实际参数。3、可实施性：（1）可实施性强：工作流程完善，资源配置科学合理（如劳动力进退场时间与工序无缝衔接，机械设备功率满足工况，材料供应周期符合进度），可落地性强；（2）具有一定的可实施性：工作流程基本完善，资源配置基本合理，能切合项目实际情况，基本可落地执行 ；（3）可实施性一般：计划中存在表述模糊、难以执行或不够科学合理的内容；（4）缺乏可实施性：计划内容空洞，资源配置不合理（如人力严重不足、设备型号不匹配），存在逻辑漏洞、常识错误或明显不合理。 三、赋分标准：（1）根据供应商响应程度及评审内容要求，以上评审内容均完整、针对性强且实施性强的，得满分6分； （2）其中每有一条评审内容缺项的，扣2分； （3）每项评审内容中若有一处完整性、针对性或可实施性内容有缺陷或与项目不匹配的，扣0.5分，扣完为止。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附件2：综合评分明细表：②资源配置计划.docx</w:t>
            </w:r>
          </w:p>
        </w:tc>
      </w:tr>
      <w:tr>
        <w:tc>
          <w:tcPr>
            <w:tcW w:type="dxa" w:w="831"/>
            <w:vMerge/>
          </w:tcPr>
          <w:p/>
        </w:tc>
        <w:tc>
          <w:tcPr>
            <w:tcW w:type="dxa" w:w="1661"/>
          </w:tcPr>
          <w:p>
            <w:pPr>
              <w:pStyle w:val="null3"/>
            </w:pPr>
            <w:r>
              <w:rPr>
                <w:rFonts w:ascii="仿宋_GB2312" w:hAnsi="仿宋_GB2312" w:cs="仿宋_GB2312" w:eastAsia="仿宋_GB2312"/>
              </w:rPr>
              <w:t>③施工进度计划；</w:t>
            </w:r>
          </w:p>
        </w:tc>
        <w:tc>
          <w:tcPr>
            <w:tcW w:type="dxa" w:w="2492"/>
          </w:tcPr>
          <w:p>
            <w:pPr>
              <w:pStyle w:val="null3"/>
            </w:pPr>
            <w:r>
              <w:rPr>
                <w:rFonts w:ascii="仿宋_GB2312" w:hAnsi="仿宋_GB2312" w:cs="仿宋_GB2312" w:eastAsia="仿宋_GB2312"/>
              </w:rPr>
              <w:t>一、评审内容：供应商针对项目编制完善的施工进度计划，内容包含：①施工进度计划横道图或网络图，关键线路清晰；②进度计划保证措施；③工期保证措施。 二、评审标准： 1、完整性：（1）完整性强：包含清晰的施工进度横道图或网络图（关键线路一目了然），并配有详细的进度保证措施及工期保证措施，内容全面、系统，无遗漏；（2）较完整：基本包含上述三项内容，图表清晰，但在保证措施部分仅列出标题或简述，缺少少量非关键性细节；（3）完整性一般：图表或措施存在缺失（如仅有文字描述无图表，或仅有图表无保证措施），或关键线路标识不清，影响对整体工期的判断；（4）缺乏完整性：缺失核心内容（如无进度图、无任何保证措施），无法支撑项目工期预判，存在明显不完善之处。2、针对性：（1）针对性强：进度计划完全契合本项目需求的工期节点；保证措施和工期措施针对本项目特点（如季节性施工、交叉作业等）制定，切实可行；（2）具有一定的针对性：计划基本契合本项目工期要求，对常规进度保证措施有针对性，但对本项目特殊节点的针对性略显不足；（3）针对性一般：计划中存在明显不适用本项目的内容（如未考虑本项目场地限制导致的工序调整，或工期节点设置明显不合理）；（4）缺乏针对性：明显套用其他项目模板，未结合本项目实际工程量、工期要求及现场条件，存在“放之四海而皆准”的通用描述。3、可实施性：（1）可实施性强：进度计划逻辑严密，工序衔接顺畅（无逻辑错误），资源配置与进度匹配；保证措施和工期措施具体明确（如明确责任人、纠偏机制），科学可行；（2）具有一定的可实施性：计划基本合理，能保证总工期，措施基本可行，但部分细节（如个别工序时间估算过紧或过松，或措施缺乏具体抓手）有待优化 ；（3）可实施性一般：计划中存在表述模糊、难以执行或不够科学合理的内容（如关键线路上存在逻辑漏洞、工期保证措施空洞无物）；（4）缺乏可实施性：计划内容空洞，工序安排混乱，存在常识性错误（如混凝土养护期未留足），或措施无法保障工期目标实现。 三、赋分标准：（1）根据供应商响应程度及评审内容要求，以上评审内容均完整、针对性强且实施性强的，得满分9分； （2）其中每有一条评审内容缺项的，扣3分； （3）每项评审内容中若有一处完整性、针对性或可实施性内容有缺陷或与项目不匹配的，扣1分，扣完为止。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附件3：综合评分明细表：③施工进度计划.docx</w:t>
            </w:r>
          </w:p>
        </w:tc>
      </w:tr>
      <w:tr>
        <w:tc>
          <w:tcPr>
            <w:tcW w:type="dxa" w:w="831"/>
            <w:vMerge/>
          </w:tcPr>
          <w:p/>
        </w:tc>
        <w:tc>
          <w:tcPr>
            <w:tcW w:type="dxa" w:w="1661"/>
          </w:tcPr>
          <w:p>
            <w:pPr>
              <w:pStyle w:val="null3"/>
            </w:pPr>
            <w:r>
              <w:rPr>
                <w:rFonts w:ascii="仿宋_GB2312" w:hAnsi="仿宋_GB2312" w:cs="仿宋_GB2312" w:eastAsia="仿宋_GB2312"/>
              </w:rPr>
              <w:t>④质量保证措施；</w:t>
            </w:r>
          </w:p>
        </w:tc>
        <w:tc>
          <w:tcPr>
            <w:tcW w:type="dxa" w:w="2492"/>
          </w:tcPr>
          <w:p>
            <w:pPr>
              <w:pStyle w:val="null3"/>
            </w:pPr>
            <w:r>
              <w:rPr>
                <w:rFonts w:ascii="仿宋_GB2312" w:hAnsi="仿宋_GB2312" w:cs="仿宋_GB2312" w:eastAsia="仿宋_GB2312"/>
              </w:rPr>
              <w:t>一、评审内容：供应商针对项目编制完善的质量保证措施，内容包含 ：①质量目标管理体系；②施工质量的检验制度；③确保质量的技术组织措施。 二、评审标准： 1、完整性：（1）完整性强：全面涵盖质量目标管理体系、施工质量检验制度、确保质量的技术组织措施三大板块；内容系统、逻辑闭环，无关键模块缺失；（2）较完整：基本包含三大板块，但在某一板块中仅列出条目，缺少具体操作流程或实施细则，仅缺少量非关键性细节；（3）完整性一般：存在明显缺失（如仅有目标口号无管理体系图等），或各板块内容衔接不畅，影响整体质量管控的预判；（4）缺乏完整性：缺失核心板块（如无检验制度、无技术措施），无法支撑项目质量目标的实现，存在明显不完善之处。2、针对性：（1）针对性强：质量目标明确且量化，检验制度和技术措施完全针对本项目特点（如特殊工艺、易错环节、材料特性）制定，切实可行；（2）具有一定的针对性：质量目标基本明确，制度和技术措施能大致契合本项目要求，但对本项目特殊质量风险点的针对性略显不足；（3）针对性一般：计划中存在明显不适用本项目的内容（如检验制度照搬通用规范，未结合本项目施工需求；或技术措施未提及本项目关键工序控制点）；（4）缺乏针对性：明显套用其他项目模板，未结合本项目实际，存在“通用化”描述。3、可实施性：（1）可实施性强：质量目标可考核，检验制度有明确的检验频次、责任人、记录表单；技术组织措施具体明确，可落地、可检查；（2）具有一定的可实施性：制度基本可行，措施基本能执行，但部分细节（如检验节点描述模糊、技术措施缺乏具体操作步骤）有待细化；（3）可实施性一般：计划中存在表述模糊、难以执行或不够科学合理的内容；（4）缺乏可实施性：内容空洞，无实际操作指引，或存在逻辑漏洞（如检验制度与施工工序不匹配），无法有效保障质量。 三、赋分标准：（1）根据供应商响应程度及评审内容要求，以上评审内容均完整、针对性强且实施性强的，得满分9分； （2）其中每有一条评审内容缺项的，扣3分； （3）每项评审内容中若有一处完整性、针对性或可实施性内容有缺陷或与项目不匹配的，扣1分，扣完为止。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附件4：综合评分明细表：④质量保证措施.docx</w:t>
            </w:r>
          </w:p>
        </w:tc>
      </w:tr>
      <w:tr>
        <w:tc>
          <w:tcPr>
            <w:tcW w:type="dxa" w:w="831"/>
            <w:vMerge/>
          </w:tcPr>
          <w:p/>
        </w:tc>
        <w:tc>
          <w:tcPr>
            <w:tcW w:type="dxa" w:w="1661"/>
          </w:tcPr>
          <w:p>
            <w:pPr>
              <w:pStyle w:val="null3"/>
            </w:pPr>
            <w:r>
              <w:rPr>
                <w:rFonts w:ascii="仿宋_GB2312" w:hAnsi="仿宋_GB2312" w:cs="仿宋_GB2312" w:eastAsia="仿宋_GB2312"/>
              </w:rPr>
              <w:t>⑤安全文明施工措施；</w:t>
            </w:r>
          </w:p>
        </w:tc>
        <w:tc>
          <w:tcPr>
            <w:tcW w:type="dxa" w:w="2492"/>
          </w:tcPr>
          <w:p>
            <w:pPr>
              <w:pStyle w:val="null3"/>
            </w:pPr>
            <w:r>
              <w:rPr>
                <w:rFonts w:ascii="仿宋_GB2312" w:hAnsi="仿宋_GB2312" w:cs="仿宋_GB2312" w:eastAsia="仿宋_GB2312"/>
              </w:rPr>
              <w:t>一、评审内容：供应商针对项目编制完整的安全文明施工措施，内容包含：①安全生产管理制度；②安全文明施工措施；③安全应急预案。 二、评审标准：1、完整性：（1）完整性强：全面涵盖安全生产管理制度、安全文明施工措施、安全应急预案三大板块；内容系统、逻辑闭环，无关键模块缺失；（2）较完整：基本包含三大板块，但在某一板块中仅列出框架，缺少具体操作流程或人员职责，仅缺少量非关键性细节；（3）完整性一般：存在明显缺失（如仅有制度无预案，或无文明施工具体措施），或各板块内容衔接不畅，影响整体安全管控的预判；（4）缺乏完整性：缺失核心板块（如无应急预案、无管理制度），无法支撑项目安全目标的实现，存在明显不完善之处。2、针对性：（1）针对性强：安全管理制度明确且量化，文明施工措施和应急预案完全针对本项目特点（如高处作业、临边防护、施工噪音、极端天气、周边环境等）制定，切实可行；（2）具有一定的针对性：制度、措施和预案能大致契合本项目要求，但对本项目特殊安全风险点的针对性略显不足；（3）针对性一般：计划中存在明显不适用本项目的内容（如应急预案照搬通用模板，未结合本项目地理位置、周边人群、作业环境；或文明施工措施未提及本项目扬尘治理要求）；（4）缺乏针对性：明显套用其他项目模板，未结合本项目实际（如未提及本项目建筑面积、结构形式、周边环境特点等），存在“通用化”描述。3、可实施性：（1）可实施性强：安全管理制度可考核，文明施工措施有明确的实施标准（如围挡高度、洒水频次、垃圾清运时间）；应急预案有明确的应急组织、响应流程、物资储备，可落地、可检查；（2）具有一定的可实施性：制度基本可行，措施和预案基本能执行，但部分细节（如应急预案中应急小组人员不明确、文明施工措施中责任分工模糊）有待优化 ；（3）可实施性一般：计划中存在表述模糊、难以执行或不够科学合理的内容；（4）缺乏可实施性：内容空洞，流程不完善，措施和预案不符合现场实际（如应急物资清单缺失、文明施工措施违背环保法规），存在逻辑漏洞、常识错误或合理性差。 三、赋分标准：（1）根据供应商响应程度及评审内容要求，以上评审内容均完整、针对性强且实施性强的，得满分9分； （2）其中每有一条评审内容缺项的，扣3分； （3）每项评审内容中若有一处完整性、针对性或可实施性内容有缺陷或与项目不匹配的，扣1分，扣完为止。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附件5：综合评分明细表：⑤安全文明施工措施.docx</w:t>
            </w:r>
          </w:p>
        </w:tc>
      </w:tr>
      <w:tr>
        <w:tc>
          <w:tcPr>
            <w:tcW w:type="dxa" w:w="831"/>
            <w:vMerge/>
          </w:tcPr>
          <w:p/>
        </w:tc>
        <w:tc>
          <w:tcPr>
            <w:tcW w:type="dxa" w:w="1661"/>
          </w:tcPr>
          <w:p>
            <w:pPr>
              <w:pStyle w:val="null3"/>
            </w:pPr>
            <w:r>
              <w:rPr>
                <w:rFonts w:ascii="仿宋_GB2312" w:hAnsi="仿宋_GB2312" w:cs="仿宋_GB2312" w:eastAsia="仿宋_GB2312"/>
              </w:rPr>
              <w:t>⑥项目管理机构；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一、评审内容：供应商针对项目编制科学的项目管理机构，内容包含：①项目经理资格；②关键岗位配置；③同类项目经验；④管理制度完备性。 二、评审标准： 1、项目经理资格（1分）： ①拟派项目经理具备中级（含）及以上职称的得1分； 评审依据：需提供职称证书扫描件及近六个月在本单位社保缴纳证明，否则不得分； 2、关键岗位配置（3分）： 拟派项目管理机构中，同时配备以下人员得此项满分，每缺一人扣0.5分，扣完为止： ① 技术负责人（具备工程类中级及以上职称）； ② 专职安全员（具备C证）； ③ 施工员、质量员、资料员、材料员（提供岗位证书）。 评审依据：需提供证书扫描件及近六个月在本单位社保缴纳证明，否则不得分。 3、同类项目经验（2分）： ①拟派项目经理近3年（2023年——至今）每承担过1个已完成的类似工程项目（需提供合同及竣工验收证明），每提供1个得1分，最高得2分。 评审依据：时间以竣工验收证明为准。 4、管理制度完备性（3分）： ①提供针对本项目的组织机构岗位职责及管理制度文件，内容包含但不限于：1）岗位责任制度；2）质量安全例会制度；3）人员考勤与奖惩制度。三项内容齐全且加盖公章的得1分，未提供或内容严重缺失的不得分。 注：所有人员证书需在有效期内，且注册/所在单位需与供应商一致。</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附件6：综合评分明细表：⑥项目管理机构.pdf</w:t>
            </w:r>
          </w:p>
        </w:tc>
      </w:tr>
      <w:tr>
        <w:tc>
          <w:tcPr>
            <w:tcW w:type="dxa" w:w="831"/>
            <w:vMerge/>
          </w:tcPr>
          <w:p/>
        </w:tc>
        <w:tc>
          <w:tcPr>
            <w:tcW w:type="dxa" w:w="1661"/>
          </w:tcPr>
          <w:p>
            <w:pPr>
              <w:pStyle w:val="null3"/>
            </w:pPr>
            <w:r>
              <w:rPr>
                <w:rFonts w:ascii="仿宋_GB2312" w:hAnsi="仿宋_GB2312" w:cs="仿宋_GB2312" w:eastAsia="仿宋_GB2312"/>
              </w:rPr>
              <w:t>⑦绿色施工与可持续发展措施；</w:t>
            </w:r>
          </w:p>
        </w:tc>
        <w:tc>
          <w:tcPr>
            <w:tcW w:type="dxa" w:w="2492"/>
          </w:tcPr>
          <w:p>
            <w:pPr>
              <w:pStyle w:val="null3"/>
            </w:pPr>
            <w:r>
              <w:rPr>
                <w:rFonts w:ascii="仿宋_GB2312" w:hAnsi="仿宋_GB2312" w:cs="仿宋_GB2312" w:eastAsia="仿宋_GB2312"/>
              </w:rPr>
              <w:t>一、评审内容：供应商针对项目编制完善的绿色施工与可持续发展措施方案，体现环保、节能、节材理念，特别关注钢结构厂房新建、工程改造的特殊要求，包含：①环境保护与降尘降噪：制定的专项降尘、降噪、防异味等措施；②资源节约与循环利用：在施工过程中对水、电、建筑材料等的节约与循环利用方案；③场地复原及周边生态保护：施工结束后对场地的清理、复原及周边生态保护承诺。 二、评审标准：1、完整性：（1）完整性强：全面涵盖环境保护（降尘、降噪、防异味）、资源节约（水、电、建材循环利用）、场地复原及生态保护三大板块；针对钢结构厂房特点（如焊接烟尘、防火涂料异味、大型构件占地）制定了专项措施，无遗漏；（2）较完整：基本包含三大板块，但在某一板块中仅列出原则性承诺，缺少具体的清理或复垦步骤，仅缺少量非关键性细节；（3）完整性一般：存在明显缺失，或各板块内容衔接不畅，影响整体绿色施工的预判；（4）缺乏完整性：缺失核心板块（如无资源节约方案、无生态保护承诺），无法支撑项目绿色施工目标的实现，存在明显不完善之处。2、针对性：（1）针对性强：措施完全切合本项目钢结构厂房新建/改造的实际情况（如针对钢结构焊接、喷涂产生的废气制定专项净化方案，针对雨季施工制定土方冲刷防护，针对施工噪音制定周边居民安抚措施）；（2）具有一定的针对性：措施能大致契合本项目要求，但对本项目特殊环境风险（如施工区域周边生态敏感点、钢结构高空坠物隐患）的针对性略显不足；（3）针对性一般：计划中存在明显不适用本项目的内容（如降尘措施照搬房建通用模板，未考虑钢结构大面积喷砂除锈的粉尘控制；或资源节约措施的回收再利用等）；（4）缺乏针对性：明显套用其他房建项目模板，未结合本项目实际（如未提及本项目施工区域的地形地貌、水文地质、周边环境特点），存在“放之四海而皆准”的描述。3、可实施性：（1）可实施性强：工作流程完善，措施具体明确，实施步骤清晰，科学量化，可落地、可检查；（2）具有一定的可实施性：措施基本可行，能大致执行，但部分细节（如降尘设备选型）不够明确，有待优化 ；（3）可实施性一般：计划中存在表述模糊、难以执行或不够科学合理的内容（如仅写“加强环保管理”而无具体抓手，或资源循环利用方案成本过高/过低不符合实际）；（4）缺乏可实施性：方案内容空洞，工作流程不完善，实施标准不利于采购需求的实现，存在逻辑漏洞、常识错误（如承诺“零排放”却无处理设施）或合理性差。 三、赋分标准：（1）根据供应商响应程度及评审内容要求，以上评审内容均完整、针对性强且实施性强的，得满分6分； （2）其中每有一条评审内容缺项的，扣2分； （3）每项评审内容中若有一处完整性、针对性或可实施性内容有缺陷或与项目不匹配的，扣0.5分，扣完为止。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附件7：综合评分明细表：⑦绿色施工与可持续发展措施.docx</w:t>
            </w:r>
          </w:p>
        </w:tc>
      </w:tr>
      <w:tr>
        <w:tc>
          <w:tcPr>
            <w:tcW w:type="dxa" w:w="831"/>
            <w:vMerge/>
          </w:tcPr>
          <w:p/>
        </w:tc>
        <w:tc>
          <w:tcPr>
            <w:tcW w:type="dxa" w:w="1661"/>
          </w:tcPr>
          <w:p>
            <w:pPr>
              <w:pStyle w:val="null3"/>
            </w:pPr>
            <w:r>
              <w:rPr>
                <w:rFonts w:ascii="仿宋_GB2312" w:hAnsi="仿宋_GB2312" w:cs="仿宋_GB2312" w:eastAsia="仿宋_GB2312"/>
              </w:rPr>
              <w:t>⑧服务承诺；</w:t>
            </w:r>
          </w:p>
        </w:tc>
        <w:tc>
          <w:tcPr>
            <w:tcW w:type="dxa" w:w="2492"/>
          </w:tcPr>
          <w:p>
            <w:pPr>
              <w:pStyle w:val="null3"/>
            </w:pPr>
            <w:r>
              <w:rPr>
                <w:rFonts w:ascii="仿宋_GB2312" w:hAnsi="仿宋_GB2312" w:cs="仿宋_GB2312" w:eastAsia="仿宋_GB2312"/>
              </w:rPr>
              <w:t>一、评审内容：供应商针对本项目编制完善的服务承诺，内容包含但不限于：①实质性服务承诺：配合设备厂家进行冷库及生产设备安装调试，施工期间不影响周边村民正常生活通行、工程售后保障等；②质保承诺：提供明确的质保期（≥2年）的专项保障措施（如每季度一次），如设施设备定期巡检计划、应急响应时间（如24小时内到场）、备品备件供储备应方案等。 二、评审标准：1、完整性：（1）完整性强：全面涵盖实质性服务承诺（明确配合设备厂家安装调试的具体流程、保障施工期间不影响周边村民正常通行的具体隔离/疏导方案）和质保承诺（明确质保期≥2年，且包含详细的定期巡检计划、24小时内到场承诺、备品备件储备方案），无遗漏；（2）较完整：基本包含上述两大部分，但在质保承诺中仅列出“质保期内负责维修”，缺少巡检频次或备品备件清单等少量非关键性细节；（3）完整性一般：存在明显缺失（如仅写配合调试但未写如何保障村民通行，或质保期未明确具体年限，或无应急响）；（4）缺乏完整性：缺失核心内容（如无质保承诺、无配合调试方案），无法支撑项目交付后的服务保障，存在明显不完善之处。2、针对性：（1）针对性强：服务承诺完全切合本项目实际情况（如充分考虑本项目临近村落的特点，制定了详细的交通疏导和降噪措施；明确配合冷库及生产设备厂家的专属对接人及调试节点），承诺条款具体且有约束力；（2）具有一定的针对性：承诺能大致契合本项目要求，但对本项目特殊服务对象（如特定品牌的冷库设备）的配合细节，或对周边村民生活的具体影响规避措施略显不足；（3）针对性一般：计划中存在明显不适用本项目的内容（如承诺中未提及本项目特有的设备类型；或影响村民通行的措施过于笼统，未结合本项目施工道路实际情况）；（4）缺乏针对性：明显套用其他项目模板，未结合本项目实际（如未提及本项目周边的具体村落名称、通行路段，或设备厂家信息），存在“通用化”描述。3、可实施性：（1）可实施性强：承诺条款可量化、可考核（如明确每月一次巡检、备品备件清单明细、24小时到场的具体联系人及电话），保障措施具体明确（如设置专门的村民通行便道、警示标识），可落地、可验证；（2）具有一定的可实施性：承诺基本可行，能保障基本服务，但部分细节（如巡检频次不明确、备品备件无具体清单、通行保障措施缺乏具体执行人）有待优化 ；（3）可实施性一般：承诺中存在表述模糊、难以执行的内容（如“积极配合调试”无具体时间节点，“尽快到场”无具体时限），或保障村民通行的措施缺乏可操作性；（4）缺乏可实施性：承诺内容空洞（如仅有口号），无具体执行标准和保障措施，不利于采购需求的实现，存在逻辑漏洞或合理性差。 三、赋分标准：（1）根据供应商响应程度及评审内容要求，以上评审内容均完整、针对性强且实施性强的，得满分6分； （2）其中每有一条评审内容缺项的，扣2分； （3）每项评审内容中若有一处完整性、针对性或可实施性内容有缺陷或与项目不匹配的，扣0.5分，扣完为止。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附件8：综合评分明细表：⑧服务承诺.docx</w:t>
            </w:r>
          </w:p>
        </w:tc>
      </w:tr>
      <w:tr>
        <w:tc>
          <w:tcPr>
            <w:tcW w:type="dxa" w:w="831"/>
            <w:vMerge/>
          </w:tcPr>
          <w:p/>
        </w:tc>
        <w:tc>
          <w:tcPr>
            <w:tcW w:type="dxa" w:w="1661"/>
          </w:tcPr>
          <w:p>
            <w:pPr>
              <w:pStyle w:val="null3"/>
            </w:pPr>
            <w:r>
              <w:rPr>
                <w:rFonts w:ascii="仿宋_GB2312" w:hAnsi="仿宋_GB2312" w:cs="仿宋_GB2312" w:eastAsia="仿宋_GB2312"/>
              </w:rPr>
              <w:t>⑨类似业绩；</w:t>
            </w:r>
          </w:p>
        </w:tc>
        <w:tc>
          <w:tcPr>
            <w:tcW w:type="dxa" w:w="2492"/>
          </w:tcPr>
          <w:p>
            <w:pPr>
              <w:pStyle w:val="null3"/>
            </w:pPr>
            <w:r>
              <w:rPr>
                <w:rFonts w:ascii="仿宋_GB2312" w:hAnsi="仿宋_GB2312" w:cs="仿宋_GB2312" w:eastAsia="仿宋_GB2312"/>
              </w:rPr>
              <w:t>供应商提供近三年（2023年——至今）完成类似项目业绩（时间以签订的施工合同时间为准），每提供1个业绩得1分，此项最高得4分；（注：业绩评审需提供加盖公章的项目施工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附件9：综合评分明细表：⑨类似业绩.docx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详见附件：附件1：综合评分明细表：①施工方案.docx</w:t>
      </w:r>
    </w:p>
    <w:p>
      <w:pPr>
        <w:pStyle w:val="null3"/>
        <w:ind w:firstLine="960"/>
      </w:pPr>
      <w:r>
        <w:rPr>
          <w:rFonts w:ascii="仿宋_GB2312" w:hAnsi="仿宋_GB2312" w:cs="仿宋_GB2312" w:eastAsia="仿宋_GB2312"/>
        </w:rPr>
        <w:t>详见附件：附件2：综合评分明细表：②资源配置计划.docx</w:t>
      </w:r>
    </w:p>
    <w:p>
      <w:pPr>
        <w:pStyle w:val="null3"/>
        <w:ind w:firstLine="960"/>
      </w:pPr>
      <w:r>
        <w:rPr>
          <w:rFonts w:ascii="仿宋_GB2312" w:hAnsi="仿宋_GB2312" w:cs="仿宋_GB2312" w:eastAsia="仿宋_GB2312"/>
        </w:rPr>
        <w:t>详见附件：附件3：综合评分明细表：③施工进度计划.docx</w:t>
      </w:r>
    </w:p>
    <w:p>
      <w:pPr>
        <w:pStyle w:val="null3"/>
        <w:ind w:firstLine="960"/>
      </w:pPr>
      <w:r>
        <w:rPr>
          <w:rFonts w:ascii="仿宋_GB2312" w:hAnsi="仿宋_GB2312" w:cs="仿宋_GB2312" w:eastAsia="仿宋_GB2312"/>
        </w:rPr>
        <w:t>详见附件：附件4：综合评分明细表：④质量保证措施.docx</w:t>
      </w:r>
    </w:p>
    <w:p>
      <w:pPr>
        <w:pStyle w:val="null3"/>
        <w:ind w:firstLine="960"/>
      </w:pPr>
      <w:r>
        <w:rPr>
          <w:rFonts w:ascii="仿宋_GB2312" w:hAnsi="仿宋_GB2312" w:cs="仿宋_GB2312" w:eastAsia="仿宋_GB2312"/>
        </w:rPr>
        <w:t>详见附件：附件5：综合评分明细表：⑤安全文明施工措施.docx</w:t>
      </w:r>
    </w:p>
    <w:p>
      <w:pPr>
        <w:pStyle w:val="null3"/>
        <w:ind w:firstLine="960"/>
      </w:pPr>
      <w:r>
        <w:rPr>
          <w:rFonts w:ascii="仿宋_GB2312" w:hAnsi="仿宋_GB2312" w:cs="仿宋_GB2312" w:eastAsia="仿宋_GB2312"/>
        </w:rPr>
        <w:t>详见附件：附件6：综合评分明细表：⑥项目管理机构.pdf</w:t>
      </w:r>
    </w:p>
    <w:p>
      <w:pPr>
        <w:pStyle w:val="null3"/>
        <w:ind w:firstLine="960"/>
      </w:pPr>
      <w:r>
        <w:rPr>
          <w:rFonts w:ascii="仿宋_GB2312" w:hAnsi="仿宋_GB2312" w:cs="仿宋_GB2312" w:eastAsia="仿宋_GB2312"/>
        </w:rPr>
        <w:t>详见附件：附件7：综合评分明细表：⑦绿色施工与可持续发展措施.docx</w:t>
      </w:r>
    </w:p>
    <w:p>
      <w:pPr>
        <w:pStyle w:val="null3"/>
        <w:ind w:firstLine="960"/>
      </w:pPr>
      <w:r>
        <w:rPr>
          <w:rFonts w:ascii="仿宋_GB2312" w:hAnsi="仿宋_GB2312" w:cs="仿宋_GB2312" w:eastAsia="仿宋_GB2312"/>
        </w:rPr>
        <w:t>详见附件：附件8：综合评分明细表：⑧服务承诺.docx</w:t>
      </w:r>
    </w:p>
    <w:p>
      <w:pPr>
        <w:pStyle w:val="null3"/>
        <w:ind w:firstLine="960"/>
      </w:pPr>
      <w:r>
        <w:rPr>
          <w:rFonts w:ascii="仿宋_GB2312" w:hAnsi="仿宋_GB2312" w:cs="仿宋_GB2312" w:eastAsia="仿宋_GB2312"/>
        </w:rPr>
        <w:t>详见附件：附件9：综合评分明细表：⑨类似业绩.docx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　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