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DA236F">
      <w:pPr>
        <w:jc w:val="center"/>
        <w:rPr>
          <w:rFonts w:hint="eastAsia" w:ascii="仿宋" w:hAnsi="仿宋" w:eastAsia="仿宋" w:cs="仿宋"/>
          <w:b/>
          <w:bCs/>
          <w:color w:val="auto"/>
          <w:sz w:val="48"/>
          <w:szCs w:val="48"/>
        </w:rPr>
      </w:pPr>
    </w:p>
    <w:p w14:paraId="7663E42A">
      <w:pPr>
        <w:jc w:val="center"/>
        <w:rPr>
          <w:rFonts w:hint="eastAsia" w:ascii="仿宋" w:hAnsi="仿宋" w:eastAsia="仿宋" w:cs="仿宋"/>
          <w:b/>
          <w:bCs/>
          <w:color w:val="auto"/>
          <w:sz w:val="48"/>
          <w:szCs w:val="48"/>
        </w:rPr>
      </w:pPr>
    </w:p>
    <w:p w14:paraId="0C6DAE9E">
      <w:pPr>
        <w:jc w:val="center"/>
        <w:rPr>
          <w:rFonts w:hint="eastAsia" w:ascii="仿宋" w:hAnsi="仿宋" w:eastAsia="仿宋" w:cs="仿宋"/>
          <w:b/>
          <w:bCs/>
          <w:color w:val="auto"/>
          <w:sz w:val="48"/>
          <w:szCs w:val="48"/>
        </w:rPr>
      </w:pPr>
    </w:p>
    <w:p w14:paraId="17F6C750">
      <w:pPr>
        <w:jc w:val="center"/>
        <w:rPr>
          <w:rFonts w:hint="eastAsia" w:ascii="仿宋" w:hAnsi="仿宋" w:eastAsia="仿宋" w:cs="仿宋"/>
          <w:b/>
          <w:bCs/>
          <w:color w:val="auto"/>
          <w:sz w:val="48"/>
          <w:szCs w:val="48"/>
          <w:lang w:eastAsia="zh-CN"/>
        </w:rPr>
      </w:pPr>
      <w:r>
        <w:rPr>
          <w:rFonts w:hint="eastAsia" w:ascii="仿宋" w:hAnsi="仿宋" w:eastAsia="仿宋" w:cs="仿宋"/>
          <w:b/>
          <w:bCs/>
          <w:color w:val="auto"/>
          <w:sz w:val="48"/>
          <w:szCs w:val="48"/>
          <w:lang w:eastAsia="zh-CN"/>
        </w:rPr>
        <w:t>2026年市政道路定线及放点</w:t>
      </w:r>
    </w:p>
    <w:p w14:paraId="350CCF8C">
      <w:pPr>
        <w:jc w:val="center"/>
        <w:rPr>
          <w:rFonts w:hint="eastAsia" w:ascii="仿宋" w:hAnsi="仿宋" w:eastAsia="仿宋" w:cs="仿宋"/>
          <w:b/>
          <w:bCs/>
          <w:color w:val="auto"/>
          <w:sz w:val="48"/>
          <w:szCs w:val="48"/>
        </w:rPr>
      </w:pPr>
    </w:p>
    <w:p w14:paraId="5DB58F65">
      <w:pPr>
        <w:jc w:val="center"/>
        <w:rPr>
          <w:rFonts w:hint="eastAsia" w:ascii="仿宋" w:hAnsi="仿宋" w:eastAsia="仿宋" w:cs="仿宋"/>
          <w:b/>
          <w:bCs/>
          <w:color w:val="auto"/>
          <w:sz w:val="48"/>
          <w:szCs w:val="48"/>
          <w:lang w:val="en-US" w:eastAsia="zh-CN"/>
        </w:rPr>
      </w:pPr>
      <w:r>
        <w:rPr>
          <w:rFonts w:hint="eastAsia" w:ascii="仿宋" w:hAnsi="仿宋" w:eastAsia="仿宋" w:cs="仿宋"/>
          <w:b/>
          <w:bCs/>
          <w:color w:val="auto"/>
          <w:sz w:val="48"/>
          <w:szCs w:val="48"/>
          <w:lang w:val="en-US" w:eastAsia="zh-CN"/>
        </w:rPr>
        <w:t>服务合同</w:t>
      </w:r>
    </w:p>
    <w:p w14:paraId="338D4E64">
      <w:pPr>
        <w:jc w:val="center"/>
        <w:rPr>
          <w:rFonts w:hint="eastAsia" w:ascii="仿宋" w:hAnsi="仿宋" w:eastAsia="仿宋" w:cs="仿宋"/>
          <w:b/>
          <w:bCs/>
          <w:color w:val="auto"/>
          <w:sz w:val="36"/>
          <w:szCs w:val="36"/>
          <w:lang w:val="en-US" w:eastAsia="zh-CN"/>
        </w:rPr>
      </w:pPr>
    </w:p>
    <w:p w14:paraId="3393723B">
      <w:pPr>
        <w:jc w:val="center"/>
        <w:rPr>
          <w:rFonts w:hint="eastAsia" w:ascii="仿宋" w:hAnsi="仿宋" w:eastAsia="仿宋" w:cs="仿宋"/>
          <w:b/>
          <w:bCs/>
          <w:color w:val="auto"/>
          <w:sz w:val="36"/>
          <w:szCs w:val="36"/>
          <w:lang w:val="en-US" w:eastAsia="zh-CN"/>
        </w:rPr>
      </w:pPr>
      <w:r>
        <w:rPr>
          <w:rFonts w:hint="eastAsia" w:ascii="仿宋" w:hAnsi="仿宋" w:eastAsia="仿宋" w:cs="仿宋"/>
          <w:b/>
          <w:bCs/>
          <w:color w:val="auto"/>
          <w:sz w:val="36"/>
          <w:szCs w:val="36"/>
          <w:lang w:val="en-US" w:eastAsia="zh-CN"/>
        </w:rPr>
        <w:t>（项目编号：ZLC-XA-2026012）</w:t>
      </w:r>
    </w:p>
    <w:p w14:paraId="25934884">
      <w:pPr>
        <w:jc w:val="both"/>
        <w:rPr>
          <w:rFonts w:hint="eastAsia" w:ascii="仿宋" w:hAnsi="仿宋" w:eastAsia="仿宋" w:cs="仿宋"/>
          <w:b/>
          <w:bCs/>
          <w:color w:val="auto"/>
          <w:sz w:val="28"/>
          <w:szCs w:val="28"/>
          <w:lang w:val="en-US" w:eastAsia="zh-CN"/>
        </w:rPr>
      </w:pPr>
    </w:p>
    <w:p w14:paraId="1E114592">
      <w:pPr>
        <w:jc w:val="center"/>
        <w:rPr>
          <w:rFonts w:hint="eastAsia" w:ascii="仿宋" w:hAnsi="仿宋" w:eastAsia="仿宋" w:cs="仿宋"/>
          <w:b/>
          <w:bCs/>
          <w:color w:val="auto"/>
          <w:sz w:val="28"/>
          <w:szCs w:val="28"/>
          <w:lang w:val="en-US" w:eastAsia="zh-CN"/>
        </w:rPr>
      </w:pPr>
    </w:p>
    <w:p w14:paraId="00A31400">
      <w:pPr>
        <w:jc w:val="center"/>
        <w:rPr>
          <w:rFonts w:hint="eastAsia" w:ascii="仿宋" w:hAnsi="仿宋" w:eastAsia="仿宋" w:cs="仿宋"/>
          <w:b/>
          <w:bCs/>
          <w:color w:val="auto"/>
          <w:sz w:val="28"/>
          <w:szCs w:val="28"/>
          <w:lang w:val="en-US" w:eastAsia="zh-CN"/>
        </w:rPr>
      </w:pPr>
    </w:p>
    <w:p w14:paraId="3420266E">
      <w:pPr>
        <w:jc w:val="center"/>
        <w:rPr>
          <w:rFonts w:hint="eastAsia" w:ascii="仿宋" w:hAnsi="仿宋" w:eastAsia="仿宋" w:cs="仿宋"/>
          <w:b/>
          <w:bCs/>
          <w:color w:val="auto"/>
          <w:sz w:val="28"/>
          <w:szCs w:val="28"/>
          <w:lang w:val="en-US" w:eastAsia="zh-CN"/>
        </w:rPr>
      </w:pPr>
    </w:p>
    <w:p w14:paraId="63D185F0">
      <w:pPr>
        <w:jc w:val="center"/>
        <w:rPr>
          <w:rFonts w:hint="eastAsia" w:ascii="仿宋" w:hAnsi="仿宋" w:eastAsia="仿宋" w:cs="仿宋"/>
          <w:b/>
          <w:bCs/>
          <w:color w:val="auto"/>
          <w:sz w:val="28"/>
          <w:szCs w:val="28"/>
          <w:lang w:val="en-US" w:eastAsia="zh-CN"/>
        </w:rPr>
      </w:pPr>
    </w:p>
    <w:p w14:paraId="66159163">
      <w:pPr>
        <w:spacing w:line="480" w:lineRule="auto"/>
        <w:jc w:val="both"/>
        <w:rPr>
          <w:rFonts w:hint="eastAsia" w:ascii="仿宋" w:hAnsi="仿宋" w:eastAsia="仿宋" w:cs="仿宋"/>
          <w:b/>
          <w:bCs/>
          <w:color w:val="auto"/>
          <w:sz w:val="28"/>
          <w:szCs w:val="28"/>
          <w:lang w:val="en-US" w:eastAsia="zh-CN"/>
        </w:rPr>
      </w:pPr>
    </w:p>
    <w:p w14:paraId="6333AE1B">
      <w:pPr>
        <w:spacing w:line="480" w:lineRule="auto"/>
        <w:jc w:val="both"/>
        <w:rPr>
          <w:rFonts w:hint="eastAsia" w:ascii="仿宋" w:hAnsi="仿宋" w:eastAsia="仿宋" w:cs="仿宋"/>
          <w:b/>
          <w:bCs/>
          <w:color w:val="auto"/>
          <w:sz w:val="28"/>
          <w:szCs w:val="28"/>
          <w:lang w:val="en-US" w:eastAsia="zh-CN"/>
        </w:rPr>
      </w:pPr>
    </w:p>
    <w:p w14:paraId="10FBB520">
      <w:pPr>
        <w:spacing w:line="480" w:lineRule="auto"/>
        <w:ind w:firstLine="2249" w:firstLineChars="700"/>
        <w:jc w:val="both"/>
        <w:rPr>
          <w:rFonts w:hint="default" w:ascii="仿宋" w:hAnsi="仿宋" w:eastAsia="仿宋" w:cs="仿宋"/>
          <w:b/>
          <w:bCs/>
          <w:color w:val="auto"/>
          <w:sz w:val="32"/>
          <w:szCs w:val="32"/>
          <w:lang w:val="en-US" w:eastAsia="zh-CN"/>
        </w:rPr>
      </w:pPr>
      <w:r>
        <w:rPr>
          <w:rFonts w:hint="eastAsia" w:ascii="仿宋" w:hAnsi="仿宋" w:eastAsia="仿宋" w:cs="仿宋"/>
          <w:b/>
          <w:bCs/>
          <w:color w:val="auto"/>
          <w:sz w:val="32"/>
          <w:szCs w:val="32"/>
          <w:lang w:val="en-US" w:eastAsia="zh-CN"/>
        </w:rPr>
        <w:t>甲方：西安市自然资源和规划局</w:t>
      </w:r>
    </w:p>
    <w:p w14:paraId="091FC8D1">
      <w:pPr>
        <w:spacing w:line="480" w:lineRule="auto"/>
        <w:ind w:firstLine="2249" w:firstLineChars="700"/>
        <w:jc w:val="both"/>
        <w:rPr>
          <w:rFonts w:hint="default" w:ascii="仿宋" w:hAnsi="仿宋" w:eastAsia="仿宋" w:cs="仿宋"/>
          <w:b/>
          <w:bCs/>
          <w:color w:val="auto"/>
          <w:sz w:val="32"/>
          <w:szCs w:val="32"/>
          <w:u w:val="single"/>
          <w:lang w:val="en-US" w:eastAsia="zh-CN"/>
        </w:rPr>
      </w:pPr>
      <w:r>
        <w:rPr>
          <w:rFonts w:hint="eastAsia" w:ascii="仿宋" w:hAnsi="仿宋" w:eastAsia="仿宋" w:cs="仿宋"/>
          <w:b/>
          <w:bCs/>
          <w:color w:val="auto"/>
          <w:sz w:val="32"/>
          <w:szCs w:val="32"/>
          <w:lang w:val="en-US" w:eastAsia="zh-CN"/>
        </w:rPr>
        <w:t>乙方：</w:t>
      </w:r>
      <w:r>
        <w:rPr>
          <w:rFonts w:hint="eastAsia" w:ascii="仿宋" w:hAnsi="仿宋" w:eastAsia="仿宋" w:cs="仿宋"/>
          <w:b/>
          <w:bCs/>
          <w:color w:val="auto"/>
          <w:sz w:val="32"/>
          <w:szCs w:val="32"/>
          <w:u w:val="single"/>
          <w:lang w:val="en-US" w:eastAsia="zh-CN"/>
        </w:rPr>
        <w:t xml:space="preserve">                        </w:t>
      </w:r>
    </w:p>
    <w:p w14:paraId="0708458C">
      <w:pPr>
        <w:spacing w:line="480" w:lineRule="auto"/>
        <w:ind w:firstLine="2249" w:firstLineChars="700"/>
        <w:rPr>
          <w:rFonts w:hint="eastAsia" w:ascii="仿宋" w:hAnsi="仿宋" w:eastAsia="仿宋" w:cs="仿宋"/>
          <w:b/>
          <w:bCs/>
          <w:color w:val="auto"/>
          <w:sz w:val="28"/>
          <w:szCs w:val="28"/>
        </w:rPr>
      </w:pPr>
      <w:r>
        <w:rPr>
          <w:rFonts w:hint="eastAsia" w:ascii="仿宋" w:hAnsi="仿宋" w:eastAsia="仿宋" w:cs="仿宋"/>
          <w:b/>
          <w:bCs/>
          <w:color w:val="auto"/>
          <w:sz w:val="32"/>
          <w:szCs w:val="32"/>
          <w:lang w:val="en-US" w:eastAsia="zh-CN"/>
        </w:rPr>
        <w:t>签订日期：</w:t>
      </w:r>
      <w:r>
        <w:rPr>
          <w:rFonts w:hint="eastAsia" w:ascii="仿宋" w:hAnsi="仿宋" w:eastAsia="仿宋" w:cs="仿宋"/>
          <w:b/>
          <w:bCs/>
          <w:color w:val="auto"/>
          <w:sz w:val="32"/>
          <w:szCs w:val="32"/>
          <w:u w:val="single"/>
          <w:lang w:val="en-US" w:eastAsia="zh-CN"/>
        </w:rPr>
        <w:t xml:space="preserve">                    </w:t>
      </w:r>
      <w:r>
        <w:rPr>
          <w:rFonts w:hint="eastAsia" w:ascii="仿宋" w:hAnsi="仿宋" w:eastAsia="仿宋" w:cs="仿宋"/>
          <w:b/>
          <w:bCs/>
          <w:color w:val="auto"/>
          <w:sz w:val="28"/>
          <w:szCs w:val="28"/>
        </w:rPr>
        <w:br w:type="page"/>
      </w:r>
    </w:p>
    <w:p w14:paraId="1C7FAC4F">
      <w:pPr>
        <w:spacing w:line="360" w:lineRule="auto"/>
        <w:ind w:firstLine="482" w:firstLineChars="200"/>
        <w:contextualSpacing/>
        <w:rPr>
          <w:rFonts w:hint="eastAsia" w:ascii="仿宋" w:hAnsi="仿宋" w:eastAsia="仿宋" w:cs="仿宋"/>
          <w:color w:val="auto"/>
          <w:sz w:val="24"/>
          <w:szCs w:val="24"/>
        </w:rPr>
      </w:pPr>
      <w:r>
        <w:rPr>
          <w:rFonts w:hint="eastAsia" w:ascii="仿宋" w:hAnsi="仿宋" w:eastAsia="仿宋" w:cs="仿宋"/>
          <w:b/>
          <w:bCs/>
          <w:color w:val="auto"/>
          <w:sz w:val="24"/>
          <w:szCs w:val="24"/>
        </w:rPr>
        <w:t>甲方：</w:t>
      </w:r>
      <w:r>
        <w:rPr>
          <w:rFonts w:hint="eastAsia" w:ascii="仿宋" w:hAnsi="仿宋" w:eastAsia="仿宋" w:cs="仿宋"/>
          <w:color w:val="auto"/>
          <w:sz w:val="24"/>
          <w:szCs w:val="24"/>
        </w:rPr>
        <w:t xml:space="preserve">西安市自然资源和规划局 </w:t>
      </w:r>
    </w:p>
    <w:p w14:paraId="6F04B79B">
      <w:pPr>
        <w:spacing w:line="360" w:lineRule="auto"/>
        <w:ind w:firstLine="480" w:firstLineChars="200"/>
        <w:contextualSpacing/>
        <w:rPr>
          <w:rFonts w:hint="eastAsia" w:ascii="仿宋" w:hAnsi="仿宋" w:eastAsia="仿宋" w:cs="仿宋"/>
          <w:color w:val="auto"/>
          <w:sz w:val="24"/>
          <w:szCs w:val="24"/>
        </w:rPr>
      </w:pPr>
      <w:r>
        <w:rPr>
          <w:rFonts w:hint="eastAsia" w:ascii="仿宋" w:hAnsi="仿宋" w:eastAsia="仿宋" w:cs="仿宋"/>
          <w:color w:val="auto"/>
          <w:sz w:val="24"/>
          <w:szCs w:val="24"/>
        </w:rPr>
        <w:t>地址：</w:t>
      </w:r>
      <w:r>
        <w:rPr>
          <w:rFonts w:hint="eastAsia" w:ascii="仿宋" w:hAnsi="仿宋" w:eastAsia="仿宋" w:cs="仿宋"/>
          <w:color w:val="auto"/>
          <w:kern w:val="0"/>
          <w:sz w:val="24"/>
          <w:szCs w:val="24"/>
        </w:rPr>
        <w:t xml:space="preserve"> </w:t>
      </w:r>
      <w:r>
        <w:rPr>
          <w:rFonts w:hint="eastAsia" w:ascii="仿宋" w:hAnsi="仿宋" w:eastAsia="仿宋" w:cs="仿宋"/>
          <w:color w:val="auto"/>
          <w:sz w:val="24"/>
          <w:szCs w:val="24"/>
        </w:rPr>
        <w:t>西安市未央区凤城九路139号市级机关凤城九路办公区</w:t>
      </w:r>
    </w:p>
    <w:p w14:paraId="7979033C">
      <w:pPr>
        <w:spacing w:line="360" w:lineRule="auto"/>
        <w:ind w:firstLine="480" w:firstLineChars="200"/>
        <w:contextualSpacing/>
        <w:rPr>
          <w:rFonts w:hint="eastAsia" w:ascii="仿宋" w:hAnsi="仿宋" w:eastAsia="仿宋" w:cs="仿宋"/>
          <w:color w:val="auto"/>
          <w:sz w:val="24"/>
          <w:szCs w:val="24"/>
        </w:rPr>
      </w:pPr>
      <w:r>
        <w:rPr>
          <w:rFonts w:hint="eastAsia" w:ascii="仿宋" w:hAnsi="仿宋" w:eastAsia="仿宋" w:cs="仿宋"/>
          <w:color w:val="auto"/>
          <w:sz w:val="24"/>
          <w:szCs w:val="24"/>
        </w:rPr>
        <w:t>联系人：</w:t>
      </w:r>
    </w:p>
    <w:p w14:paraId="182EC1A4">
      <w:pPr>
        <w:spacing w:line="360" w:lineRule="auto"/>
        <w:ind w:firstLine="480" w:firstLineChars="200"/>
        <w:contextualSpacing/>
        <w:rPr>
          <w:rFonts w:hint="eastAsia" w:ascii="仿宋" w:hAnsi="仿宋" w:eastAsia="仿宋" w:cs="仿宋"/>
          <w:b/>
          <w:bCs/>
          <w:color w:val="auto"/>
          <w:sz w:val="24"/>
          <w:szCs w:val="24"/>
        </w:rPr>
      </w:pPr>
      <w:r>
        <w:rPr>
          <w:rFonts w:hint="eastAsia" w:ascii="仿宋" w:hAnsi="仿宋" w:eastAsia="仿宋" w:cs="仿宋"/>
          <w:color w:val="auto"/>
          <w:sz w:val="24"/>
          <w:szCs w:val="24"/>
        </w:rPr>
        <w:t>联系方式：</w:t>
      </w:r>
    </w:p>
    <w:p w14:paraId="4F2BAF05">
      <w:pPr>
        <w:spacing w:line="360" w:lineRule="auto"/>
        <w:ind w:firstLine="482" w:firstLineChars="200"/>
        <w:contextualSpacing/>
        <w:rPr>
          <w:rFonts w:hint="default" w:ascii="仿宋" w:hAnsi="仿宋" w:eastAsia="仿宋" w:cs="仿宋"/>
          <w:color w:val="auto"/>
          <w:sz w:val="24"/>
          <w:szCs w:val="24"/>
          <w:u w:val="single"/>
          <w:lang w:val="en-US" w:eastAsia="zh-CN"/>
        </w:rPr>
      </w:pPr>
      <w:r>
        <w:rPr>
          <w:rFonts w:hint="eastAsia" w:ascii="仿宋" w:hAnsi="仿宋" w:eastAsia="仿宋" w:cs="仿宋"/>
          <w:b/>
          <w:bCs/>
          <w:color w:val="auto"/>
          <w:sz w:val="24"/>
          <w:szCs w:val="24"/>
        </w:rPr>
        <w:t>乙方：</w:t>
      </w:r>
      <w:r>
        <w:rPr>
          <w:rFonts w:hint="eastAsia" w:ascii="仿宋" w:hAnsi="仿宋" w:eastAsia="仿宋" w:cs="仿宋"/>
          <w:b/>
          <w:bCs/>
          <w:color w:val="auto"/>
          <w:sz w:val="24"/>
          <w:szCs w:val="24"/>
          <w:u w:val="single"/>
          <w:lang w:val="en-US" w:eastAsia="zh-CN"/>
        </w:rPr>
        <w:t xml:space="preserve">                     </w:t>
      </w:r>
    </w:p>
    <w:p w14:paraId="2976FB68">
      <w:pPr>
        <w:spacing w:line="360" w:lineRule="auto"/>
        <w:ind w:firstLine="480" w:firstLineChars="200"/>
        <w:contextualSpacing/>
        <w:rPr>
          <w:rFonts w:hint="eastAsia" w:ascii="仿宋" w:hAnsi="仿宋" w:eastAsia="仿宋" w:cs="仿宋"/>
          <w:color w:val="auto"/>
          <w:sz w:val="24"/>
          <w:szCs w:val="24"/>
        </w:rPr>
      </w:pPr>
      <w:r>
        <w:rPr>
          <w:rFonts w:hint="eastAsia" w:ascii="仿宋" w:hAnsi="仿宋" w:eastAsia="仿宋" w:cs="仿宋"/>
          <w:color w:val="auto"/>
          <w:sz w:val="24"/>
          <w:szCs w:val="24"/>
        </w:rPr>
        <w:t>地址：</w:t>
      </w:r>
    </w:p>
    <w:p w14:paraId="6AE98F5E">
      <w:pPr>
        <w:spacing w:line="360" w:lineRule="auto"/>
        <w:ind w:firstLine="480" w:firstLineChars="200"/>
        <w:contextualSpacing/>
        <w:rPr>
          <w:rFonts w:hint="eastAsia" w:ascii="仿宋" w:hAnsi="仿宋" w:eastAsia="仿宋" w:cs="仿宋"/>
          <w:color w:val="auto"/>
          <w:sz w:val="24"/>
          <w:szCs w:val="24"/>
        </w:rPr>
      </w:pPr>
      <w:r>
        <w:rPr>
          <w:rFonts w:hint="eastAsia" w:ascii="仿宋" w:hAnsi="仿宋" w:eastAsia="仿宋" w:cs="仿宋"/>
          <w:color w:val="auto"/>
          <w:sz w:val="24"/>
          <w:szCs w:val="24"/>
        </w:rPr>
        <w:t>联系人：</w:t>
      </w:r>
    </w:p>
    <w:p w14:paraId="15ECF234">
      <w:pPr>
        <w:spacing w:line="360" w:lineRule="auto"/>
        <w:ind w:firstLine="480" w:firstLineChars="200"/>
        <w:contextualSpacing/>
        <w:rPr>
          <w:rFonts w:hint="eastAsia" w:ascii="仿宋" w:hAnsi="仿宋" w:eastAsia="仿宋" w:cs="仿宋"/>
          <w:color w:val="auto"/>
          <w:sz w:val="24"/>
          <w:szCs w:val="24"/>
        </w:rPr>
      </w:pPr>
      <w:r>
        <w:rPr>
          <w:rFonts w:hint="eastAsia" w:ascii="仿宋" w:hAnsi="仿宋" w:eastAsia="仿宋" w:cs="仿宋"/>
          <w:color w:val="auto"/>
          <w:sz w:val="24"/>
          <w:szCs w:val="24"/>
        </w:rPr>
        <w:t>联系方式：</w:t>
      </w:r>
    </w:p>
    <w:p w14:paraId="3AC4F287">
      <w:pPr>
        <w:pStyle w:val="4"/>
        <w:spacing w:beforeAutospacing="0" w:afterAutospacing="0"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甲乙双方根据《中华人民共和国民法典》及有关法律、法规的相关规定，本着互惠互利的原则，经友好协商</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就乙方为甲方提供</w:t>
      </w:r>
      <w:r>
        <w:rPr>
          <w:rFonts w:hint="eastAsia" w:ascii="仿宋" w:hAnsi="仿宋" w:eastAsia="仿宋" w:cs="仿宋"/>
          <w:color w:val="auto"/>
          <w:sz w:val="24"/>
          <w:szCs w:val="24"/>
          <w:u w:val="single"/>
          <w:lang w:val="en-US" w:eastAsia="zh-CN"/>
        </w:rPr>
        <w:t xml:space="preserve">2026年市政道路定线及放点 </w:t>
      </w:r>
      <w:r>
        <w:rPr>
          <w:rFonts w:hint="eastAsia" w:ascii="仿宋" w:hAnsi="仿宋" w:eastAsia="仿宋" w:cs="仿宋"/>
          <w:color w:val="auto"/>
          <w:sz w:val="24"/>
          <w:szCs w:val="24"/>
        </w:rPr>
        <w:t>相关工作达成一致意见，并签订本协议。</w:t>
      </w:r>
    </w:p>
    <w:p w14:paraId="6700F0CB">
      <w:pPr>
        <w:spacing w:line="360" w:lineRule="auto"/>
        <w:contextualSpacing/>
        <w:rPr>
          <w:rFonts w:hint="eastAsia" w:ascii="仿宋" w:hAnsi="仿宋" w:eastAsia="仿宋" w:cs="仿宋"/>
          <w:b/>
          <w:color w:val="auto"/>
          <w:sz w:val="24"/>
          <w:szCs w:val="24"/>
        </w:rPr>
      </w:pPr>
      <w:r>
        <w:rPr>
          <w:rFonts w:hint="eastAsia" w:ascii="仿宋" w:hAnsi="仿宋" w:eastAsia="仿宋" w:cs="仿宋"/>
          <w:b/>
          <w:color w:val="auto"/>
          <w:sz w:val="24"/>
          <w:szCs w:val="24"/>
        </w:rPr>
        <w:t>第一条 服务期限</w:t>
      </w:r>
    </w:p>
    <w:p w14:paraId="3E831BCF">
      <w:pPr>
        <w:spacing w:line="360" w:lineRule="auto"/>
        <w:ind w:firstLine="480" w:firstLineChars="200"/>
        <w:contextualSpacing/>
        <w:rPr>
          <w:rFonts w:hint="eastAsia" w:ascii="仿宋" w:hAnsi="仿宋" w:eastAsia="仿宋" w:cs="仿宋"/>
          <w:color w:val="auto"/>
          <w:sz w:val="24"/>
          <w:szCs w:val="24"/>
        </w:rPr>
      </w:pPr>
      <w:r>
        <w:rPr>
          <w:rFonts w:hint="eastAsia" w:ascii="仿宋" w:hAnsi="仿宋" w:eastAsia="仿宋" w:cs="仿宋"/>
          <w:color w:val="auto"/>
          <w:sz w:val="24"/>
          <w:szCs w:val="24"/>
        </w:rPr>
        <w:t>自合同签订之日起至2026年12月15日前完成全部服务内容。</w:t>
      </w:r>
    </w:p>
    <w:p w14:paraId="1D4D7603">
      <w:pPr>
        <w:spacing w:line="360" w:lineRule="auto"/>
        <w:contextualSpacing/>
        <w:rPr>
          <w:rFonts w:hint="eastAsia" w:ascii="仿宋" w:hAnsi="仿宋" w:eastAsia="仿宋" w:cs="仿宋"/>
          <w:color w:val="auto"/>
          <w:sz w:val="24"/>
          <w:szCs w:val="24"/>
        </w:rPr>
      </w:pPr>
      <w:r>
        <w:rPr>
          <w:rFonts w:hint="eastAsia" w:ascii="仿宋" w:hAnsi="仿宋" w:eastAsia="仿宋" w:cs="仿宋"/>
          <w:b/>
          <w:color w:val="auto"/>
          <w:sz w:val="24"/>
          <w:szCs w:val="24"/>
        </w:rPr>
        <w:t>第二条 服务内容</w:t>
      </w:r>
    </w:p>
    <w:p w14:paraId="5C2AF0F6">
      <w:pPr>
        <w:bidi w:val="0"/>
        <w:spacing w:line="360" w:lineRule="auto"/>
        <w:ind w:firstLine="480" w:firstLineChars="200"/>
        <w:rPr>
          <w:rFonts w:hint="eastAsia" w:ascii="仿宋_GB2312" w:hAnsi="仿宋_GB2312" w:eastAsia="仿宋_GB2312" w:cs="仿宋_GB2312"/>
          <w:color w:val="auto"/>
          <w:sz w:val="24"/>
          <w:szCs w:val="24"/>
          <w:lang w:val="en-US" w:eastAsia="zh-CN"/>
        </w:rPr>
      </w:pPr>
      <w:r>
        <w:rPr>
          <w:rFonts w:hint="eastAsia" w:ascii="仿宋" w:hAnsi="仿宋" w:eastAsia="仿宋" w:cs="仿宋"/>
          <w:color w:val="auto"/>
          <w:sz w:val="24"/>
          <w:szCs w:val="24"/>
        </w:rPr>
        <w:t xml:space="preserve"> </w:t>
      </w:r>
      <w:r>
        <w:rPr>
          <w:rFonts w:hint="eastAsia" w:ascii="仿宋_GB2312" w:hAnsi="仿宋_GB2312" w:eastAsia="仿宋_GB2312" w:cs="仿宋_GB2312"/>
          <w:color w:val="auto"/>
          <w:sz w:val="24"/>
          <w:szCs w:val="24"/>
          <w:lang w:val="en-US" w:eastAsia="zh-CN"/>
        </w:rPr>
        <w:t>1. 市本级范围外的地形图、影像图和管线图</w:t>
      </w:r>
    </w:p>
    <w:p w14:paraId="165460E5">
      <w:pPr>
        <w:bidi w:val="0"/>
        <w:spacing w:line="360" w:lineRule="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对市本级范围外(含相关区县、开发区)涉及市政道路工程所需的地形图、影像图及管线图进行全面收集、整理与现势性核查。对于缺失或现势性不足的区域，组织开展补充测绘与更新，确保基础图件资料的准确性、完整 性和时效性，为道路定点及高程引测提供统一、可靠的基础底图数据。</w:t>
      </w:r>
    </w:p>
    <w:p w14:paraId="20EAD66B">
      <w:pPr>
        <w:bidi w:val="0"/>
        <w:spacing w:line="360" w:lineRule="auto"/>
        <w:ind w:firstLine="480" w:firstLineChars="200"/>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2. 市本级道路建设过程中所需开展的定线及放线等工作</w:t>
      </w:r>
    </w:p>
    <w:p w14:paraId="653F145E">
      <w:pPr>
        <w:bidi w:val="0"/>
        <w:spacing w:line="360" w:lineRule="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根据市本级年度道路建设计划，对新建、改建市政道路工程开展定线、 中线桩位测设、放点及复核等工作。严格按照规范要求进行现场测绘，核定 用地红线与既有建构筑物、地下管线等空间关系，确保道路工程精准落地。对测量成果进行标准化整理、坐标转换及成果质量检查，形成规范的定线及 放点成果资料。</w:t>
      </w:r>
    </w:p>
    <w:p w14:paraId="3240C55B">
      <w:pPr>
        <w:bidi w:val="0"/>
        <w:spacing w:line="360" w:lineRule="auto"/>
        <w:ind w:firstLine="480" w:firstLineChars="200"/>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3.市政府投资类建设项目的定线及放线等工作</w:t>
      </w:r>
    </w:p>
    <w:p w14:paraId="608AE59C">
      <w:pPr>
        <w:bidi w:val="0"/>
        <w:spacing w:line="360" w:lineRule="auto"/>
        <w:rPr>
          <w:rFonts w:hint="eastAsia" w:ascii="仿宋_GB2312" w:hAnsi="仿宋_GB2312" w:eastAsia="仿宋_GB2312" w:cs="仿宋_GB2312"/>
          <w:color w:val="auto"/>
          <w:sz w:val="24"/>
          <w:szCs w:val="24"/>
          <w:lang w:eastAsia="zh-CN"/>
        </w:rPr>
      </w:pPr>
      <w:r>
        <w:rPr>
          <w:rFonts w:hint="eastAsia" w:ascii="仿宋_GB2312" w:hAnsi="仿宋_GB2312" w:eastAsia="仿宋_GB2312" w:cs="仿宋_GB2312"/>
          <w:color w:val="auto"/>
          <w:sz w:val="24"/>
          <w:szCs w:val="24"/>
          <w:lang w:val="en-US" w:eastAsia="zh-CN"/>
        </w:rPr>
        <w:t>为市政府投资类建设项目提供必要基础测绘资料与现场技术支持，配合行政管理部门开展项目前期选址选线、规划审批等环节所需的基础测绘保障，重点承担项目建设过程中的规划定线、实地放点、技术复核等测量工作，确保各项任务按时、保质完成。</w:t>
      </w:r>
    </w:p>
    <w:p w14:paraId="26BB40F4">
      <w:pPr>
        <w:spacing w:line="360" w:lineRule="auto"/>
        <w:rPr>
          <w:rFonts w:hint="eastAsia" w:ascii="仿宋" w:hAnsi="仿宋" w:eastAsia="仿宋" w:cs="仿宋"/>
          <w:b/>
          <w:bCs/>
          <w:color w:val="auto"/>
          <w:sz w:val="24"/>
          <w:szCs w:val="24"/>
        </w:rPr>
      </w:pPr>
      <w:r>
        <w:rPr>
          <w:rFonts w:hint="eastAsia" w:ascii="仿宋" w:hAnsi="仿宋" w:eastAsia="仿宋" w:cs="仿宋"/>
          <w:b/>
          <w:bCs/>
          <w:color w:val="auto"/>
          <w:sz w:val="24"/>
          <w:szCs w:val="24"/>
        </w:rPr>
        <w:t>第三条 服务工作具体要求</w:t>
      </w:r>
    </w:p>
    <w:p w14:paraId="6CDC139F">
      <w:pPr>
        <w:spacing w:line="360" w:lineRule="auto"/>
        <w:rPr>
          <w:rFonts w:hint="eastAsia" w:ascii="仿宋" w:hAnsi="仿宋" w:eastAsia="仿宋" w:cs="仿宋"/>
          <w:b w:val="0"/>
          <w:bCs/>
          <w:color w:val="auto"/>
          <w:sz w:val="24"/>
          <w:szCs w:val="24"/>
        </w:rPr>
      </w:pPr>
      <w:r>
        <w:rPr>
          <w:rFonts w:hint="eastAsia" w:ascii="仿宋" w:hAnsi="仿宋" w:eastAsia="仿宋" w:cs="仿宋"/>
          <w:b w:val="0"/>
          <w:bCs/>
          <w:color w:val="auto"/>
          <w:sz w:val="24"/>
          <w:szCs w:val="24"/>
        </w:rPr>
        <w:t>服务成果应符合以下技术标准和国家及行业的相关标准：</w:t>
      </w:r>
    </w:p>
    <w:p w14:paraId="023579EF">
      <w:pPr>
        <w:spacing w:line="360" w:lineRule="auto"/>
        <w:rPr>
          <w:rFonts w:hint="eastAsia" w:ascii="仿宋" w:hAnsi="仿宋" w:eastAsia="仿宋" w:cs="仿宋"/>
          <w:b w:val="0"/>
          <w:bCs/>
          <w:color w:val="auto"/>
          <w:sz w:val="24"/>
          <w:szCs w:val="24"/>
        </w:rPr>
      </w:pPr>
      <w:r>
        <w:rPr>
          <w:rFonts w:hint="eastAsia" w:ascii="仿宋" w:hAnsi="仿宋" w:eastAsia="仿宋" w:cs="仿宋"/>
          <w:b w:val="0"/>
          <w:bCs/>
          <w:color w:val="auto"/>
          <w:sz w:val="24"/>
          <w:szCs w:val="24"/>
          <w:lang w:eastAsia="zh-CN"/>
        </w:rPr>
        <w:t>（</w:t>
      </w:r>
      <w:r>
        <w:rPr>
          <w:rFonts w:hint="eastAsia" w:ascii="仿宋" w:hAnsi="仿宋" w:eastAsia="仿宋" w:cs="仿宋"/>
          <w:b w:val="0"/>
          <w:bCs/>
          <w:color w:val="auto"/>
          <w:sz w:val="24"/>
          <w:szCs w:val="24"/>
        </w:rPr>
        <w:t>一</w:t>
      </w:r>
      <w:r>
        <w:rPr>
          <w:rFonts w:hint="eastAsia" w:ascii="仿宋" w:hAnsi="仿宋" w:eastAsia="仿宋" w:cs="仿宋"/>
          <w:b w:val="0"/>
          <w:bCs/>
          <w:color w:val="auto"/>
          <w:sz w:val="24"/>
          <w:szCs w:val="24"/>
          <w:lang w:eastAsia="zh-CN"/>
        </w:rPr>
        <w:t>）</w:t>
      </w:r>
      <w:r>
        <w:rPr>
          <w:rFonts w:hint="eastAsia" w:ascii="仿宋" w:hAnsi="仿宋" w:eastAsia="仿宋" w:cs="仿宋"/>
          <w:b w:val="0"/>
          <w:bCs/>
          <w:color w:val="auto"/>
          <w:sz w:val="24"/>
          <w:szCs w:val="24"/>
        </w:rPr>
        <w:t>《城市测量规范》《国家基本比例尺地图图式第1部分：1:5001:1000 1:2000地形图图式》《城市地下管线探测技术规程》等；</w:t>
      </w:r>
    </w:p>
    <w:p w14:paraId="0FF19B93">
      <w:pPr>
        <w:spacing w:line="360" w:lineRule="auto"/>
        <w:rPr>
          <w:rFonts w:hint="eastAsia" w:ascii="仿宋" w:hAnsi="仿宋" w:eastAsia="仿宋" w:cs="仿宋"/>
          <w:b w:val="0"/>
          <w:bCs/>
          <w:color w:val="auto"/>
          <w:sz w:val="24"/>
          <w:szCs w:val="24"/>
        </w:rPr>
      </w:pPr>
      <w:r>
        <w:rPr>
          <w:rFonts w:hint="eastAsia" w:ascii="仿宋" w:hAnsi="仿宋" w:eastAsia="仿宋" w:cs="仿宋"/>
          <w:b w:val="0"/>
          <w:bCs/>
          <w:color w:val="auto"/>
          <w:sz w:val="24"/>
          <w:szCs w:val="24"/>
          <w:lang w:eastAsia="zh-CN"/>
        </w:rPr>
        <w:t>（</w:t>
      </w:r>
      <w:r>
        <w:rPr>
          <w:rFonts w:hint="eastAsia" w:ascii="仿宋" w:hAnsi="仿宋" w:eastAsia="仿宋" w:cs="仿宋"/>
          <w:b w:val="0"/>
          <w:bCs/>
          <w:color w:val="auto"/>
          <w:sz w:val="24"/>
          <w:szCs w:val="24"/>
        </w:rPr>
        <w:t>二</w:t>
      </w:r>
      <w:r>
        <w:rPr>
          <w:rFonts w:hint="eastAsia" w:ascii="仿宋" w:hAnsi="仿宋" w:eastAsia="仿宋" w:cs="仿宋"/>
          <w:b w:val="0"/>
          <w:bCs/>
          <w:color w:val="auto"/>
          <w:sz w:val="24"/>
          <w:szCs w:val="24"/>
          <w:lang w:eastAsia="zh-CN"/>
        </w:rPr>
        <w:t>）</w:t>
      </w:r>
      <w:r>
        <w:rPr>
          <w:rFonts w:hint="eastAsia" w:ascii="仿宋" w:hAnsi="仿宋" w:eastAsia="仿宋" w:cs="仿宋"/>
          <w:b w:val="0"/>
          <w:bCs/>
          <w:color w:val="auto"/>
          <w:sz w:val="24"/>
          <w:szCs w:val="24"/>
        </w:rPr>
        <w:t>成果统一采用西安2000坐标系及1985 国家高程基准，严禁混用不同坐标系、高程基准数据。</w:t>
      </w:r>
    </w:p>
    <w:p w14:paraId="3304CF23">
      <w:pPr>
        <w:spacing w:line="360" w:lineRule="auto"/>
        <w:rPr>
          <w:rFonts w:hint="eastAsia" w:ascii="仿宋" w:hAnsi="仿宋" w:eastAsia="仿宋" w:cs="仿宋"/>
          <w:b/>
          <w:color w:val="auto"/>
          <w:sz w:val="24"/>
          <w:szCs w:val="24"/>
        </w:rPr>
      </w:pPr>
      <w:r>
        <w:rPr>
          <w:rFonts w:hint="eastAsia" w:ascii="仿宋" w:hAnsi="仿宋" w:eastAsia="仿宋" w:cs="仿宋"/>
          <w:b/>
          <w:color w:val="auto"/>
          <w:sz w:val="24"/>
          <w:szCs w:val="24"/>
        </w:rPr>
        <w:t>第四条 服务要求</w:t>
      </w:r>
    </w:p>
    <w:p w14:paraId="7FA95D66">
      <w:pPr>
        <w:spacing w:line="360" w:lineRule="auto"/>
        <w:ind w:firstLine="480" w:firstLineChars="200"/>
        <w:rPr>
          <w:rFonts w:hint="eastAsia" w:ascii="仿宋" w:hAnsi="仿宋" w:eastAsia="仿宋" w:cs="仿宋"/>
          <w:b w:val="0"/>
          <w:bCs/>
          <w:color w:val="auto"/>
          <w:sz w:val="24"/>
          <w:szCs w:val="24"/>
          <w:lang w:val="en-US" w:eastAsia="zh-CN"/>
        </w:rPr>
      </w:pPr>
      <w:bookmarkStart w:id="4" w:name="_GoBack"/>
      <w:bookmarkEnd w:id="4"/>
      <w:r>
        <w:rPr>
          <w:rFonts w:hint="eastAsia" w:ascii="仿宋" w:hAnsi="仿宋" w:eastAsia="仿宋" w:cs="仿宋"/>
          <w:b w:val="0"/>
          <w:bCs/>
          <w:color w:val="auto"/>
          <w:sz w:val="24"/>
          <w:szCs w:val="24"/>
          <w:lang w:val="en-US" w:eastAsia="zh-CN"/>
        </w:rPr>
        <w:t>1、及时响应采购人需求，在规定时间提交采购人所需的各类测量成果。</w:t>
      </w:r>
    </w:p>
    <w:p w14:paraId="4BA2795F">
      <w:pPr>
        <w:spacing w:line="360" w:lineRule="auto"/>
        <w:ind w:firstLine="480" w:firstLineChars="200"/>
        <w:rPr>
          <w:rFonts w:hint="eastAsia" w:ascii="仿宋" w:hAnsi="仿宋" w:eastAsia="仿宋" w:cs="仿宋"/>
          <w:b w:val="0"/>
          <w:bCs/>
          <w:color w:val="auto"/>
          <w:sz w:val="24"/>
          <w:szCs w:val="24"/>
          <w:lang w:val="en-US" w:eastAsia="zh-CN"/>
        </w:rPr>
      </w:pPr>
      <w:r>
        <w:rPr>
          <w:rFonts w:hint="eastAsia" w:ascii="仿宋" w:hAnsi="仿宋" w:eastAsia="仿宋" w:cs="仿宋"/>
          <w:b w:val="0"/>
          <w:bCs/>
          <w:color w:val="auto"/>
          <w:sz w:val="24"/>
          <w:szCs w:val="24"/>
          <w:lang w:val="en-US" w:eastAsia="zh-CN"/>
        </w:rPr>
        <w:t>2、各类服务形成相关报告文档，提交采购人进行审核，并修改完善。</w:t>
      </w:r>
    </w:p>
    <w:p w14:paraId="291E22EF">
      <w:pPr>
        <w:spacing w:line="360" w:lineRule="auto"/>
        <w:ind w:firstLine="480" w:firstLineChars="200"/>
        <w:rPr>
          <w:rFonts w:hint="eastAsia" w:ascii="仿宋" w:hAnsi="仿宋" w:eastAsia="仿宋" w:cs="仿宋"/>
          <w:b w:val="0"/>
          <w:bCs/>
          <w:color w:val="auto"/>
          <w:sz w:val="24"/>
          <w:szCs w:val="24"/>
        </w:rPr>
      </w:pPr>
      <w:r>
        <w:rPr>
          <w:rFonts w:hint="eastAsia" w:ascii="仿宋" w:hAnsi="仿宋" w:eastAsia="仿宋" w:cs="仿宋"/>
          <w:b w:val="0"/>
          <w:bCs/>
          <w:color w:val="auto"/>
          <w:sz w:val="24"/>
          <w:szCs w:val="24"/>
          <w:lang w:val="en-US" w:eastAsia="zh-CN"/>
        </w:rPr>
        <w:t>3、配置大地测量、测绘工程、摄影测量与遥感、地理信息系统等多学科 专业技术团队力量开展具体工作。</w:t>
      </w:r>
    </w:p>
    <w:p w14:paraId="63CE4073">
      <w:pPr>
        <w:spacing w:line="360" w:lineRule="auto"/>
        <w:rPr>
          <w:rFonts w:hint="eastAsia" w:ascii="仿宋" w:hAnsi="仿宋" w:eastAsia="仿宋" w:cs="仿宋"/>
          <w:b/>
          <w:color w:val="auto"/>
          <w:sz w:val="24"/>
          <w:szCs w:val="24"/>
        </w:rPr>
      </w:pPr>
      <w:r>
        <w:rPr>
          <w:rFonts w:hint="eastAsia" w:ascii="仿宋" w:hAnsi="仿宋" w:eastAsia="仿宋" w:cs="仿宋"/>
          <w:b/>
          <w:color w:val="auto"/>
          <w:sz w:val="24"/>
          <w:szCs w:val="24"/>
        </w:rPr>
        <w:t>第五条 服务费用及支付方式</w:t>
      </w:r>
    </w:p>
    <w:p w14:paraId="0E219AD4">
      <w:pPr>
        <w:spacing w:line="360" w:lineRule="auto"/>
        <w:ind w:firstLine="480" w:firstLineChars="200"/>
        <w:rPr>
          <w:rFonts w:hint="eastAsia" w:ascii="仿宋" w:hAnsi="仿宋" w:eastAsia="仿宋" w:cs="仿宋"/>
          <w:color w:val="auto"/>
          <w:sz w:val="24"/>
          <w:szCs w:val="24"/>
          <w:u w:val="single"/>
        </w:rPr>
      </w:pPr>
      <w:r>
        <w:rPr>
          <w:rFonts w:hint="eastAsia" w:ascii="仿宋" w:hAnsi="仿宋" w:eastAsia="仿宋" w:cs="仿宋"/>
          <w:color w:val="auto"/>
          <w:sz w:val="24"/>
          <w:szCs w:val="24"/>
        </w:rPr>
        <w:t>（一）合同含税总价款暂定为</w:t>
      </w:r>
      <w:r>
        <w:rPr>
          <w:rFonts w:hint="eastAsia" w:ascii="仿宋" w:hAnsi="仿宋" w:eastAsia="仿宋" w:cs="仿宋"/>
          <w:color w:val="auto"/>
          <w:sz w:val="24"/>
          <w:szCs w:val="24"/>
          <w:u w:val="single"/>
        </w:rPr>
        <w:t>¥            ，</w:t>
      </w:r>
      <w:r>
        <w:rPr>
          <w:rFonts w:hint="eastAsia" w:ascii="仿宋" w:hAnsi="仿宋" w:eastAsia="仿宋" w:cs="仿宋"/>
          <w:color w:val="auto"/>
          <w:sz w:val="24"/>
          <w:szCs w:val="24"/>
        </w:rPr>
        <w:t>大写：</w:t>
      </w:r>
      <w:r>
        <w:rPr>
          <w:rFonts w:hint="eastAsia" w:ascii="仿宋" w:hAnsi="仿宋" w:eastAsia="仿宋" w:cs="仿宋"/>
          <w:color w:val="auto"/>
          <w:sz w:val="24"/>
          <w:szCs w:val="24"/>
          <w:u w:val="single"/>
        </w:rPr>
        <w:t xml:space="preserve">                。</w:t>
      </w:r>
    </w:p>
    <w:p w14:paraId="24E55321">
      <w:pPr>
        <w:spacing w:before="14" w:line="360" w:lineRule="auto"/>
        <w:ind w:left="500"/>
        <w:rPr>
          <w:rFonts w:hint="eastAsia" w:ascii="仿宋" w:hAnsi="仿宋" w:eastAsia="仿宋" w:cs="仿宋"/>
          <w:color w:val="auto"/>
          <w:sz w:val="24"/>
          <w:szCs w:val="24"/>
        </w:rPr>
      </w:pPr>
      <w:r>
        <w:rPr>
          <w:rFonts w:hint="eastAsia" w:ascii="仿宋" w:hAnsi="仿宋" w:eastAsia="仿宋" w:cs="仿宋"/>
          <w:color w:val="auto"/>
          <w:sz w:val="24"/>
          <w:szCs w:val="24"/>
        </w:rPr>
        <w:t>（二）支付方式：</w:t>
      </w:r>
    </w:p>
    <w:p w14:paraId="7B396476">
      <w:pPr>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rPr>
        <w:t>1、付款条件说明：合同签订后10个工作日内支付合同总价款的50%</w:t>
      </w:r>
      <w:r>
        <w:rPr>
          <w:rFonts w:hint="eastAsia" w:ascii="仿宋" w:hAnsi="仿宋" w:eastAsia="仿宋" w:cs="仿宋"/>
          <w:color w:val="auto"/>
          <w:sz w:val="24"/>
          <w:szCs w:val="24"/>
          <w:lang w:eastAsia="zh-CN"/>
        </w:rPr>
        <w:t>；</w:t>
      </w:r>
    </w:p>
    <w:p w14:paraId="1021A822">
      <w:pPr>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rPr>
        <w:t>2、付款条件说明：项目成果交付验收合格后，10个工作日内支付合同总价款的50%</w:t>
      </w:r>
      <w:r>
        <w:rPr>
          <w:rFonts w:hint="eastAsia" w:ascii="仿宋" w:hAnsi="仿宋" w:eastAsia="仿宋" w:cs="仿宋"/>
          <w:color w:val="auto"/>
          <w:sz w:val="24"/>
          <w:szCs w:val="24"/>
          <w:lang w:eastAsia="zh-CN"/>
        </w:rPr>
        <w:t>。</w:t>
      </w:r>
    </w:p>
    <w:p w14:paraId="601D7612">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（三）支付形式：银行转账</w:t>
      </w:r>
    </w:p>
    <w:p w14:paraId="440948E5">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（四）乙方指定收款信息</w:t>
      </w:r>
    </w:p>
    <w:p w14:paraId="42D256A1">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名称：</w:t>
      </w:r>
    </w:p>
    <w:p w14:paraId="2D078D24">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纳税人识别号：</w:t>
      </w:r>
    </w:p>
    <w:p w14:paraId="41CFF113">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地址、电话：</w:t>
      </w:r>
    </w:p>
    <w:p w14:paraId="155545E5">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开户行：</w:t>
      </w:r>
    </w:p>
    <w:p w14:paraId="12E925E8">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账号：</w:t>
      </w:r>
    </w:p>
    <w:p w14:paraId="7731E717">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（五）甲方每次付款前，乙方须提供符合甲方财务部门要求的等额增值税（专用/普通）发票。否则，甲方有权延迟支付服务费用，且甲方延迟支付行为不应视为违约。</w:t>
      </w:r>
    </w:p>
    <w:p w14:paraId="2538A8E2">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（六）如遇国家政策规定调整本合同中的相应服务费用标准，则届时双方协商按国家规定政策规定执行。</w:t>
      </w:r>
    </w:p>
    <w:p w14:paraId="7E3D45DB">
      <w:pPr>
        <w:spacing w:line="360" w:lineRule="auto"/>
        <w:rPr>
          <w:rFonts w:hint="eastAsia" w:ascii="仿宋" w:hAnsi="仿宋" w:eastAsia="仿宋" w:cs="仿宋"/>
          <w:b/>
          <w:color w:val="auto"/>
          <w:sz w:val="24"/>
          <w:szCs w:val="24"/>
        </w:rPr>
      </w:pPr>
      <w:r>
        <w:rPr>
          <w:rFonts w:hint="eastAsia" w:ascii="仿宋" w:hAnsi="仿宋" w:eastAsia="仿宋" w:cs="仿宋"/>
          <w:b/>
          <w:color w:val="auto"/>
          <w:sz w:val="24"/>
          <w:szCs w:val="24"/>
        </w:rPr>
        <w:t>第六条 甲方权利与义务</w:t>
      </w:r>
    </w:p>
    <w:p w14:paraId="279608F1">
      <w:pPr>
        <w:spacing w:line="360" w:lineRule="auto"/>
        <w:ind w:firstLine="480" w:firstLineChars="200"/>
        <w:rPr>
          <w:rFonts w:hint="eastAsia" w:ascii="仿宋" w:hAnsi="仿宋" w:eastAsia="仿宋" w:cs="仿宋"/>
          <w:color w:val="auto"/>
          <w:spacing w:val="-20"/>
          <w:sz w:val="24"/>
          <w:szCs w:val="24"/>
        </w:rPr>
      </w:pPr>
      <w:r>
        <w:rPr>
          <w:rFonts w:hint="eastAsia" w:ascii="仿宋" w:hAnsi="仿宋" w:eastAsia="仿宋" w:cs="仿宋"/>
          <w:color w:val="auto"/>
          <w:sz w:val="24"/>
          <w:szCs w:val="24"/>
        </w:rPr>
        <w:t>（一）甲方对乙方提供的服务进行</w:t>
      </w:r>
      <w:r>
        <w:rPr>
          <w:rFonts w:hint="eastAsia" w:ascii="仿宋" w:hAnsi="仿宋" w:eastAsia="仿宋" w:cs="仿宋"/>
          <w:color w:val="auto"/>
          <w:spacing w:val="-20"/>
          <w:sz w:val="24"/>
          <w:szCs w:val="24"/>
        </w:rPr>
        <w:t>指导、监督、检查，</w:t>
      </w:r>
      <w:r>
        <w:rPr>
          <w:rFonts w:hint="eastAsia" w:ascii="仿宋" w:hAnsi="仿宋" w:eastAsia="仿宋" w:cs="仿宋"/>
          <w:color w:val="auto"/>
          <w:sz w:val="24"/>
          <w:szCs w:val="24"/>
        </w:rPr>
        <w:t>对服务效果进行考</w:t>
      </w:r>
      <w:r>
        <w:rPr>
          <w:rFonts w:hint="eastAsia" w:ascii="仿宋" w:hAnsi="仿宋" w:eastAsia="仿宋" w:cs="仿宋"/>
          <w:color w:val="auto"/>
          <w:spacing w:val="-20"/>
          <w:sz w:val="24"/>
          <w:szCs w:val="24"/>
        </w:rPr>
        <w:t>核。</w:t>
      </w:r>
    </w:p>
    <w:p w14:paraId="48527B72">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（二）甲方对乙方不称职的服务人员提出调换。</w:t>
      </w:r>
    </w:p>
    <w:p w14:paraId="0317CD6F">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（三）甲方对乙方拟定下发的书面文件进行审核。</w:t>
      </w:r>
    </w:p>
    <w:p w14:paraId="18CF6290">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（四）甲方按合同约定按时向乙方支付应付款项。</w:t>
      </w:r>
    </w:p>
    <w:p w14:paraId="75897C68">
      <w:pPr>
        <w:adjustRightInd w:val="0"/>
        <w:snapToGrid w:val="0"/>
        <w:spacing w:line="360" w:lineRule="auto"/>
        <w:rPr>
          <w:rFonts w:hint="eastAsia" w:ascii="仿宋" w:hAnsi="仿宋" w:eastAsia="仿宋" w:cs="仿宋"/>
          <w:b/>
          <w:color w:val="auto"/>
          <w:sz w:val="24"/>
          <w:szCs w:val="24"/>
        </w:rPr>
      </w:pPr>
      <w:r>
        <w:rPr>
          <w:rFonts w:hint="eastAsia" w:ascii="仿宋" w:hAnsi="仿宋" w:eastAsia="仿宋" w:cs="仿宋"/>
          <w:b/>
          <w:color w:val="auto"/>
          <w:sz w:val="24"/>
          <w:szCs w:val="24"/>
        </w:rPr>
        <w:t>第七条 乙方权利与义务</w:t>
      </w:r>
    </w:p>
    <w:p w14:paraId="041F5679">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（一）乙方应按照合同要求开展相关工作，并接受甲方指导，在服务过程中切实维护甲方合法权益。</w:t>
      </w:r>
    </w:p>
    <w:p w14:paraId="2891983E">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（二）乙方接受甲方考评。</w:t>
      </w:r>
    </w:p>
    <w:p w14:paraId="760E8C99">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（三）乙方每周提交工作周报，在甲方指导下修订并提报相关部门。</w:t>
      </w:r>
    </w:p>
    <w:p w14:paraId="170AD524">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（四）乙方应妥善使用甲方配置的办公物资，合同到期后向甲方移交。</w:t>
      </w:r>
    </w:p>
    <w:p w14:paraId="6C0F59F8">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（五）乙方不得以任何形式将本项目转让、分包给其它单位或个人。</w:t>
      </w:r>
    </w:p>
    <w:p w14:paraId="6719DC15">
      <w:pPr>
        <w:adjustRightInd w:val="0"/>
        <w:snapToGrid w:val="0"/>
        <w:spacing w:line="360" w:lineRule="auto"/>
        <w:rPr>
          <w:rFonts w:hint="eastAsia" w:ascii="仿宋" w:hAnsi="仿宋" w:eastAsia="仿宋" w:cs="仿宋"/>
          <w:b/>
          <w:bCs/>
          <w:color w:val="auto"/>
          <w:sz w:val="24"/>
          <w:szCs w:val="24"/>
        </w:rPr>
      </w:pPr>
      <w:r>
        <w:rPr>
          <w:rFonts w:hint="eastAsia" w:ascii="仿宋" w:hAnsi="仿宋" w:eastAsia="仿宋" w:cs="仿宋"/>
          <w:b/>
          <w:bCs/>
          <w:color w:val="auto"/>
          <w:sz w:val="24"/>
          <w:szCs w:val="24"/>
        </w:rPr>
        <w:t>第八条 不可抗力</w:t>
      </w:r>
    </w:p>
    <w:p w14:paraId="1D8C0AF9">
      <w:pPr>
        <w:adjustRightInd w:val="0"/>
        <w:snapToGrid w:val="0"/>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一）本协议所指的“不可抗力事件”是指本协议签署日期后出现的，妨碍任何一方履行或部分履行本协议的所有事件，而且该事件是本协议各方不能合理地控制、无法预料，或即使可以预料也无法合理避免和克服的事件（包括但不限于政策变更、上级行政管理要求、地震、台风、洪水、火灾、战争、法律变更等）。</w:t>
      </w:r>
    </w:p>
    <w:p w14:paraId="272EF510">
      <w:pPr>
        <w:adjustRightInd w:val="0"/>
        <w:snapToGrid w:val="0"/>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二）除非本协议另有规定，如果在本协议签署后发生上述不可抗力事件，且本协议任何一方受其影响不能履行或不能充分、及时、适当地履行其在本协议项下的任何义务时，本协议下另一方的义务在不可抗力引起的延误期内应中止履行，并应自动延长，延长的时间与该中止时间相等，无法或不适宜延长的，双方应终止履行合同，遭受不可抗力事件的一方及其另一方无须因此承担违约责任。</w:t>
      </w:r>
    </w:p>
    <w:p w14:paraId="08BA9A48">
      <w:pPr>
        <w:adjustRightInd w:val="0"/>
        <w:snapToGrid w:val="0"/>
        <w:spacing w:line="360" w:lineRule="auto"/>
        <w:rPr>
          <w:rFonts w:hint="eastAsia" w:ascii="仿宋" w:hAnsi="仿宋" w:eastAsia="仿宋" w:cs="仿宋"/>
          <w:b/>
          <w:color w:val="auto"/>
          <w:sz w:val="24"/>
          <w:szCs w:val="24"/>
        </w:rPr>
      </w:pPr>
      <w:r>
        <w:rPr>
          <w:rFonts w:hint="eastAsia" w:ascii="仿宋" w:hAnsi="仿宋" w:eastAsia="仿宋" w:cs="仿宋"/>
          <w:b/>
          <w:color w:val="auto"/>
          <w:sz w:val="24"/>
          <w:szCs w:val="24"/>
        </w:rPr>
        <w:t>第九条 违约责任</w:t>
      </w:r>
    </w:p>
    <w:p w14:paraId="241603EA">
      <w:pPr>
        <w:adjustRightInd w:val="0"/>
        <w:snapToGrid w:val="0"/>
        <w:spacing w:line="360" w:lineRule="auto"/>
        <w:ind w:firstLine="480" w:firstLineChars="200"/>
        <w:rPr>
          <w:rFonts w:hint="eastAsia" w:ascii="仿宋" w:hAnsi="仿宋" w:eastAsia="仿宋" w:cs="仿宋"/>
          <w:b w:val="0"/>
          <w:bCs/>
          <w:color w:val="auto"/>
          <w:sz w:val="24"/>
          <w:szCs w:val="24"/>
        </w:rPr>
      </w:pPr>
      <w:bookmarkStart w:id="0" w:name="bookmark17"/>
      <w:r>
        <w:rPr>
          <w:rFonts w:hint="eastAsia" w:ascii="仿宋" w:hAnsi="仿宋" w:eastAsia="仿宋" w:cs="仿宋"/>
          <w:b w:val="0"/>
          <w:bCs/>
          <w:color w:val="auto"/>
          <w:sz w:val="24"/>
          <w:szCs w:val="24"/>
        </w:rPr>
        <w:t>（</w:t>
      </w:r>
      <w:bookmarkEnd w:id="0"/>
      <w:r>
        <w:rPr>
          <w:rFonts w:hint="eastAsia" w:ascii="仿宋" w:hAnsi="仿宋" w:eastAsia="仿宋" w:cs="仿宋"/>
          <w:b w:val="0"/>
          <w:bCs/>
          <w:color w:val="auto"/>
          <w:sz w:val="24"/>
          <w:szCs w:val="24"/>
        </w:rPr>
        <w:t>一）合同生效后，甲方要求终止或解除合同，乙方已开始设计工作的， 甲方应根据乙方已进行的实际工作量支付相应费用。无正当理由，乙方要求终止或解除合同，乙方应向甲方支付合同总价20%的违约金。若由此给甲方造成的损失（包括但不限于直接损失、间接损失、律师费、诉讼费、保全费等）, 乙方应及时、完整的赔偿。</w:t>
      </w:r>
    </w:p>
    <w:p w14:paraId="048195CF">
      <w:pPr>
        <w:adjustRightInd w:val="0"/>
        <w:snapToGrid w:val="0"/>
        <w:spacing w:line="360" w:lineRule="auto"/>
        <w:ind w:firstLine="480" w:firstLineChars="200"/>
        <w:rPr>
          <w:rFonts w:hint="eastAsia" w:ascii="仿宋" w:hAnsi="仿宋" w:eastAsia="仿宋" w:cs="仿宋"/>
          <w:b w:val="0"/>
          <w:bCs/>
          <w:color w:val="auto"/>
          <w:sz w:val="24"/>
          <w:szCs w:val="24"/>
        </w:rPr>
      </w:pPr>
      <w:bookmarkStart w:id="1" w:name="bookmark18"/>
      <w:r>
        <w:rPr>
          <w:rFonts w:hint="eastAsia" w:ascii="仿宋" w:hAnsi="仿宋" w:eastAsia="仿宋" w:cs="仿宋"/>
          <w:b w:val="0"/>
          <w:bCs/>
          <w:color w:val="auto"/>
          <w:sz w:val="24"/>
          <w:szCs w:val="24"/>
        </w:rPr>
        <w:t>（</w:t>
      </w:r>
      <w:bookmarkEnd w:id="1"/>
      <w:r>
        <w:rPr>
          <w:rFonts w:hint="eastAsia" w:ascii="仿宋" w:hAnsi="仿宋" w:eastAsia="仿宋" w:cs="仿宋"/>
          <w:b w:val="0"/>
          <w:bCs/>
          <w:color w:val="auto"/>
          <w:sz w:val="24"/>
          <w:szCs w:val="24"/>
        </w:rPr>
        <w:t>二）合同履行过程中，乙方违反本协议约定或者不适当履行本协议的, 甲方有权单方面解除本合同，乙方应当按照本合同价款总额的20%支付违约金给甲方，由此给甲方造成的损失（包括但不限于直接损失、间接损失、律师费、诉讼费、保全费等），乙方还应及时、完整的赔偿。若甲方选择继续履行的，合同继续履行，乙方应当按照前述约定继续承担违约责任。</w:t>
      </w:r>
    </w:p>
    <w:p w14:paraId="513B14C9">
      <w:pPr>
        <w:adjustRightInd w:val="0"/>
        <w:snapToGrid w:val="0"/>
        <w:spacing w:line="360" w:lineRule="auto"/>
        <w:ind w:firstLine="480" w:firstLineChars="200"/>
        <w:rPr>
          <w:rFonts w:hint="eastAsia" w:ascii="仿宋" w:hAnsi="仿宋" w:eastAsia="仿宋" w:cs="仿宋"/>
          <w:b w:val="0"/>
          <w:bCs/>
          <w:color w:val="auto"/>
          <w:sz w:val="24"/>
          <w:szCs w:val="24"/>
        </w:rPr>
      </w:pPr>
      <w:bookmarkStart w:id="2" w:name="bookmark19"/>
      <w:r>
        <w:rPr>
          <w:rFonts w:hint="eastAsia" w:ascii="仿宋" w:hAnsi="仿宋" w:eastAsia="仿宋" w:cs="仿宋"/>
          <w:b w:val="0"/>
          <w:bCs/>
          <w:color w:val="auto"/>
          <w:sz w:val="24"/>
          <w:szCs w:val="24"/>
        </w:rPr>
        <w:t>（</w:t>
      </w:r>
      <w:bookmarkEnd w:id="2"/>
      <w:r>
        <w:rPr>
          <w:rFonts w:hint="eastAsia" w:ascii="仿宋" w:hAnsi="仿宋" w:eastAsia="仿宋" w:cs="仿宋"/>
          <w:b w:val="0"/>
          <w:bCs/>
          <w:color w:val="auto"/>
          <w:sz w:val="24"/>
          <w:szCs w:val="24"/>
        </w:rPr>
        <w:t>三）设计质量：乙方对由于乙方原因导致的设计文件出现遗漏或错误负责修改或补充，直至甲方审核并通过书面确认，若因此给甲方造成损失的，乙方还应当及时、足额地赔偿甲方的全部损失（包括但不限于直接损失、可 预期利益、律师费、诉讼费等）。</w:t>
      </w:r>
    </w:p>
    <w:p w14:paraId="7B1B4F97">
      <w:pPr>
        <w:adjustRightInd w:val="0"/>
        <w:snapToGrid w:val="0"/>
        <w:spacing w:line="360" w:lineRule="auto"/>
        <w:ind w:firstLine="480" w:firstLineChars="200"/>
        <w:rPr>
          <w:rFonts w:hint="eastAsia" w:ascii="仿宋" w:hAnsi="仿宋" w:eastAsia="仿宋" w:cs="仿宋"/>
          <w:b w:val="0"/>
          <w:bCs/>
          <w:color w:val="auto"/>
          <w:sz w:val="24"/>
          <w:szCs w:val="24"/>
          <w:lang w:val="zh-TW" w:eastAsia="zh-TW"/>
        </w:rPr>
      </w:pPr>
      <w:bookmarkStart w:id="3" w:name="bookmark20"/>
      <w:r>
        <w:rPr>
          <w:rFonts w:hint="eastAsia" w:ascii="仿宋" w:hAnsi="仿宋" w:eastAsia="仿宋" w:cs="仿宋"/>
          <w:b w:val="0"/>
          <w:bCs/>
          <w:color w:val="auto"/>
          <w:sz w:val="24"/>
          <w:szCs w:val="24"/>
        </w:rPr>
        <w:t>（</w:t>
      </w:r>
      <w:bookmarkEnd w:id="3"/>
      <w:r>
        <w:rPr>
          <w:rFonts w:hint="eastAsia" w:ascii="仿宋" w:hAnsi="仿宋" w:eastAsia="仿宋" w:cs="仿宋"/>
          <w:b w:val="0"/>
          <w:bCs/>
          <w:color w:val="auto"/>
          <w:sz w:val="24"/>
          <w:szCs w:val="24"/>
        </w:rPr>
        <w:t>四）因乙方原因未在约定的服务期限内完成全部技术成果内容并通过甲方验收，每延期一日，甲方有权扣减本合同约定的合同总价款2%。作为违约金。延期超过15日，甲方有权单方解除协议，不再支付合同款项，乙方应当按照本合同价款总额的20%支付违约金给甲方。因此给甲方造成损失的，乙方还应当及时、足额地赔偿甲方的全部损失（包括但不限于直接损失、可预期 利益、律师费、诉讼费等）。</w:t>
      </w:r>
    </w:p>
    <w:p w14:paraId="29C99EFF">
      <w:pPr>
        <w:adjustRightInd w:val="0"/>
        <w:snapToGrid w:val="0"/>
        <w:spacing w:line="360" w:lineRule="auto"/>
        <w:rPr>
          <w:rFonts w:hint="eastAsia" w:ascii="仿宋" w:hAnsi="仿宋" w:eastAsia="仿宋" w:cs="仿宋"/>
          <w:b/>
          <w:color w:val="auto"/>
          <w:sz w:val="24"/>
          <w:szCs w:val="24"/>
        </w:rPr>
      </w:pPr>
      <w:r>
        <w:rPr>
          <w:rFonts w:hint="eastAsia" w:ascii="仿宋" w:hAnsi="仿宋" w:eastAsia="仿宋" w:cs="仿宋"/>
          <w:b/>
          <w:color w:val="auto"/>
          <w:sz w:val="24"/>
          <w:szCs w:val="24"/>
        </w:rPr>
        <w:t>第十条 争议的解决</w:t>
      </w:r>
    </w:p>
    <w:p w14:paraId="1E00DE85">
      <w:pPr>
        <w:adjustRightInd w:val="0"/>
        <w:snapToGrid w:val="0"/>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本合同履行过程中发生的一切争议，双方应通过友好协商方式解决，协商不成时，任何一方均可向合同签订地有管辖权的人民法院提起诉讼。</w:t>
      </w:r>
    </w:p>
    <w:p w14:paraId="10374863">
      <w:pPr>
        <w:widowControl/>
        <w:autoSpaceDE w:val="0"/>
        <w:autoSpaceDN w:val="0"/>
        <w:snapToGrid w:val="0"/>
        <w:spacing w:line="360" w:lineRule="auto"/>
        <w:ind w:right="893"/>
        <w:textAlignment w:val="bottom"/>
        <w:rPr>
          <w:rFonts w:hint="eastAsia" w:ascii="仿宋" w:hAnsi="仿宋" w:eastAsia="仿宋" w:cs="仿宋"/>
          <w:b/>
          <w:color w:val="auto"/>
          <w:kern w:val="0"/>
          <w:sz w:val="24"/>
          <w:szCs w:val="24"/>
        </w:rPr>
      </w:pPr>
      <w:r>
        <w:rPr>
          <w:rFonts w:hint="eastAsia" w:ascii="仿宋" w:hAnsi="仿宋" w:eastAsia="仿宋" w:cs="仿宋"/>
          <w:b/>
          <w:color w:val="auto"/>
          <w:kern w:val="0"/>
          <w:sz w:val="24"/>
          <w:szCs w:val="24"/>
        </w:rPr>
        <w:t>第十一条 合同生效及其它</w:t>
      </w:r>
    </w:p>
    <w:p w14:paraId="21EDA4C1">
      <w:pPr>
        <w:widowControl/>
        <w:autoSpaceDE w:val="0"/>
        <w:autoSpaceDN w:val="0"/>
        <w:snapToGrid w:val="0"/>
        <w:spacing w:line="360" w:lineRule="auto"/>
        <w:ind w:right="-110" w:firstLine="480" w:firstLineChars="200"/>
        <w:textAlignment w:val="bottom"/>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（一）合同未尽事宜、由甲、乙双方协商，作为合同补充，与原合同具有同等法律效力。</w:t>
      </w:r>
    </w:p>
    <w:p w14:paraId="487E0821">
      <w:pPr>
        <w:widowControl/>
        <w:tabs>
          <w:tab w:val="left" w:pos="8391"/>
        </w:tabs>
        <w:autoSpaceDE w:val="0"/>
        <w:autoSpaceDN w:val="0"/>
        <w:snapToGrid w:val="0"/>
        <w:spacing w:line="360" w:lineRule="auto"/>
        <w:ind w:right="-69" w:firstLine="480" w:firstLineChars="200"/>
        <w:textAlignment w:val="bottom"/>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（二）合同期限内，若因政策原因需调整相关合同条款事宜，双方另行签订变更协议。</w:t>
      </w:r>
    </w:p>
    <w:p w14:paraId="6993B350">
      <w:pPr>
        <w:widowControl/>
        <w:tabs>
          <w:tab w:val="left" w:pos="8391"/>
        </w:tabs>
        <w:autoSpaceDE w:val="0"/>
        <w:autoSpaceDN w:val="0"/>
        <w:snapToGrid w:val="0"/>
        <w:spacing w:line="360" w:lineRule="auto"/>
        <w:ind w:right="-69" w:firstLine="480" w:firstLineChars="200"/>
        <w:textAlignment w:val="bottom"/>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（三）本合同正本一式陆份，甲方、乙方双方分别执叁份。</w:t>
      </w:r>
    </w:p>
    <w:p w14:paraId="742C1316">
      <w:pPr>
        <w:widowControl/>
        <w:tabs>
          <w:tab w:val="left" w:pos="8391"/>
        </w:tabs>
        <w:autoSpaceDE w:val="0"/>
        <w:autoSpaceDN w:val="0"/>
        <w:snapToGrid w:val="0"/>
        <w:spacing w:line="360" w:lineRule="auto"/>
        <w:ind w:right="-69" w:firstLine="480" w:firstLineChars="200"/>
        <w:textAlignment w:val="bottom"/>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（四）合同经甲乙双方盖章、签字或直接盖章后生效。</w:t>
      </w:r>
    </w:p>
    <w:p w14:paraId="2B43656E">
      <w:pPr>
        <w:widowControl/>
        <w:tabs>
          <w:tab w:val="left" w:pos="8391"/>
        </w:tabs>
        <w:autoSpaceDE w:val="0"/>
        <w:autoSpaceDN w:val="0"/>
        <w:snapToGrid w:val="0"/>
        <w:spacing w:line="360" w:lineRule="auto"/>
        <w:ind w:right="-69" w:firstLine="480" w:firstLineChars="200"/>
        <w:textAlignment w:val="bottom"/>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（五）签订地点：</w:t>
      </w:r>
    </w:p>
    <w:p w14:paraId="20EDD92D">
      <w:pPr>
        <w:widowControl/>
        <w:tabs>
          <w:tab w:val="left" w:pos="8391"/>
        </w:tabs>
        <w:autoSpaceDE w:val="0"/>
        <w:autoSpaceDN w:val="0"/>
        <w:snapToGrid w:val="0"/>
        <w:spacing w:line="360" w:lineRule="auto"/>
        <w:ind w:right="-69" w:firstLine="480" w:firstLineChars="200"/>
        <w:textAlignment w:val="bottom"/>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（六）签订时间：</w:t>
      </w:r>
    </w:p>
    <w:p w14:paraId="38ACA074">
      <w:pPr>
        <w:autoSpaceDE w:val="0"/>
        <w:autoSpaceDN w:val="0"/>
        <w:adjustRightInd w:val="0"/>
        <w:spacing w:line="360" w:lineRule="auto"/>
        <w:ind w:firstLine="720" w:firstLineChars="300"/>
        <w:contextualSpacing/>
        <w:rPr>
          <w:rFonts w:hint="eastAsia" w:ascii="仿宋" w:hAnsi="仿宋" w:eastAsia="仿宋" w:cs="仿宋"/>
          <w:color w:val="auto"/>
          <w:sz w:val="24"/>
          <w:szCs w:val="24"/>
        </w:rPr>
      </w:pPr>
    </w:p>
    <w:p w14:paraId="14AD2983">
      <w:pPr>
        <w:autoSpaceDE w:val="0"/>
        <w:autoSpaceDN w:val="0"/>
        <w:adjustRightInd w:val="0"/>
        <w:spacing w:line="360" w:lineRule="auto"/>
        <w:ind w:firstLine="720" w:firstLineChars="300"/>
        <w:contextualSpacing/>
        <w:rPr>
          <w:rFonts w:hint="eastAsia" w:ascii="仿宋" w:hAnsi="仿宋" w:eastAsia="仿宋" w:cs="仿宋"/>
          <w:color w:val="auto"/>
          <w:sz w:val="24"/>
          <w:szCs w:val="24"/>
        </w:rPr>
      </w:pPr>
    </w:p>
    <w:p w14:paraId="38C2D722">
      <w:pPr>
        <w:autoSpaceDE w:val="0"/>
        <w:autoSpaceDN w:val="0"/>
        <w:adjustRightInd w:val="0"/>
        <w:spacing w:line="480" w:lineRule="auto"/>
        <w:ind w:firstLine="720" w:firstLineChars="300"/>
        <w:contextualSpacing/>
        <w:rPr>
          <w:rFonts w:hint="eastAsia" w:ascii="仿宋" w:hAnsi="仿宋" w:eastAsia="仿宋" w:cs="仿宋"/>
          <w:color w:val="auto"/>
          <w:sz w:val="24"/>
          <w:szCs w:val="24"/>
        </w:rPr>
      </w:pPr>
      <w:r>
        <w:rPr>
          <w:rFonts w:hint="eastAsia" w:ascii="仿宋" w:hAnsi="仿宋" w:eastAsia="仿宋" w:cs="仿宋"/>
          <w:color w:val="auto"/>
          <w:sz w:val="24"/>
          <w:szCs w:val="24"/>
        </w:rPr>
        <w:t>甲方（盖章）                                乙方（盖章）</w:t>
      </w:r>
    </w:p>
    <w:p w14:paraId="2E30ACB6">
      <w:pPr>
        <w:autoSpaceDE w:val="0"/>
        <w:autoSpaceDN w:val="0"/>
        <w:adjustRightInd w:val="0"/>
        <w:spacing w:line="480" w:lineRule="auto"/>
        <w:ind w:firstLine="720" w:firstLineChars="300"/>
        <w:contextualSpacing/>
        <w:rPr>
          <w:rFonts w:hint="eastAsia" w:ascii="仿宋" w:hAnsi="仿宋" w:eastAsia="仿宋" w:cs="仿宋"/>
          <w:color w:val="auto"/>
          <w:sz w:val="24"/>
          <w:szCs w:val="24"/>
        </w:rPr>
      </w:pPr>
      <w:r>
        <w:rPr>
          <w:rFonts w:hint="eastAsia" w:ascii="仿宋" w:hAnsi="仿宋" w:eastAsia="仿宋" w:cs="仿宋"/>
          <w:color w:val="auto"/>
          <w:sz w:val="24"/>
          <w:szCs w:val="24"/>
        </w:rPr>
        <w:t>代表人                                      代表人</w:t>
      </w:r>
    </w:p>
    <w:p w14:paraId="67084D82">
      <w:pPr>
        <w:spacing w:line="480" w:lineRule="auto"/>
        <w:ind w:firstLine="720" w:firstLineChars="300"/>
        <w:rPr>
          <w:rFonts w:hint="eastAsia" w:ascii="仿宋" w:hAnsi="仿宋" w:eastAsia="仿宋" w:cs="仿宋"/>
          <w:color w:val="auto"/>
          <w:sz w:val="24"/>
          <w:szCs w:val="24"/>
        </w:rPr>
      </w:pPr>
      <w:r>
        <w:rPr>
          <w:rFonts w:hint="eastAsia" w:ascii="仿宋" w:hAnsi="仿宋" w:eastAsia="仿宋" w:cs="仿宋"/>
          <w:color w:val="auto"/>
          <w:sz w:val="24"/>
          <w:szCs w:val="24"/>
        </w:rPr>
        <w:t>或授权代表人（签字）                        或授权代表人（签字）</w:t>
      </w:r>
    </w:p>
    <w:p w14:paraId="5AF6017E">
      <w:pPr>
        <w:spacing w:line="360" w:lineRule="auto"/>
        <w:rPr>
          <w:rFonts w:hint="eastAsia" w:ascii="仿宋" w:hAnsi="仿宋" w:eastAsia="仿宋" w:cs="仿宋"/>
          <w:color w:val="auto"/>
          <w:sz w:val="24"/>
          <w:szCs w:val="24"/>
        </w:rPr>
      </w:pPr>
      <w:r>
        <w:rPr>
          <w:rFonts w:hint="eastAsia" w:ascii="仿宋" w:hAnsi="仿宋" w:eastAsia="仿宋" w:cs="仿宋"/>
          <w:color w:val="auto"/>
          <w:sz w:val="24"/>
          <w:szCs w:val="24"/>
        </w:rPr>
        <w:br w:type="page"/>
      </w:r>
      <w:r>
        <w:rPr>
          <w:rFonts w:hint="eastAsia" w:ascii="仿宋" w:hAnsi="仿宋" w:eastAsia="仿宋" w:cs="仿宋"/>
          <w:color w:val="auto"/>
          <w:sz w:val="24"/>
          <w:szCs w:val="24"/>
        </w:rPr>
        <w:t>合同附件：</w:t>
      </w:r>
    </w:p>
    <w:tbl>
      <w:tblPr>
        <w:tblStyle w:val="5"/>
        <w:tblpPr w:leftFromText="180" w:rightFromText="180" w:vertAnchor="text" w:horzAnchor="page" w:tblpX="1592" w:tblpY="543"/>
        <w:tblOverlap w:val="never"/>
        <w:tblW w:w="0" w:type="auto"/>
        <w:tblInd w:w="0" w:type="dxa"/>
        <w:tblLayout w:type="fixed"/>
        <w:tblCellMar>
          <w:top w:w="0" w:type="dxa"/>
          <w:left w:w="108" w:type="dxa"/>
          <w:bottom w:w="0" w:type="dxa"/>
          <w:right w:w="108" w:type="dxa"/>
        </w:tblCellMar>
      </w:tblPr>
      <w:tblGrid>
        <w:gridCol w:w="1712"/>
        <w:gridCol w:w="2505"/>
        <w:gridCol w:w="2751"/>
        <w:gridCol w:w="2318"/>
      </w:tblGrid>
      <w:tr w14:paraId="44B72749">
        <w:tblPrEx>
          <w:tblCellMar>
            <w:top w:w="0" w:type="dxa"/>
            <w:left w:w="108" w:type="dxa"/>
            <w:bottom w:w="0" w:type="dxa"/>
            <w:right w:w="108" w:type="dxa"/>
          </w:tblCellMar>
        </w:tblPrEx>
        <w:trPr>
          <w:trHeight w:val="900" w:hRule="atLeast"/>
        </w:trPr>
        <w:tc>
          <w:tcPr>
            <w:tcW w:w="9286" w:type="dxa"/>
            <w:gridSpan w:val="4"/>
            <w:tcBorders>
              <w:top w:val="nil"/>
              <w:left w:val="nil"/>
              <w:bottom w:val="nil"/>
              <w:right w:val="nil"/>
            </w:tcBorders>
            <w:noWrap w:val="0"/>
            <w:vAlign w:val="center"/>
          </w:tcPr>
          <w:p w14:paraId="15E0FEAA">
            <w:pPr>
              <w:widowControl/>
              <w:jc w:val="center"/>
              <w:rPr>
                <w:rFonts w:hint="eastAsia" w:ascii="仿宋" w:hAnsi="仿宋" w:eastAsia="仿宋" w:cs="仿宋"/>
                <w:b/>
                <w:bCs/>
                <w:color w:val="auto"/>
                <w:kern w:val="0"/>
                <w:sz w:val="24"/>
                <w:szCs w:val="24"/>
              </w:rPr>
            </w:pPr>
            <w:r>
              <w:rPr>
                <w:rFonts w:hint="eastAsia" w:ascii="仿宋" w:hAnsi="仿宋" w:eastAsia="仿宋" w:cs="仿宋"/>
                <w:color w:val="auto"/>
                <w:kern w:val="0"/>
                <w:sz w:val="24"/>
                <w:szCs w:val="24"/>
              </w:rPr>
              <w:t xml:space="preserve">       政府采购项目货物（服务）验收报告单</w:t>
            </w:r>
          </w:p>
        </w:tc>
      </w:tr>
      <w:tr w14:paraId="6D0324EE">
        <w:tblPrEx>
          <w:tblCellMar>
            <w:top w:w="0" w:type="dxa"/>
            <w:left w:w="108" w:type="dxa"/>
            <w:bottom w:w="0" w:type="dxa"/>
            <w:right w:w="108" w:type="dxa"/>
          </w:tblCellMar>
        </w:tblPrEx>
        <w:trPr>
          <w:trHeight w:val="540" w:hRule="atLeast"/>
        </w:trPr>
        <w:tc>
          <w:tcPr>
            <w:tcW w:w="1712" w:type="dxa"/>
            <w:tcBorders>
              <w:top w:val="single" w:color="auto" w:sz="8" w:space="0"/>
              <w:left w:val="single" w:color="auto" w:sz="8" w:space="0"/>
              <w:bottom w:val="single" w:color="auto" w:sz="4" w:space="0"/>
              <w:right w:val="single" w:color="auto" w:sz="4" w:space="0"/>
            </w:tcBorders>
            <w:noWrap w:val="0"/>
            <w:vAlign w:val="center"/>
          </w:tcPr>
          <w:p w14:paraId="04A61FBD">
            <w:pPr>
              <w:widowControl/>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采购单位</w:t>
            </w:r>
          </w:p>
        </w:tc>
        <w:tc>
          <w:tcPr>
            <w:tcW w:w="7574" w:type="dxa"/>
            <w:gridSpan w:val="3"/>
            <w:tcBorders>
              <w:top w:val="single" w:color="auto" w:sz="8" w:space="0"/>
              <w:left w:val="nil"/>
              <w:bottom w:val="single" w:color="auto" w:sz="4" w:space="0"/>
              <w:right w:val="single" w:color="000000" w:sz="8" w:space="0"/>
            </w:tcBorders>
            <w:noWrap w:val="0"/>
            <w:vAlign w:val="center"/>
          </w:tcPr>
          <w:p w14:paraId="2848E69D">
            <w:pPr>
              <w:widowControl/>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　</w:t>
            </w:r>
          </w:p>
        </w:tc>
      </w:tr>
      <w:tr w14:paraId="0237D198">
        <w:tblPrEx>
          <w:tblCellMar>
            <w:top w:w="0" w:type="dxa"/>
            <w:left w:w="108" w:type="dxa"/>
            <w:bottom w:w="0" w:type="dxa"/>
            <w:right w:w="108" w:type="dxa"/>
          </w:tblCellMar>
        </w:tblPrEx>
        <w:trPr>
          <w:trHeight w:val="540" w:hRule="atLeast"/>
        </w:trPr>
        <w:tc>
          <w:tcPr>
            <w:tcW w:w="1712" w:type="dxa"/>
            <w:tcBorders>
              <w:top w:val="nil"/>
              <w:left w:val="single" w:color="auto" w:sz="8" w:space="0"/>
              <w:bottom w:val="single" w:color="auto" w:sz="4" w:space="0"/>
              <w:right w:val="single" w:color="auto" w:sz="4" w:space="0"/>
            </w:tcBorders>
            <w:noWrap w:val="0"/>
            <w:vAlign w:val="center"/>
          </w:tcPr>
          <w:p w14:paraId="0BA30502">
            <w:pPr>
              <w:widowControl/>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采购项目</w:t>
            </w:r>
          </w:p>
        </w:tc>
        <w:tc>
          <w:tcPr>
            <w:tcW w:w="7574" w:type="dxa"/>
            <w:gridSpan w:val="3"/>
            <w:tcBorders>
              <w:top w:val="single" w:color="auto" w:sz="4" w:space="0"/>
              <w:left w:val="nil"/>
              <w:bottom w:val="single" w:color="auto" w:sz="4" w:space="0"/>
              <w:right w:val="single" w:color="000000" w:sz="8" w:space="0"/>
            </w:tcBorders>
            <w:noWrap w:val="0"/>
            <w:vAlign w:val="center"/>
          </w:tcPr>
          <w:p w14:paraId="7C0A2922">
            <w:pPr>
              <w:widowControl/>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　</w:t>
            </w:r>
          </w:p>
        </w:tc>
      </w:tr>
      <w:tr w14:paraId="28350854">
        <w:tblPrEx>
          <w:tblCellMar>
            <w:top w:w="0" w:type="dxa"/>
            <w:left w:w="108" w:type="dxa"/>
            <w:bottom w:w="0" w:type="dxa"/>
            <w:right w:w="108" w:type="dxa"/>
          </w:tblCellMar>
        </w:tblPrEx>
        <w:trPr>
          <w:trHeight w:val="540" w:hRule="atLeast"/>
        </w:trPr>
        <w:tc>
          <w:tcPr>
            <w:tcW w:w="1712" w:type="dxa"/>
            <w:vMerge w:val="restart"/>
            <w:tcBorders>
              <w:top w:val="nil"/>
              <w:left w:val="single" w:color="auto" w:sz="8" w:space="0"/>
              <w:bottom w:val="single" w:color="auto" w:sz="4" w:space="0"/>
              <w:right w:val="single" w:color="auto" w:sz="4" w:space="0"/>
            </w:tcBorders>
            <w:noWrap w:val="0"/>
            <w:vAlign w:val="center"/>
          </w:tcPr>
          <w:p w14:paraId="34CF36BC">
            <w:pPr>
              <w:widowControl/>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项目编号</w:t>
            </w:r>
          </w:p>
        </w:tc>
        <w:tc>
          <w:tcPr>
            <w:tcW w:w="2505" w:type="dxa"/>
            <w:vMerge w:val="restart"/>
            <w:tcBorders>
              <w:top w:val="nil"/>
              <w:left w:val="single" w:color="auto" w:sz="4" w:space="0"/>
              <w:bottom w:val="single" w:color="auto" w:sz="4" w:space="0"/>
              <w:right w:val="single" w:color="auto" w:sz="4" w:space="0"/>
            </w:tcBorders>
            <w:noWrap w:val="0"/>
            <w:vAlign w:val="center"/>
          </w:tcPr>
          <w:p w14:paraId="7078EB73">
            <w:pPr>
              <w:widowControl/>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　</w:t>
            </w:r>
          </w:p>
        </w:tc>
        <w:tc>
          <w:tcPr>
            <w:tcW w:w="2751" w:type="dxa"/>
            <w:tcBorders>
              <w:top w:val="nil"/>
              <w:left w:val="nil"/>
              <w:bottom w:val="single" w:color="auto" w:sz="4" w:space="0"/>
              <w:right w:val="single" w:color="auto" w:sz="4" w:space="0"/>
            </w:tcBorders>
            <w:noWrap w:val="0"/>
            <w:vAlign w:val="center"/>
          </w:tcPr>
          <w:p w14:paraId="4DCBF244">
            <w:pPr>
              <w:widowControl/>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合同金额</w:t>
            </w:r>
          </w:p>
        </w:tc>
        <w:tc>
          <w:tcPr>
            <w:tcW w:w="2318" w:type="dxa"/>
            <w:tcBorders>
              <w:top w:val="nil"/>
              <w:left w:val="nil"/>
              <w:bottom w:val="single" w:color="auto" w:sz="4" w:space="0"/>
              <w:right w:val="single" w:color="auto" w:sz="8" w:space="0"/>
            </w:tcBorders>
            <w:noWrap w:val="0"/>
            <w:vAlign w:val="center"/>
          </w:tcPr>
          <w:p w14:paraId="06E53326">
            <w:pPr>
              <w:widowControl/>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w:t>
            </w:r>
          </w:p>
        </w:tc>
      </w:tr>
      <w:tr w14:paraId="554E65AF">
        <w:tblPrEx>
          <w:tblCellMar>
            <w:top w:w="0" w:type="dxa"/>
            <w:left w:w="108" w:type="dxa"/>
            <w:bottom w:w="0" w:type="dxa"/>
            <w:right w:w="108" w:type="dxa"/>
          </w:tblCellMar>
        </w:tblPrEx>
        <w:trPr>
          <w:trHeight w:val="540" w:hRule="atLeast"/>
        </w:trPr>
        <w:tc>
          <w:tcPr>
            <w:tcW w:w="1712" w:type="dxa"/>
            <w:vMerge w:val="continue"/>
            <w:tcBorders>
              <w:top w:val="nil"/>
              <w:left w:val="single" w:color="auto" w:sz="8" w:space="0"/>
              <w:bottom w:val="single" w:color="auto" w:sz="4" w:space="0"/>
              <w:right w:val="single" w:color="auto" w:sz="4" w:space="0"/>
            </w:tcBorders>
            <w:noWrap w:val="0"/>
            <w:vAlign w:val="center"/>
          </w:tcPr>
          <w:p w14:paraId="7173F322">
            <w:pPr>
              <w:widowControl/>
              <w:jc w:val="left"/>
              <w:rPr>
                <w:rFonts w:hint="eastAsia" w:ascii="仿宋" w:hAnsi="仿宋" w:eastAsia="仿宋" w:cs="仿宋"/>
                <w:color w:val="auto"/>
                <w:kern w:val="0"/>
                <w:sz w:val="24"/>
                <w:szCs w:val="24"/>
              </w:rPr>
            </w:pPr>
          </w:p>
        </w:tc>
        <w:tc>
          <w:tcPr>
            <w:tcW w:w="2505" w:type="dxa"/>
            <w:vMerge w:val="continue"/>
            <w:tcBorders>
              <w:top w:val="nil"/>
              <w:left w:val="single" w:color="auto" w:sz="4" w:space="0"/>
              <w:bottom w:val="single" w:color="auto" w:sz="4" w:space="0"/>
              <w:right w:val="single" w:color="auto" w:sz="4" w:space="0"/>
            </w:tcBorders>
            <w:noWrap w:val="0"/>
            <w:vAlign w:val="center"/>
          </w:tcPr>
          <w:p w14:paraId="5AF778DD">
            <w:pPr>
              <w:widowControl/>
              <w:jc w:val="left"/>
              <w:rPr>
                <w:rFonts w:hint="eastAsia" w:ascii="仿宋" w:hAnsi="仿宋" w:eastAsia="仿宋" w:cs="仿宋"/>
                <w:color w:val="auto"/>
                <w:kern w:val="0"/>
                <w:sz w:val="24"/>
                <w:szCs w:val="24"/>
              </w:rPr>
            </w:pPr>
          </w:p>
        </w:tc>
        <w:tc>
          <w:tcPr>
            <w:tcW w:w="2751" w:type="dxa"/>
            <w:tcBorders>
              <w:top w:val="nil"/>
              <w:left w:val="nil"/>
              <w:bottom w:val="single" w:color="auto" w:sz="4" w:space="0"/>
              <w:right w:val="single" w:color="auto" w:sz="4" w:space="0"/>
            </w:tcBorders>
            <w:noWrap w:val="0"/>
            <w:vAlign w:val="center"/>
          </w:tcPr>
          <w:p w14:paraId="791834A6">
            <w:pPr>
              <w:widowControl/>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验收时间/地点</w:t>
            </w:r>
          </w:p>
        </w:tc>
        <w:tc>
          <w:tcPr>
            <w:tcW w:w="2318" w:type="dxa"/>
            <w:tcBorders>
              <w:top w:val="nil"/>
              <w:left w:val="nil"/>
              <w:bottom w:val="single" w:color="auto" w:sz="4" w:space="0"/>
              <w:right w:val="single" w:color="auto" w:sz="8" w:space="0"/>
            </w:tcBorders>
            <w:noWrap w:val="0"/>
            <w:vAlign w:val="center"/>
          </w:tcPr>
          <w:p w14:paraId="15F8C490">
            <w:pPr>
              <w:widowControl/>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　</w:t>
            </w:r>
          </w:p>
        </w:tc>
      </w:tr>
      <w:tr w14:paraId="4967228D">
        <w:tblPrEx>
          <w:tblCellMar>
            <w:top w:w="0" w:type="dxa"/>
            <w:left w:w="108" w:type="dxa"/>
            <w:bottom w:w="0" w:type="dxa"/>
            <w:right w:w="108" w:type="dxa"/>
          </w:tblCellMar>
        </w:tblPrEx>
        <w:trPr>
          <w:trHeight w:val="471" w:hRule="atLeast"/>
        </w:trPr>
        <w:tc>
          <w:tcPr>
            <w:tcW w:w="1712" w:type="dxa"/>
            <w:tcBorders>
              <w:top w:val="nil"/>
              <w:left w:val="single" w:color="auto" w:sz="8" w:space="0"/>
              <w:bottom w:val="single" w:color="auto" w:sz="4" w:space="0"/>
              <w:right w:val="single" w:color="auto" w:sz="4" w:space="0"/>
            </w:tcBorders>
            <w:noWrap w:val="0"/>
            <w:vAlign w:val="center"/>
          </w:tcPr>
          <w:p w14:paraId="23F47AA1">
            <w:pPr>
              <w:widowControl/>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服务单位</w:t>
            </w:r>
          </w:p>
        </w:tc>
        <w:tc>
          <w:tcPr>
            <w:tcW w:w="7574" w:type="dxa"/>
            <w:gridSpan w:val="3"/>
            <w:tcBorders>
              <w:top w:val="single" w:color="auto" w:sz="4" w:space="0"/>
              <w:left w:val="nil"/>
              <w:bottom w:val="single" w:color="auto" w:sz="4" w:space="0"/>
              <w:right w:val="single" w:color="000000" w:sz="8" w:space="0"/>
            </w:tcBorders>
            <w:noWrap w:val="0"/>
            <w:vAlign w:val="center"/>
          </w:tcPr>
          <w:p w14:paraId="64AABA6E">
            <w:pPr>
              <w:widowControl/>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　</w:t>
            </w:r>
          </w:p>
        </w:tc>
      </w:tr>
      <w:tr w14:paraId="37E7E553">
        <w:tblPrEx>
          <w:tblCellMar>
            <w:top w:w="0" w:type="dxa"/>
            <w:left w:w="108" w:type="dxa"/>
            <w:bottom w:w="0" w:type="dxa"/>
            <w:right w:w="108" w:type="dxa"/>
          </w:tblCellMar>
        </w:tblPrEx>
        <w:trPr>
          <w:trHeight w:val="540" w:hRule="atLeast"/>
        </w:trPr>
        <w:tc>
          <w:tcPr>
            <w:tcW w:w="1712" w:type="dxa"/>
            <w:tcBorders>
              <w:top w:val="nil"/>
              <w:left w:val="single" w:color="auto" w:sz="8" w:space="0"/>
              <w:bottom w:val="single" w:color="auto" w:sz="4" w:space="0"/>
              <w:right w:val="single" w:color="auto" w:sz="4" w:space="0"/>
            </w:tcBorders>
            <w:noWrap w:val="0"/>
            <w:vAlign w:val="center"/>
          </w:tcPr>
          <w:p w14:paraId="66F9D790">
            <w:pPr>
              <w:widowControl/>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开户行</w:t>
            </w:r>
          </w:p>
        </w:tc>
        <w:tc>
          <w:tcPr>
            <w:tcW w:w="2505" w:type="dxa"/>
            <w:tcBorders>
              <w:top w:val="nil"/>
              <w:left w:val="nil"/>
              <w:bottom w:val="single" w:color="auto" w:sz="4" w:space="0"/>
              <w:right w:val="single" w:color="auto" w:sz="4" w:space="0"/>
            </w:tcBorders>
            <w:noWrap w:val="0"/>
            <w:vAlign w:val="center"/>
          </w:tcPr>
          <w:p w14:paraId="0B5E36C9">
            <w:pPr>
              <w:widowControl/>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　</w:t>
            </w:r>
          </w:p>
        </w:tc>
        <w:tc>
          <w:tcPr>
            <w:tcW w:w="2751" w:type="dxa"/>
            <w:tcBorders>
              <w:top w:val="nil"/>
              <w:left w:val="nil"/>
              <w:bottom w:val="single" w:color="auto" w:sz="4" w:space="0"/>
              <w:right w:val="single" w:color="auto" w:sz="4" w:space="0"/>
            </w:tcBorders>
            <w:noWrap w:val="0"/>
            <w:vAlign w:val="center"/>
          </w:tcPr>
          <w:p w14:paraId="6116102B">
            <w:pPr>
              <w:widowControl/>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账号</w:t>
            </w:r>
          </w:p>
        </w:tc>
        <w:tc>
          <w:tcPr>
            <w:tcW w:w="2318" w:type="dxa"/>
            <w:tcBorders>
              <w:top w:val="nil"/>
              <w:left w:val="nil"/>
              <w:bottom w:val="single" w:color="auto" w:sz="4" w:space="0"/>
              <w:right w:val="single" w:color="auto" w:sz="8" w:space="0"/>
            </w:tcBorders>
            <w:noWrap w:val="0"/>
            <w:vAlign w:val="center"/>
          </w:tcPr>
          <w:p w14:paraId="012781FF">
            <w:pPr>
              <w:widowControl/>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　</w:t>
            </w:r>
          </w:p>
        </w:tc>
      </w:tr>
      <w:tr w14:paraId="66303505">
        <w:tblPrEx>
          <w:tblCellMar>
            <w:top w:w="0" w:type="dxa"/>
            <w:left w:w="108" w:type="dxa"/>
            <w:bottom w:w="0" w:type="dxa"/>
            <w:right w:w="108" w:type="dxa"/>
          </w:tblCellMar>
        </w:tblPrEx>
        <w:trPr>
          <w:trHeight w:val="540" w:hRule="atLeast"/>
        </w:trPr>
        <w:tc>
          <w:tcPr>
            <w:tcW w:w="1712" w:type="dxa"/>
            <w:tcBorders>
              <w:top w:val="nil"/>
              <w:left w:val="single" w:color="auto" w:sz="8" w:space="0"/>
              <w:bottom w:val="nil"/>
              <w:right w:val="single" w:color="auto" w:sz="4" w:space="0"/>
            </w:tcBorders>
            <w:noWrap w:val="0"/>
            <w:vAlign w:val="center"/>
          </w:tcPr>
          <w:p w14:paraId="45FFCB08">
            <w:pPr>
              <w:widowControl/>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联系人</w:t>
            </w:r>
          </w:p>
        </w:tc>
        <w:tc>
          <w:tcPr>
            <w:tcW w:w="2505" w:type="dxa"/>
            <w:tcBorders>
              <w:top w:val="nil"/>
              <w:left w:val="nil"/>
              <w:bottom w:val="nil"/>
              <w:right w:val="single" w:color="auto" w:sz="4" w:space="0"/>
            </w:tcBorders>
            <w:noWrap w:val="0"/>
            <w:vAlign w:val="center"/>
          </w:tcPr>
          <w:p w14:paraId="621D5BF6">
            <w:pPr>
              <w:widowControl/>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　</w:t>
            </w:r>
          </w:p>
        </w:tc>
        <w:tc>
          <w:tcPr>
            <w:tcW w:w="2751" w:type="dxa"/>
            <w:tcBorders>
              <w:top w:val="nil"/>
              <w:left w:val="nil"/>
              <w:bottom w:val="nil"/>
              <w:right w:val="single" w:color="auto" w:sz="4" w:space="0"/>
            </w:tcBorders>
            <w:noWrap w:val="0"/>
            <w:vAlign w:val="center"/>
          </w:tcPr>
          <w:p w14:paraId="76884CDE">
            <w:pPr>
              <w:widowControl/>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电话</w:t>
            </w:r>
          </w:p>
        </w:tc>
        <w:tc>
          <w:tcPr>
            <w:tcW w:w="2318" w:type="dxa"/>
            <w:tcBorders>
              <w:top w:val="nil"/>
              <w:left w:val="nil"/>
              <w:bottom w:val="nil"/>
              <w:right w:val="single" w:color="auto" w:sz="8" w:space="0"/>
            </w:tcBorders>
            <w:noWrap w:val="0"/>
            <w:vAlign w:val="center"/>
          </w:tcPr>
          <w:p w14:paraId="40FB9903">
            <w:pPr>
              <w:widowControl/>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　</w:t>
            </w:r>
          </w:p>
        </w:tc>
      </w:tr>
      <w:tr w14:paraId="7EBBF176">
        <w:tblPrEx>
          <w:tblCellMar>
            <w:top w:w="0" w:type="dxa"/>
            <w:left w:w="108" w:type="dxa"/>
            <w:bottom w:w="0" w:type="dxa"/>
            <w:right w:w="108" w:type="dxa"/>
          </w:tblCellMar>
        </w:tblPrEx>
        <w:trPr>
          <w:trHeight w:val="880" w:hRule="atLeast"/>
        </w:trPr>
        <w:tc>
          <w:tcPr>
            <w:tcW w:w="4217" w:type="dxa"/>
            <w:gridSpan w:val="2"/>
            <w:tcBorders>
              <w:top w:val="single" w:color="auto" w:sz="4" w:space="0"/>
              <w:left w:val="single" w:color="auto" w:sz="8" w:space="0"/>
              <w:bottom w:val="nil"/>
              <w:right w:val="nil"/>
            </w:tcBorders>
            <w:noWrap w:val="0"/>
            <w:vAlign w:val="top"/>
          </w:tcPr>
          <w:p w14:paraId="42D636AF">
            <w:pPr>
              <w:widowControl/>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 xml:space="preserve"> 供货（服务）单位：（盖章）</w:t>
            </w:r>
          </w:p>
        </w:tc>
        <w:tc>
          <w:tcPr>
            <w:tcW w:w="5069" w:type="dxa"/>
            <w:gridSpan w:val="2"/>
            <w:tcBorders>
              <w:top w:val="single" w:color="auto" w:sz="4" w:space="0"/>
              <w:left w:val="single" w:color="auto" w:sz="4" w:space="0"/>
              <w:bottom w:val="nil"/>
              <w:right w:val="single" w:color="000000" w:sz="8" w:space="0"/>
            </w:tcBorders>
            <w:noWrap w:val="0"/>
            <w:vAlign w:val="top"/>
          </w:tcPr>
          <w:p w14:paraId="2E4C439B">
            <w:pPr>
              <w:widowControl/>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 xml:space="preserve">   使用单位验收意见：（盖章）</w:t>
            </w:r>
          </w:p>
          <w:p w14:paraId="4BDAE8DF">
            <w:pPr>
              <w:rPr>
                <w:rFonts w:hint="eastAsia" w:ascii="仿宋" w:hAnsi="仿宋" w:eastAsia="仿宋" w:cs="仿宋"/>
                <w:color w:val="auto"/>
                <w:sz w:val="24"/>
                <w:szCs w:val="24"/>
              </w:rPr>
            </w:pPr>
          </w:p>
        </w:tc>
      </w:tr>
      <w:tr w14:paraId="1F4E9AC0">
        <w:tblPrEx>
          <w:tblCellMar>
            <w:top w:w="0" w:type="dxa"/>
            <w:left w:w="108" w:type="dxa"/>
            <w:bottom w:w="0" w:type="dxa"/>
            <w:right w:w="108" w:type="dxa"/>
          </w:tblCellMar>
        </w:tblPrEx>
        <w:trPr>
          <w:trHeight w:val="480" w:hRule="atLeast"/>
        </w:trPr>
        <w:tc>
          <w:tcPr>
            <w:tcW w:w="1712" w:type="dxa"/>
            <w:tcBorders>
              <w:top w:val="nil"/>
              <w:left w:val="single" w:color="auto" w:sz="8" w:space="0"/>
              <w:bottom w:val="nil"/>
              <w:right w:val="nil"/>
            </w:tcBorders>
            <w:noWrap w:val="0"/>
            <w:vAlign w:val="center"/>
          </w:tcPr>
          <w:p w14:paraId="4E1FF05F">
            <w:pPr>
              <w:widowControl/>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 xml:space="preserve"> 签字：</w:t>
            </w:r>
          </w:p>
        </w:tc>
        <w:tc>
          <w:tcPr>
            <w:tcW w:w="2505" w:type="dxa"/>
            <w:tcBorders>
              <w:top w:val="nil"/>
              <w:left w:val="nil"/>
              <w:bottom w:val="nil"/>
              <w:right w:val="nil"/>
            </w:tcBorders>
            <w:noWrap w:val="0"/>
            <w:vAlign w:val="center"/>
          </w:tcPr>
          <w:p w14:paraId="07A9A983">
            <w:pPr>
              <w:widowControl/>
              <w:jc w:val="center"/>
              <w:rPr>
                <w:rFonts w:hint="eastAsia" w:ascii="仿宋" w:hAnsi="仿宋" w:eastAsia="仿宋" w:cs="仿宋"/>
                <w:color w:val="auto"/>
                <w:kern w:val="0"/>
                <w:sz w:val="24"/>
                <w:szCs w:val="24"/>
              </w:rPr>
            </w:pPr>
          </w:p>
        </w:tc>
        <w:tc>
          <w:tcPr>
            <w:tcW w:w="2751" w:type="dxa"/>
            <w:tcBorders>
              <w:top w:val="nil"/>
              <w:left w:val="single" w:color="auto" w:sz="4" w:space="0"/>
              <w:bottom w:val="nil"/>
              <w:right w:val="nil"/>
            </w:tcBorders>
            <w:noWrap w:val="0"/>
            <w:vAlign w:val="center"/>
          </w:tcPr>
          <w:p w14:paraId="101DDDD3">
            <w:pPr>
              <w:widowControl/>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签字：</w:t>
            </w:r>
          </w:p>
        </w:tc>
        <w:tc>
          <w:tcPr>
            <w:tcW w:w="2318" w:type="dxa"/>
            <w:tcBorders>
              <w:top w:val="nil"/>
              <w:left w:val="nil"/>
              <w:bottom w:val="nil"/>
              <w:right w:val="single" w:color="auto" w:sz="8" w:space="0"/>
            </w:tcBorders>
            <w:noWrap w:val="0"/>
            <w:vAlign w:val="top"/>
          </w:tcPr>
          <w:p w14:paraId="0C2A5EFB">
            <w:pPr>
              <w:widowControl/>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　</w:t>
            </w:r>
          </w:p>
        </w:tc>
      </w:tr>
      <w:tr w14:paraId="208BC6C7">
        <w:tblPrEx>
          <w:tblCellMar>
            <w:top w:w="0" w:type="dxa"/>
            <w:left w:w="108" w:type="dxa"/>
            <w:bottom w:w="0" w:type="dxa"/>
            <w:right w:w="108" w:type="dxa"/>
          </w:tblCellMar>
        </w:tblPrEx>
        <w:trPr>
          <w:trHeight w:val="78" w:hRule="atLeast"/>
        </w:trPr>
        <w:tc>
          <w:tcPr>
            <w:tcW w:w="1712" w:type="dxa"/>
            <w:tcBorders>
              <w:top w:val="nil"/>
              <w:left w:val="single" w:color="auto" w:sz="8" w:space="0"/>
              <w:bottom w:val="single" w:color="auto" w:sz="4" w:space="0"/>
              <w:right w:val="nil"/>
            </w:tcBorders>
            <w:noWrap w:val="0"/>
            <w:vAlign w:val="center"/>
          </w:tcPr>
          <w:p w14:paraId="75D8F705">
            <w:pPr>
              <w:widowControl/>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　</w:t>
            </w:r>
          </w:p>
        </w:tc>
        <w:tc>
          <w:tcPr>
            <w:tcW w:w="2505" w:type="dxa"/>
            <w:tcBorders>
              <w:top w:val="nil"/>
              <w:left w:val="nil"/>
              <w:bottom w:val="single" w:color="auto" w:sz="4" w:space="0"/>
              <w:right w:val="nil"/>
            </w:tcBorders>
            <w:noWrap w:val="0"/>
            <w:vAlign w:val="bottom"/>
          </w:tcPr>
          <w:p w14:paraId="0834287F">
            <w:pPr>
              <w:widowControl/>
              <w:jc w:val="righ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年     月   日</w:t>
            </w:r>
          </w:p>
        </w:tc>
        <w:tc>
          <w:tcPr>
            <w:tcW w:w="2751" w:type="dxa"/>
            <w:tcBorders>
              <w:top w:val="nil"/>
              <w:left w:val="single" w:color="auto" w:sz="4" w:space="0"/>
              <w:bottom w:val="single" w:color="auto" w:sz="4" w:space="0"/>
              <w:right w:val="nil"/>
            </w:tcBorders>
            <w:noWrap w:val="0"/>
            <w:vAlign w:val="center"/>
          </w:tcPr>
          <w:p w14:paraId="06E103BF">
            <w:pPr>
              <w:widowControl/>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　</w:t>
            </w:r>
          </w:p>
        </w:tc>
        <w:tc>
          <w:tcPr>
            <w:tcW w:w="2318" w:type="dxa"/>
            <w:tcBorders>
              <w:top w:val="nil"/>
              <w:left w:val="nil"/>
              <w:bottom w:val="single" w:color="auto" w:sz="4" w:space="0"/>
              <w:right w:val="single" w:color="auto" w:sz="8" w:space="0"/>
            </w:tcBorders>
            <w:noWrap w:val="0"/>
            <w:vAlign w:val="bottom"/>
          </w:tcPr>
          <w:p w14:paraId="1F132B68">
            <w:pPr>
              <w:widowControl/>
              <w:jc w:val="righ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年   月   日</w:t>
            </w:r>
          </w:p>
        </w:tc>
      </w:tr>
      <w:tr w14:paraId="648EA74E">
        <w:tblPrEx>
          <w:tblCellMar>
            <w:top w:w="0" w:type="dxa"/>
            <w:left w:w="108" w:type="dxa"/>
            <w:bottom w:w="0" w:type="dxa"/>
            <w:right w:w="108" w:type="dxa"/>
          </w:tblCellMar>
        </w:tblPrEx>
        <w:trPr>
          <w:trHeight w:val="603" w:hRule="atLeast"/>
        </w:trPr>
        <w:tc>
          <w:tcPr>
            <w:tcW w:w="9286" w:type="dxa"/>
            <w:gridSpan w:val="4"/>
            <w:tcBorders>
              <w:top w:val="single" w:color="auto" w:sz="4" w:space="0"/>
              <w:left w:val="single" w:color="auto" w:sz="8" w:space="0"/>
              <w:bottom w:val="single" w:color="auto" w:sz="4" w:space="0"/>
              <w:right w:val="single" w:color="000000" w:sz="8" w:space="0"/>
            </w:tcBorders>
            <w:noWrap w:val="0"/>
            <w:vAlign w:val="center"/>
          </w:tcPr>
          <w:p w14:paraId="6355A81F">
            <w:pPr>
              <w:widowControl/>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采购内容</w:t>
            </w:r>
          </w:p>
        </w:tc>
      </w:tr>
      <w:tr w14:paraId="4C396694">
        <w:tblPrEx>
          <w:tblCellMar>
            <w:top w:w="0" w:type="dxa"/>
            <w:left w:w="108" w:type="dxa"/>
            <w:bottom w:w="0" w:type="dxa"/>
            <w:right w:w="108" w:type="dxa"/>
          </w:tblCellMar>
        </w:tblPrEx>
        <w:trPr>
          <w:trHeight w:val="1975" w:hRule="atLeast"/>
        </w:trPr>
        <w:tc>
          <w:tcPr>
            <w:tcW w:w="9286" w:type="dxa"/>
            <w:gridSpan w:val="4"/>
            <w:tcBorders>
              <w:top w:val="single" w:color="auto" w:sz="4" w:space="0"/>
              <w:left w:val="single" w:color="auto" w:sz="8" w:space="0"/>
              <w:bottom w:val="single" w:color="auto" w:sz="8" w:space="0"/>
              <w:right w:val="single" w:color="000000" w:sz="8" w:space="0"/>
            </w:tcBorders>
            <w:noWrap w:val="0"/>
            <w:vAlign w:val="top"/>
          </w:tcPr>
          <w:p w14:paraId="44D116A4">
            <w:pPr>
              <w:widowControl/>
              <w:rPr>
                <w:rFonts w:hint="eastAsia" w:ascii="仿宋" w:hAnsi="仿宋" w:eastAsia="仿宋" w:cs="仿宋"/>
                <w:color w:val="auto"/>
                <w:kern w:val="0"/>
                <w:sz w:val="24"/>
                <w:szCs w:val="24"/>
              </w:rPr>
            </w:pPr>
          </w:p>
        </w:tc>
      </w:tr>
    </w:tbl>
    <w:p w14:paraId="1B92F1F3">
      <w:pPr>
        <w:pStyle w:val="9"/>
        <w:rPr>
          <w:rFonts w:hint="eastAsia" w:ascii="仿宋" w:hAnsi="仿宋" w:eastAsia="仿宋" w:cs="仿宋"/>
          <w:color w:val="auto"/>
          <w:sz w:val="24"/>
          <w:szCs w:val="24"/>
          <w:lang w:val="en-US" w:eastAsia="zh-Hans"/>
        </w:rPr>
      </w:pPr>
    </w:p>
    <w:p w14:paraId="03E5D6FC">
      <w:pPr>
        <w:pStyle w:val="3"/>
        <w:rPr>
          <w:rFonts w:hint="eastAsia" w:ascii="仿宋" w:hAnsi="仿宋" w:eastAsia="仿宋" w:cs="仿宋"/>
          <w:b w:val="0"/>
          <w:bCs w:val="0"/>
          <w:snapToGrid w:val="0"/>
          <w:color w:val="auto"/>
          <w:spacing w:val="2"/>
          <w:kern w:val="0"/>
          <w:sz w:val="24"/>
          <w:szCs w:val="24"/>
          <w:lang w:val="en-US" w:eastAsia="zh-CN" w:bidi="ar-SA"/>
        </w:rPr>
      </w:pPr>
    </w:p>
    <w:p w14:paraId="035692F8">
      <w:pPr>
        <w:pStyle w:val="3"/>
        <w:rPr>
          <w:rFonts w:hint="eastAsia" w:ascii="仿宋" w:hAnsi="仿宋" w:eastAsia="仿宋" w:cs="仿宋"/>
          <w:b w:val="0"/>
          <w:bCs w:val="0"/>
          <w:snapToGrid w:val="0"/>
          <w:color w:val="auto"/>
          <w:spacing w:val="2"/>
          <w:kern w:val="0"/>
          <w:sz w:val="24"/>
          <w:szCs w:val="24"/>
          <w:lang w:val="en-US" w:eastAsia="zh-CN" w:bidi="ar-SA"/>
        </w:rPr>
      </w:pPr>
    </w:p>
    <w:p w14:paraId="4F36AFE9"/>
    <w:p w14:paraId="1E3FCF97"/>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1042FD4"/>
    <w:rsid w:val="10B9797C"/>
    <w:rsid w:val="61042FD4"/>
    <w:rsid w:val="72C85C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pPr>
    <w:rPr>
      <w:rFonts w:ascii="Times New Roman" w:hAnsi="Times New Roman" w:eastAsia="Times New Roman" w:cs="Times New Roman"/>
      <w:color w:val="000000"/>
      <w:sz w:val="24"/>
      <w:szCs w:val="24"/>
      <w:lang w:val="en-US" w:eastAsia="en-US" w:bidi="en-US"/>
    </w:rPr>
  </w:style>
  <w:style w:type="character" w:default="1" w:styleId="6">
    <w:name w:val="Default Paragraph Font"/>
    <w:semiHidden/>
    <w:uiPriority w:val="0"/>
  </w:style>
  <w:style w:type="table" w:default="1" w:styleId="5">
    <w:name w:val="Normal Table"/>
    <w:autoRedefine/>
    <w:semiHidden/>
    <w:uiPriority w:val="0"/>
    <w:tblPr>
      <w:tblCellMar>
        <w:top w:w="0" w:type="dxa"/>
        <w:left w:w="108" w:type="dxa"/>
        <w:bottom w:w="0" w:type="dxa"/>
        <w:right w:w="108" w:type="dxa"/>
      </w:tblCellMar>
    </w:tblPr>
  </w:style>
  <w:style w:type="paragraph" w:styleId="2">
    <w:name w:val="Body Text"/>
    <w:basedOn w:val="1"/>
    <w:next w:val="1"/>
    <w:semiHidden/>
    <w:qFormat/>
    <w:uiPriority w:val="0"/>
    <w:rPr>
      <w:rFonts w:ascii="Arial" w:hAnsi="Arial" w:eastAsia="Arial" w:cs="Arial"/>
      <w:sz w:val="21"/>
      <w:szCs w:val="21"/>
      <w:lang w:val="en-US" w:eastAsia="en-US" w:bidi="ar-SA"/>
    </w:rPr>
  </w:style>
  <w:style w:type="paragraph" w:styleId="3">
    <w:name w:val="footer"/>
    <w:basedOn w:val="1"/>
    <w:qFormat/>
    <w:uiPriority w:val="99"/>
    <w:pPr>
      <w:tabs>
        <w:tab w:val="center" w:pos="4153"/>
        <w:tab w:val="right" w:pos="8306"/>
      </w:tabs>
      <w:snapToGrid w:val="0"/>
      <w:jc w:val="left"/>
    </w:pPr>
    <w:rPr>
      <w:rFonts w:ascii="Times New Roman" w:hAnsi="Times New Roman"/>
      <w:sz w:val="18"/>
      <w:szCs w:val="18"/>
    </w:rPr>
  </w:style>
  <w:style w:type="paragraph" w:styleId="4">
    <w:name w:val="Normal (Web)"/>
    <w:basedOn w:val="1"/>
    <w:next w:val="3"/>
    <w:unhideWhenUsed/>
    <w:qFormat/>
    <w:uiPriority w:val="0"/>
    <w:pPr>
      <w:spacing w:beforeAutospacing="1" w:afterAutospacing="1"/>
      <w:jc w:val="left"/>
    </w:pPr>
    <w:rPr>
      <w:kern w:val="0"/>
      <w:sz w:val="24"/>
    </w:rPr>
  </w:style>
  <w:style w:type="paragraph" w:customStyle="1" w:styleId="7">
    <w:name w:val="样式1"/>
    <w:basedOn w:val="1"/>
    <w:uiPriority w:val="0"/>
    <w:pPr>
      <w:spacing w:before="62" w:line="220" w:lineRule="auto"/>
      <w:ind w:left="3609"/>
      <w:outlineLvl w:val="2"/>
    </w:pPr>
    <w:rPr>
      <w:rFonts w:ascii="宋体" w:hAnsi="宋体" w:eastAsia="宋体" w:cs="宋体"/>
      <w:snapToGrid w:val="0"/>
      <w:color w:val="000000"/>
      <w:spacing w:val="6"/>
      <w:kern w:val="0"/>
      <w:sz w:val="24"/>
      <w:szCs w:val="31"/>
      <w:lang w:eastAsia="en-US"/>
    </w:rPr>
  </w:style>
  <w:style w:type="paragraph" w:customStyle="1" w:styleId="8">
    <w:name w:val="Heading #3|1"/>
    <w:basedOn w:val="1"/>
    <w:qFormat/>
    <w:uiPriority w:val="0"/>
    <w:pPr>
      <w:spacing w:after="320"/>
      <w:ind w:firstLine="260"/>
      <w:outlineLvl w:val="2"/>
    </w:pPr>
    <w:rPr>
      <w:rFonts w:ascii="宋体" w:hAnsi="宋体" w:eastAsia="宋体" w:cs="宋体"/>
      <w:sz w:val="32"/>
      <w:szCs w:val="32"/>
      <w:lang w:val="zh-TW" w:eastAsia="zh-TW" w:bidi="zh-TW"/>
    </w:rPr>
  </w:style>
  <w:style w:type="paragraph" w:customStyle="1" w:styleId="9">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2026-08-18T02:26:00Z</dcterms:created>
  <dc:creator>望仔</dc:creator>
  <cp:lastModifiedBy>望仔</cp:lastModifiedBy>
  <dcterms:modified xsi:type="dcterms:W3CDTF">2026-08-18T03:12:51Z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AC37FDB3007B4B48A408C0E379A0BFD9_13</vt:lpwstr>
  </property>
  <property fmtid="{D5CDD505-2E9C-101B-9397-08002B2CF9AE}" pid="4" name="KSOTemplateDocerSaveRecord">
    <vt:lpwstr>eyJoZGlkIjoiMDQ0NDI3NTg4NGQ3ZGE4NDM0OWQ3YzkzMjdmM2UxMTQiLCJ1c2VySWQiOiI1NTUyODEwNDQifQ==</vt:lpwstr>
  </property>
</Properties>
</file>