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版本号：ZCTH2026-04-030.120260430001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2026年运动员训练分析服务(二次)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ZCTH2026-04-030.1</w:t>
      </w:r>
      <w:r>
        <w:br/>
      </w:r>
      <w:r>
        <w:br/>
      </w:r>
      <w:r>
        <w:br/>
      </w:r>
    </w:p>
    <w:p>
      <w:pPr>
        <w:pStyle w:val="null3"/>
        <w:jc w:val="center"/>
        <w:outlineLvl w:val="2"/>
      </w:pPr>
      <w:r>
        <w:rPr>
          <w:rFonts w:ascii="仿宋_GB2312" w:hAnsi="仿宋_GB2312" w:cs="仿宋_GB2312" w:eastAsia="仿宋_GB2312"/>
          <w:sz w:val="28"/>
          <w:b/>
        </w:rPr>
        <w:t>西安市体育运动学校</w:t>
      </w:r>
    </w:p>
    <w:p>
      <w:pPr>
        <w:pStyle w:val="null3"/>
        <w:jc w:val="center"/>
        <w:outlineLvl w:val="2"/>
      </w:pPr>
      <w:r>
        <w:rPr>
          <w:rFonts w:ascii="仿宋_GB2312" w:hAnsi="仿宋_GB2312" w:cs="仿宋_GB2312" w:eastAsia="仿宋_GB2312"/>
          <w:sz w:val="28"/>
          <w:b/>
        </w:rPr>
        <w:t>陕西中诚天和项目管理有限公司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西安市体育运动学校</w:t>
      </w:r>
      <w:r>
        <w:rPr>
          <w:rFonts w:ascii="仿宋_GB2312" w:hAnsi="仿宋_GB2312" w:cs="仿宋_GB2312" w:eastAsia="仿宋_GB2312"/>
        </w:rPr>
        <w:t>委托，拟对</w:t>
      </w:r>
      <w:r>
        <w:rPr>
          <w:rFonts w:ascii="仿宋_GB2312" w:hAnsi="仿宋_GB2312" w:cs="仿宋_GB2312" w:eastAsia="仿宋_GB2312"/>
        </w:rPr>
        <w:t>2026年运动员训练分析服务(二次)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ZCTH2026-04-030.1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2026年运动员训练分析服务(二次)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2026年运动员训练分析服务（二次）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采购包1（2026年运动员训练分析服务）：属于专门面向中小企业采购。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2、法定代表人授权委托书：法定代表人参加投标的，须提供法定代表人身份证明；法定代表人授权他人参加投标的，须提供法定代表人授权委托书及被授权人身份证复印件</w:t>
      </w:r>
    </w:p>
    <w:p>
      <w:pPr>
        <w:pStyle w:val="null3"/>
      </w:pPr>
      <w:r>
        <w:rPr>
          <w:rFonts w:ascii="仿宋_GB2312" w:hAnsi="仿宋_GB2312" w:cs="仿宋_GB2312" w:eastAsia="仿宋_GB2312"/>
        </w:rPr>
        <w:t>3、财务状况报告：提供 2024或2025 年度经会计师事务所或审计机构审计的财务审报告或在开标时间前六个月内其基本开户银行出具的资信证明或财政部门认可的政府采购专业担保机构出具的投标担保函，以上形式的证明资料提供任何一种即可</w:t>
      </w:r>
    </w:p>
    <w:p>
      <w:pPr>
        <w:pStyle w:val="null3"/>
      </w:pPr>
      <w:r>
        <w:rPr>
          <w:rFonts w:ascii="仿宋_GB2312" w:hAnsi="仿宋_GB2312" w:cs="仿宋_GB2312" w:eastAsia="仿宋_GB2312"/>
        </w:rPr>
        <w:t>4、税收缴纳证明：提供投标文件截止时间前一年内至少一个月已缴纳的任意税种凭据；依法免税的投标人应提供相关文件证明</w:t>
      </w:r>
    </w:p>
    <w:p>
      <w:pPr>
        <w:pStyle w:val="null3"/>
      </w:pPr>
      <w:r>
        <w:rPr>
          <w:rFonts w:ascii="仿宋_GB2312" w:hAnsi="仿宋_GB2312" w:cs="仿宋_GB2312" w:eastAsia="仿宋_GB2312"/>
        </w:rPr>
        <w:t>5、社会保障资金缴纳证明：提供投标文件截止时间前一年内至少一个月已缴纳的社会保障资金的凭据（专用收据或社会保险缴纳清单）；依法不需要缴纳社会保障资金的投标人应提供相关文件证明</w:t>
      </w:r>
    </w:p>
    <w:p>
      <w:pPr>
        <w:pStyle w:val="null3"/>
      </w:pPr>
      <w:r>
        <w:rPr>
          <w:rFonts w:ascii="仿宋_GB2312" w:hAnsi="仿宋_GB2312" w:cs="仿宋_GB2312" w:eastAsia="仿宋_GB2312"/>
        </w:rPr>
        <w:t>6、书面承诺：提供具有履行本合同所必需的设备和专业技术能力的声明、参加采购活动前3年内在经营活动中没有重大违法记录的书面承诺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西安市体育运动学校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陕西省西安市灞桥区林泓路西安市体育训练中心保障楼9楼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西安市体育运动学校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029-88060569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党碧影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029-81882499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代理服务费收费标准：1.参照国家计委计价格[2002]1980号及发改办价格[2003]857号通知 规定，由中标单位支付采购代理服务费。 2.支付方式：中标人应在领取通知书的同时，向陕西中诚天和项目管理有限公司交纳本项目采购代理服务费。收款账户如下： 收款单位：陕西中诚天和项目管理有限公司； 开户银行：中国建设银行股份有限公司西安高新自贸区支行； 银行账号：61050110066700001164 。 注：代理服务费不足柒仟元整按柒仟元整收取。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西安市体育运动学校</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西安市体育运动学校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西安市体育运动学校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陕西中诚天和项目管理有限公司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组织，按照关于印发《政府采购需求管理办法》的通知（财库〔2021〕22号）和《财政部关于进一步加强政府采购需求和履约验收管理的指导意见》(财库〔2016〕205号)的要求以及采购文件、供应商的响应文件进行验收，以满足采购人的实际需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联系人：黄静宜</w:t>
      </w:r>
    </w:p>
    <w:p>
      <w:pPr>
        <w:pStyle w:val="null3"/>
      </w:pPr>
      <w:r>
        <w:rPr>
          <w:rFonts w:ascii="仿宋_GB2312" w:hAnsi="仿宋_GB2312" w:cs="仿宋_GB2312" w:eastAsia="仿宋_GB2312"/>
        </w:rPr>
        <w:t>联系电话：029-81882499</w:t>
      </w:r>
    </w:p>
    <w:p>
      <w:pPr>
        <w:pStyle w:val="null3"/>
      </w:pPr>
      <w:r>
        <w:rPr>
          <w:rFonts w:ascii="仿宋_GB2312" w:hAnsi="仿宋_GB2312" w:cs="仿宋_GB2312" w:eastAsia="仿宋_GB2312"/>
        </w:rPr>
        <w:t>地址：陕西省西安市高新区锦业一路52号宝德云谷国际B座14层1406-6室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2026年运动员训练分析服务（二次）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400000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标的名称：400000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1"/>
            </w:pPr>
            <w:r>
              <w:rPr>
                <w:rFonts w:ascii="仿宋_GB2312" w:hAnsi="仿宋_GB2312" w:cs="仿宋_GB2312" w:eastAsia="仿宋_GB2312"/>
                <w:sz w:val="24"/>
                <w:b/>
                <w:color w:val="000000"/>
              </w:rPr>
              <w:t>一、采购内容</w:t>
            </w:r>
          </w:p>
          <w:p>
            <w:pPr>
              <w:pStyle w:val="null3"/>
              <w:ind w:firstLine="480"/>
              <w:jc w:val="left"/>
            </w:pPr>
            <w:r>
              <w:rPr>
                <w:rFonts w:ascii="仿宋_GB2312" w:hAnsi="仿宋_GB2312" w:cs="仿宋_GB2312" w:eastAsia="仿宋_GB2312"/>
                <w:sz w:val="24"/>
                <w:color w:val="000000"/>
              </w:rPr>
              <w:t>为备战</w:t>
            </w:r>
            <w:r>
              <w:rPr>
                <w:rFonts w:ascii="仿宋_GB2312" w:hAnsi="仿宋_GB2312" w:cs="仿宋_GB2312" w:eastAsia="仿宋_GB2312"/>
                <w:sz w:val="24"/>
                <w:color w:val="000000"/>
              </w:rPr>
              <w:t>2026 年各项赛事，提升运动员竞技水平，降低训练伤病发生率，需与第三方专业团队合作开展科学备战工作。由服务团队为跆拳道、拳击、球类等训练中心 14 个项目的重点运动员，提供实验室级别体能测试评估，获取精准基线数据；建立运动员个人档案及全队运动数据库，结合测试数据制定针对性训练改进方案，为科学备战提供保障。</w:t>
            </w:r>
          </w:p>
          <w:p>
            <w:pPr>
              <w:pStyle w:val="null3"/>
              <w:jc w:val="left"/>
              <w:outlineLvl w:val="2"/>
            </w:pPr>
            <w:r>
              <w:rPr>
                <w:rFonts w:ascii="仿宋_GB2312" w:hAnsi="仿宋_GB2312" w:cs="仿宋_GB2312" w:eastAsia="仿宋_GB2312"/>
                <w:sz w:val="24"/>
                <w:b/>
                <w:color w:val="000000"/>
              </w:rPr>
              <w:t>1. 多项目运动体能数据采集</w:t>
            </w:r>
          </w:p>
          <w:p>
            <w:pPr>
              <w:pStyle w:val="null3"/>
              <w:ind w:firstLine="480"/>
              <w:jc w:val="left"/>
            </w:pPr>
            <w:r>
              <w:rPr>
                <w:rFonts w:ascii="仿宋_GB2312" w:hAnsi="仿宋_GB2312" w:cs="仿宋_GB2312" w:eastAsia="仿宋_GB2312"/>
                <w:sz w:val="24"/>
                <w:color w:val="000000"/>
              </w:rPr>
              <w:t>1 年内完成不少于 150 名重点运动员 8 项基础体能数据采集服务；完成皮划艇/赛艇等特殊项目不少于 50 名运动员 2 项专项数据采集服务；覆盖 14 个运动项目，含数据采集所需一次性耗材。数据采集须使用专业测试设备，由具备专业能力的人员现场操作，包含心肺功能、肌力等相关指标测试。</w:t>
            </w:r>
          </w:p>
          <w:p>
            <w:pPr>
              <w:pStyle w:val="null3"/>
              <w:jc w:val="left"/>
              <w:outlineLvl w:val="2"/>
            </w:pPr>
            <w:r>
              <w:rPr>
                <w:rFonts w:ascii="仿宋_GB2312" w:hAnsi="仿宋_GB2312" w:cs="仿宋_GB2312" w:eastAsia="仿宋_GB2312"/>
                <w:sz w:val="24"/>
                <w:b/>
                <w:color w:val="000000"/>
              </w:rPr>
              <w:t>2. 运动员数据库搭建与维护</w:t>
            </w:r>
          </w:p>
          <w:p>
            <w:pPr>
              <w:pStyle w:val="null3"/>
              <w:ind w:firstLine="480"/>
              <w:jc w:val="left"/>
            </w:pPr>
            <w:r>
              <w:rPr>
                <w:rFonts w:ascii="仿宋_GB2312" w:hAnsi="仿宋_GB2312" w:cs="仿宋_GB2312" w:eastAsia="仿宋_GB2312"/>
                <w:sz w:val="24"/>
                <w:color w:val="000000"/>
              </w:rPr>
              <w:t>搭建运动员个人档案及全队运动数据库，提供</w:t>
            </w:r>
            <w:r>
              <w:rPr>
                <w:rFonts w:ascii="仿宋_GB2312" w:hAnsi="仿宋_GB2312" w:cs="仿宋_GB2312" w:eastAsia="仿宋_GB2312"/>
                <w:sz w:val="24"/>
                <w:color w:val="000000"/>
              </w:rPr>
              <w:t>1 年云端服务器使用及数据加密服务，提供本地硬盘备份、数据库日常故障排查与维护服务。</w:t>
            </w:r>
          </w:p>
          <w:p>
            <w:pPr>
              <w:pStyle w:val="null3"/>
              <w:jc w:val="left"/>
              <w:outlineLvl w:val="2"/>
            </w:pPr>
            <w:r>
              <w:rPr>
                <w:rFonts w:ascii="仿宋_GB2312" w:hAnsi="仿宋_GB2312" w:cs="仿宋_GB2312" w:eastAsia="仿宋_GB2312"/>
                <w:sz w:val="24"/>
                <w:b/>
                <w:color w:val="000000"/>
              </w:rPr>
              <w:t>3. 体能测试数据分析与报告生成</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rPr>
              <w:t>1）根据运动员个人测试数据，生成包含体能短板分析、训练改进建议的专项报告，</w:t>
            </w:r>
            <w:r>
              <w:rPr>
                <w:rFonts w:ascii="仿宋_GB2312" w:hAnsi="仿宋_GB2312" w:cs="仿宋_GB2312" w:eastAsia="仿宋_GB2312"/>
                <w:sz w:val="24"/>
                <w:b/>
              </w:rPr>
              <w:t>至少生成</w:t>
            </w:r>
            <w:r>
              <w:rPr>
                <w:rFonts w:ascii="仿宋_GB2312" w:hAnsi="仿宋_GB2312" w:cs="仿宋_GB2312" w:eastAsia="仿宋_GB2312"/>
                <w:sz w:val="24"/>
                <w:b/>
              </w:rPr>
              <w:t>7种报告</w:t>
            </w:r>
            <w:r>
              <w:rPr>
                <w:rFonts w:ascii="仿宋_GB2312" w:hAnsi="仿宋_GB2312" w:cs="仿宋_GB2312" w:eastAsia="仿宋_GB2312"/>
                <w:sz w:val="24"/>
              </w:rPr>
              <w:t>，包括个人分项报告、精简指标数据报告、描述性分析报告、数据排名报告、数据质量报告、团队分析报告、详细指标数据报告。</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2）对14个项目全队数据进行汇总分析，提供单次采集解读、周期性对比解读、多团队横向解读、竞技能力与实战表现关联分析，形成整体体能短板分析及全队训练优化方案。</w:t>
            </w:r>
          </w:p>
          <w:p>
            <w:pPr>
              <w:pStyle w:val="null3"/>
              <w:jc w:val="left"/>
              <w:outlineLvl w:val="1"/>
            </w:pPr>
            <w:r>
              <w:rPr>
                <w:rFonts w:ascii="仿宋_GB2312" w:hAnsi="仿宋_GB2312" w:cs="仿宋_GB2312" w:eastAsia="仿宋_GB2312"/>
                <w:sz w:val="24"/>
                <w:b/>
              </w:rPr>
              <w:t>二、投标人基本配置要求</w:t>
            </w:r>
          </w:p>
          <w:p>
            <w:pPr>
              <w:pStyle w:val="null3"/>
              <w:jc w:val="left"/>
              <w:outlineLvl w:val="2"/>
            </w:pPr>
            <w:r>
              <w:rPr>
                <w:rFonts w:ascii="仿宋_GB2312" w:hAnsi="仿宋_GB2312" w:cs="仿宋_GB2312" w:eastAsia="仿宋_GB2312"/>
                <w:sz w:val="24"/>
                <w:b/>
              </w:rPr>
              <w:t>（一）数据平台要求</w:t>
            </w:r>
          </w:p>
          <w:p>
            <w:pPr>
              <w:pStyle w:val="null3"/>
              <w:numPr>
                <w:ilvl w:val="0"/>
                <w:numId w:val="1"/>
              </w:numPr>
              <w:jc w:val="left"/>
            </w:pPr>
            <w:r>
              <w:rPr>
                <w:rFonts w:ascii="仿宋_GB2312" w:hAnsi="仿宋_GB2312" w:cs="仿宋_GB2312" w:eastAsia="仿宋_GB2312"/>
                <w:sz w:val="24"/>
              </w:rPr>
              <w:t>投标人须具备自主或合法使用的数据服务平台，可兼容对接主流运动体能测试设备，支持身体成分、力量、速度、敏捷、耐力、平衡、反应、心肺功能等常用体能指标的数据采集与分析。</w:t>
            </w:r>
          </w:p>
          <w:p>
            <w:pPr>
              <w:pStyle w:val="null3"/>
              <w:numPr>
                <w:ilvl w:val="0"/>
                <w:numId w:val="1"/>
              </w:numPr>
              <w:jc w:val="left"/>
            </w:pPr>
            <w:r>
              <w:rPr>
                <w:rFonts w:ascii="仿宋_GB2312" w:hAnsi="仿宋_GB2312" w:cs="仿宋_GB2312" w:eastAsia="仿宋_GB2312"/>
                <w:sz w:val="24"/>
              </w:rPr>
              <w:t>平台支持主流测试方法，满足运动队体能评估全流程使用需求，</w:t>
            </w:r>
            <w:r>
              <w:rPr>
                <w:rFonts w:ascii="仿宋_GB2312" w:hAnsi="仿宋_GB2312" w:cs="仿宋_GB2312" w:eastAsia="仿宋_GB2312"/>
                <w:sz w:val="24"/>
                <w:b/>
              </w:rPr>
              <w:t>包括身体成分、握力、稳定性、冲刺、敏捷、爆发力、耐力、平衡、反应等相关测试。</w:t>
            </w:r>
          </w:p>
          <w:p>
            <w:pPr>
              <w:pStyle w:val="null3"/>
              <w:numPr>
                <w:ilvl w:val="0"/>
                <w:numId w:val="1"/>
              </w:numPr>
              <w:jc w:val="left"/>
            </w:pPr>
            <w:r>
              <w:rPr>
                <w:rFonts w:ascii="仿宋_GB2312" w:hAnsi="仿宋_GB2312" w:cs="仿宋_GB2312" w:eastAsia="仿宋_GB2312"/>
                <w:sz w:val="24"/>
                <w:color w:val="000000"/>
              </w:rPr>
              <w:t>平台可实现多源数据接入、整合、传输与统一管理，支持场下测试数据、场上训练数据汇总分析。</w:t>
            </w:r>
          </w:p>
          <w:p>
            <w:pPr>
              <w:pStyle w:val="null3"/>
              <w:numPr>
                <w:ilvl w:val="0"/>
                <w:numId w:val="1"/>
              </w:numPr>
              <w:jc w:val="left"/>
            </w:pPr>
            <w:r>
              <w:rPr>
                <w:rFonts w:ascii="仿宋_GB2312" w:hAnsi="仿宋_GB2312" w:cs="仿宋_GB2312" w:eastAsia="仿宋_GB2312"/>
                <w:sz w:val="24"/>
                <w:color w:val="000000"/>
              </w:rPr>
              <w:t>具备云端</w:t>
            </w:r>
            <w:r>
              <w:rPr>
                <w:rFonts w:ascii="仿宋_GB2312" w:hAnsi="仿宋_GB2312" w:cs="仿宋_GB2312" w:eastAsia="仿宋_GB2312"/>
                <w:sz w:val="24"/>
                <w:color w:val="000000"/>
              </w:rPr>
              <w:t>+ 本地双重数据备份能力，数据可长期安全存储，采用加密与安全防护机制，降低数据泄露风险。</w:t>
            </w:r>
          </w:p>
          <w:p>
            <w:pPr>
              <w:pStyle w:val="null3"/>
              <w:numPr>
                <w:ilvl w:val="0"/>
                <w:numId w:val="1"/>
              </w:numPr>
              <w:jc w:val="left"/>
            </w:pPr>
            <w:r>
              <w:rPr>
                <w:rFonts w:ascii="仿宋_GB2312" w:hAnsi="仿宋_GB2312" w:cs="仿宋_GB2312" w:eastAsia="仿宋_GB2312"/>
                <w:sz w:val="24"/>
                <w:color w:val="000000"/>
              </w:rPr>
              <w:t>支持自定义数据模板，可自定义采集字段等内容，支持云端与本地存储部署。</w:t>
            </w:r>
          </w:p>
          <w:p>
            <w:pPr>
              <w:pStyle w:val="null3"/>
              <w:ind w:left="480"/>
              <w:jc w:val="left"/>
            </w:pPr>
            <w:r>
              <w:rPr>
                <w:rFonts w:ascii="仿宋_GB2312" w:hAnsi="仿宋_GB2312" w:cs="仿宋_GB2312" w:eastAsia="仿宋_GB2312"/>
                <w:sz w:val="24"/>
                <w:color w:val="000000"/>
              </w:rPr>
              <w:t>（二）团队服务要求</w:t>
            </w:r>
          </w:p>
          <w:p>
            <w:pPr>
              <w:pStyle w:val="null3"/>
              <w:numPr>
                <w:ilvl w:val="0"/>
                <w:numId w:val="1"/>
              </w:numPr>
              <w:jc w:val="left"/>
            </w:pPr>
            <w:r>
              <w:rPr>
                <w:rFonts w:ascii="仿宋_GB2312" w:hAnsi="仿宋_GB2312" w:cs="仿宋_GB2312" w:eastAsia="仿宋_GB2312"/>
                <w:sz w:val="24"/>
                <w:color w:val="000000"/>
              </w:rPr>
              <w:t>投标人须配备不少于</w:t>
            </w:r>
            <w:r>
              <w:rPr>
                <w:rFonts w:ascii="仿宋_GB2312" w:hAnsi="仿宋_GB2312" w:cs="仿宋_GB2312" w:eastAsia="仿宋_GB2312"/>
                <w:sz w:val="24"/>
                <w:color w:val="000000"/>
              </w:rPr>
              <w:t>5 人的专职服务团队，具备运动体能测试、数据采集、数据分析、平台运维及现场技术服务能力，能够保障项目全流程实施。</w:t>
            </w:r>
          </w:p>
          <w:p>
            <w:pPr>
              <w:pStyle w:val="null3"/>
              <w:numPr>
                <w:ilvl w:val="0"/>
                <w:numId w:val="1"/>
              </w:numPr>
              <w:jc w:val="left"/>
            </w:pPr>
            <w:r>
              <w:rPr>
                <w:rFonts w:ascii="仿宋_GB2312" w:hAnsi="仿宋_GB2312" w:cs="仿宋_GB2312" w:eastAsia="仿宋_GB2312"/>
                <w:sz w:val="24"/>
                <w:color w:val="000000"/>
              </w:rPr>
              <w:t>负责设备调试、连接与运行保障，及时处理数据采集过程中的软硬件故障与数据异常。</w:t>
            </w:r>
          </w:p>
          <w:p>
            <w:pPr>
              <w:pStyle w:val="null3"/>
              <w:numPr>
                <w:ilvl w:val="0"/>
                <w:numId w:val="1"/>
              </w:numPr>
              <w:jc w:val="left"/>
            </w:pPr>
            <w:r>
              <w:rPr>
                <w:rFonts w:ascii="仿宋_GB2312" w:hAnsi="仿宋_GB2312" w:cs="仿宋_GB2312" w:eastAsia="仿宋_GB2312"/>
                <w:sz w:val="24"/>
                <w:color w:val="000000"/>
              </w:rPr>
              <w:t>与采购人共同制定详细采集计划，按计划开展现场服务与实操培训。</w:t>
            </w:r>
          </w:p>
          <w:p>
            <w:pPr>
              <w:pStyle w:val="null3"/>
            </w:pPr>
            <w:r>
              <w:rPr>
                <w:rFonts w:ascii="仿宋_GB2312" w:hAnsi="仿宋_GB2312" w:cs="仿宋_GB2312" w:eastAsia="仿宋_GB2312"/>
                <w:sz w:val="24"/>
                <w:color w:val="000000"/>
              </w:rPr>
              <w:t>按规范完成测试数据录入、核对，确保数据准确完整。</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按“技术参数与性能指标”中实际需求配备相应人员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按“技术参数与性能指标”中实际需求配备相应设施设备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服务质量：质量达到现行合格标准，符合国家、行业、地方规定的质量和安全标准要求。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组织，按照关于印发《政府采购需求管理办法》的通知（财库〔2021〕22号）和《财政部关于进一步加强政府采购需求和履约验收管理的指导意见》(财库〔2016〕205号)的要求以及采购文件、供应商的响应文件进行验收，以满足采购人的实际需求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成果报告提交，经采购人验收通过后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2.未按合同要求提供服务或服务质量不能满足技术要求，采购人有权终止合同，并对供方违约行为进行追究，同时按《中华人民共和国政府采购法》的有关规定进行处罚。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为顺利推进政府采购电子化交易平台应用工作，供应商需要在线提交所有通过电子化交易平台实施的政府采购项目的响应文件，中标供应商在结果公告发布5个工作日内提供纸质版文件2份。 递交文件地点：西安市高新区锦业一路52号宝德云谷国际B座14层1406-6室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法定代表人参加投标的，须提供法定代表人身份证明；法定代表人授权他人参加投标的，须提供法定代表人授权委托书及被授权人身份证复印件</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 2024或2025 年度经会计师事务所或审计机构审计的财务审报告或在开标时间前六个月内其基本开户银行出具的资信证明或财政部门认可的政府采购专业担保机构出具的投标担保函，以上形式的证明资料提供任何一种即可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提供投标文件截止时间前一年内至少一个月已缴纳的任意税种凭据；依法免税的投标人应提供相关文件证明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提供投标文件截止时间前一年内至少一个月已缴纳的社会保障资金的凭据（专用收据或社会保险缴纳清单）；依法不需要缴纳社会保障资金的投标人应提供相关文件证明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提供具有履行本合同所必需的设备和专业技术能力的声明、参加采购活动前3年内在经营活动中没有重大违法记录的书面承诺</w:t>
            </w:r>
          </w:p>
        </w:tc>
        <w:tc>
          <w:tcPr>
            <w:tcW w:type="dxa" w:w="1661"/>
          </w:tcPr>
          <w:p>
            <w:pPr>
              <w:pStyle w:val="null3"/>
            </w:pPr>
            <w:r>
              <w:rPr>
                <w:rFonts w:ascii="仿宋_GB2312" w:hAnsi="仿宋_GB2312" w:cs="仿宋_GB2312" w:eastAsia="仿宋_GB2312"/>
              </w:rPr>
              <w:t>供应商资质证明文件.docx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 供应商承诺书.docx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初步审查</w:t>
            </w:r>
          </w:p>
        </w:tc>
        <w:tc>
          <w:tcPr>
            <w:tcW w:type="dxa" w:w="3322"/>
          </w:tcPr>
          <w:p>
            <w:pPr>
              <w:pStyle w:val="null3"/>
            </w:pPr>
            <w:r>
              <w:rPr>
                <w:rFonts w:ascii="仿宋_GB2312" w:hAnsi="仿宋_GB2312" w:cs="仿宋_GB2312" w:eastAsia="仿宋_GB2312"/>
              </w:rPr>
              <w:t>1.响应文件是否按照磋商文件规定提交的；2.响应文件的签署、加盖印章是否合格、有效；提供的各种证明文件、数据、资料是否真实、有效； 3.无投标有效期或有效期达不到磋商文件要求的；4.响应文件附加了采购人难以接受的条件或条款的；5.响应文件未实质性响应磋商文件要求的；6.不符合法律、法规和磋商文件中规定的其他实质性要求的。</w:t>
            </w:r>
          </w:p>
        </w:tc>
        <w:tc>
          <w:tcPr>
            <w:tcW w:type="dxa" w:w="1661"/>
          </w:tcPr>
          <w:p>
            <w:pPr>
              <w:pStyle w:val="null3"/>
            </w:pPr>
            <w:r>
              <w:rPr>
                <w:rFonts w:ascii="仿宋_GB2312" w:hAnsi="仿宋_GB2312" w:cs="仿宋_GB2312" w:eastAsia="仿宋_GB2312"/>
              </w:rPr>
              <w:t>响应文件封面 分项报价表.docx 供应商资质证明文件.docx 服务内容及服务邀请应答表 商务应答表 服务方案 其他证明材料.docx 供应商承诺书.docx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w:t>
            </w:r>
          </w:p>
        </w:tc>
        <w:tc>
          <w:tcPr>
            <w:tcW w:type="dxa" w:w="2492"/>
          </w:tcPr>
          <w:p>
            <w:pPr>
              <w:pStyle w:val="null3"/>
            </w:pPr>
            <w:r>
              <w:rPr>
                <w:rFonts w:ascii="仿宋_GB2312" w:hAnsi="仿宋_GB2312" w:cs="仿宋_GB2312" w:eastAsia="仿宋_GB2312"/>
              </w:rPr>
              <w:t>一、评审内容 供应商针对本项目提供项目需求理解方案，方案需包含①工作重点；②关键点分析；③工作难点；④服务优势；⑤合理化建议等。二、评审标准 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上述5项评审内容全部满足评审标准得15分，每有一个评审内容缺项扣3分，每有一项评审内容存在缺陷，扣（0-3）分，扣完为止。 说明：缺陷是指内容没有结合项目实际需求、虽有内容但不完善、不全面、内容表述前后不一致、套用其他项目方案或与项目需求不匹配及其他不利于项目实施的等任意一种情形。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针对本项目提供具体可行的服务方案，包括但不限于①项目整体测试方案；②监测数据采集；③数据的分析处理；④报告编制；⑤进度计划；⑥资料管理和移交工作制度；⑦突发情况处理方案等。 二、评审标准 完善性：方案必须全面，对评审内容中的各项要求有详细阐述； 2、可实施性：切合本项目实际情况，提出步骤清晰、合理的方案； 3、针对性：方案能够紧扣项目实际情况，内容科学合理。 上述7项评审内容全部满足评审标准得28分，每有一个评审内容缺项扣4分，每有一项评审内容存在缺陷，扣（0-4）分，扣完为止。 说明：缺陷是指内容没有结合项目实际需求、虽有内容但不完善、不全面、内容表述前后不一致、套用其他项目方案或与项目需求不匹配及其他不利于项目实施的等任意一种情形。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一、评审内容 针对本项目提供具体可行的服务保障措施，包括但不限于①质量保障措施；②安全保密措施；③进度保障措施。 二、评审标准 完善性：方案必须全面，对评审内容中的各项要求有详细阐述； 2、可实施性：切合本项目实际情况，提出步骤清晰、合理的方案； 3、针对性：方案能够紧扣项目实际情况，内容科学合理。 上述3项评审内容全部满足评审标准得12分，每有一个评审内容缺项扣4分，每有一项评审内容存在缺陷，扣（0-4）分，扣完为止。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一、评审内容 针对本项目提供具体可行的团队配置方案，包括但不限于①团队人员架构；②岗位人员配置合理，有丰富的项目经验；③团队人员管理制度。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上述3项评审内容全部满足评审标准得12分，每有一个评审内容缺项扣4分，每有一项评审内容存在缺陷，扣（0-4）分，扣完为止。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针对本项目提供具体可行的服务承诺，包括但不限于服务时间、服务质量、服务内容等。 二、评审标准 1、完善性：方案必须全面，对评审内容中的各项要求有详细阐述； 2、可实施性：切合本项目实际情况，提出步骤清晰、合理的方案； 3、针对性：方案能够紧扣项目实际情况，内容科学合理。 上述评审内容全部满足评审标准得3分，评审内容缺项扣3分，评审内容存在缺陷，扣（0-3）分，扣完为止。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供应商具有2022年1月至今的同类业绩证明文件（以合同签订时间为准），每提供一个得2分，满分10分。 注：响应文件中附加盖供应商公章的合同复印件。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详见附件：参考合同.docx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