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版本号：HSZB-2026-00920260422001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视频AI解析与预警设备建设项目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HSZB-2026-009</w:t>
      </w:r>
      <w:r>
        <w:br/>
      </w:r>
      <w:r>
        <w:br/>
      </w:r>
      <w:r>
        <w:br/>
      </w:r>
    </w:p>
    <w:p>
      <w:pPr>
        <w:pStyle w:val="null3"/>
        <w:jc w:val="center"/>
        <w:outlineLvl w:val="2"/>
      </w:pPr>
      <w:r>
        <w:rPr>
          <w:rFonts w:ascii="仿宋_GB2312" w:hAnsi="仿宋_GB2312" w:cs="仿宋_GB2312" w:eastAsia="仿宋_GB2312"/>
          <w:sz w:val="28"/>
          <w:b/>
        </w:rPr>
        <w:t>留坝县公安局</w:t>
      </w:r>
    </w:p>
    <w:p>
      <w:pPr>
        <w:pStyle w:val="null3"/>
        <w:jc w:val="center"/>
        <w:outlineLvl w:val="2"/>
      </w:pPr>
      <w:r>
        <w:rPr>
          <w:rFonts w:ascii="仿宋_GB2312" w:hAnsi="仿宋_GB2312" w:cs="仿宋_GB2312" w:eastAsia="仿宋_GB2312"/>
          <w:sz w:val="28"/>
          <w:b/>
        </w:rPr>
        <w:t>华戍(陕西)项目管理有限公司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华戍(陕西)项目管理有限公司</w:t>
      </w:r>
      <w:r>
        <w:rPr>
          <w:rFonts w:ascii="仿宋_GB2312" w:hAnsi="仿宋_GB2312" w:cs="仿宋_GB2312" w:eastAsia="仿宋_GB2312"/>
        </w:rPr>
        <w:t>（以下简称“代理机构”）受</w:t>
      </w:r>
      <w:r>
        <w:rPr>
          <w:rFonts w:ascii="仿宋_GB2312" w:hAnsi="仿宋_GB2312" w:cs="仿宋_GB2312" w:eastAsia="仿宋_GB2312"/>
        </w:rPr>
        <w:t>留坝县公安局</w:t>
      </w:r>
      <w:r>
        <w:rPr>
          <w:rFonts w:ascii="仿宋_GB2312" w:hAnsi="仿宋_GB2312" w:cs="仿宋_GB2312" w:eastAsia="仿宋_GB2312"/>
        </w:rPr>
        <w:t>委托，拟对</w:t>
      </w:r>
      <w:r>
        <w:rPr>
          <w:rFonts w:ascii="仿宋_GB2312" w:hAnsi="仿宋_GB2312" w:cs="仿宋_GB2312" w:eastAsia="仿宋_GB2312"/>
        </w:rPr>
        <w:t>视频AI解析与预警设备建设项目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HSZB-2026-009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视频AI解析与预警设备建设项目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留坝县公安局视频AI解析与预警设备建设项目，详见采购需求。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采购包1（视频AI解析与预警设备建设项目）：属于专门面向小微企业采购。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人身份证明或法定代表人授权委托书：非法定代表人参加投标时，须提供法定代表人授权委托书、被授权人身份证及授权代表在本单位近3个月连续缴纳社保的证明；法定代表人参加投标时,须提供法人身份证明书及法定代表人身份证。</w:t>
      </w:r>
    </w:p>
    <w:p>
      <w:pPr>
        <w:pStyle w:val="null3"/>
      </w:pPr>
      <w:r>
        <w:rPr>
          <w:rFonts w:ascii="仿宋_GB2312" w:hAnsi="仿宋_GB2312" w:cs="仿宋_GB2312" w:eastAsia="仿宋_GB2312"/>
        </w:rPr>
        <w:t>2、供应商资质：供应商需具备电子与智能化工程专业承包二级及以上资质。</w:t>
      </w:r>
    </w:p>
    <w:p>
      <w:pPr>
        <w:pStyle w:val="null3"/>
      </w:pPr>
      <w:r>
        <w:rPr>
          <w:rFonts w:ascii="仿宋_GB2312" w:hAnsi="仿宋_GB2312" w:cs="仿宋_GB2312" w:eastAsia="仿宋_GB2312"/>
        </w:rPr>
        <w:t>3、 信用查询：不得为“信用中国”网站(http：//www.creditchina.gov.cn)列入“失信被执行人或重大税收违法案件当事人名单或政府采购严重违法失信行为记录名单”的供应商；不得为中国政府采购网(http：//www.ccgp.gov.cn)“政府采购严重违法失信行为记录名单”中的供应商；（根据财库【2019】38号文规定，此项由资审小组在磋商响应截止日当天在“信用中国”网站和“中国政府采购网站”进行查询，截图留档；如网站无供应商信息的，供应商须提供相关证明资料或书面声明）。</w:t>
      </w:r>
    </w:p>
    <w:p>
      <w:pPr>
        <w:pStyle w:val="null3"/>
      </w:pPr>
      <w:r>
        <w:rPr>
          <w:rFonts w:ascii="仿宋_GB2312" w:hAnsi="仿宋_GB2312" w:cs="仿宋_GB2312" w:eastAsia="仿宋_GB2312"/>
        </w:rPr>
        <w:t>4、非联合体投标：供应商提供非联合体投标的书面声明。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留坝县公安局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汉中市留坝县司法路7号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杨良</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15109160825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华戍(陕西)项目管理有限公司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西安市经济技术开发区凤城十二路首创禧悦里A座1906室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029-86108315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留坝县政府采购管理股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谭小玲</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13892639992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供应商在领取成交通知书前，须向采购代理机构一次性支付代理服务费。2、代理服务费：以成交金额为基数，参照国家计委颁发的《招标代理服务收费管理暂行办法》（计价格[2002]1980号）和发改办颁发的《关于招标代理服务收费有关问题的通知》（发改办价格[2003]857号）的有关规定执行。3、代理服务费缴纳账户：开户名称：华戍(陕西)项目管理有限公司，开户银行：招商银行股份有限公司西安文景路支行，账户：129916506010000。</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留坝县公安局</w:t>
      </w:r>
      <w:r>
        <w:rPr>
          <w:rFonts w:ascii="仿宋_GB2312" w:hAnsi="仿宋_GB2312" w:cs="仿宋_GB2312" w:eastAsia="仿宋_GB2312"/>
        </w:rPr>
        <w:t>和</w:t>
      </w:r>
      <w:r>
        <w:rPr>
          <w:rFonts w:ascii="仿宋_GB2312" w:hAnsi="仿宋_GB2312" w:cs="仿宋_GB2312" w:eastAsia="仿宋_GB2312"/>
        </w:rPr>
        <w:t>华戍(陕西)项目管理有限公司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留坝县公安局</w:t>
      </w:r>
      <w:r>
        <w:rPr>
          <w:rFonts w:ascii="仿宋_GB2312" w:hAnsi="仿宋_GB2312" w:cs="仿宋_GB2312" w:eastAsia="仿宋_GB2312"/>
        </w:rPr>
        <w:t>负责解释。除上述磋商文件内容，其他内容由</w:t>
      </w:r>
      <w:r>
        <w:rPr>
          <w:rFonts w:ascii="仿宋_GB2312" w:hAnsi="仿宋_GB2312" w:cs="仿宋_GB2312" w:eastAsia="仿宋_GB2312"/>
        </w:rPr>
        <w:t>华戍(陕西)项目管理有限公司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留坝县公安局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华戍(陕西)项目管理有限公司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详见合同条款。</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留坝县公安局</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华戍(陕西)项目管理有限公司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华戍(陕西)项目管理有限公司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联系人：黄工</w:t>
      </w:r>
    </w:p>
    <w:p>
      <w:pPr>
        <w:pStyle w:val="null3"/>
      </w:pPr>
      <w:r>
        <w:rPr>
          <w:rFonts w:ascii="仿宋_GB2312" w:hAnsi="仿宋_GB2312" w:cs="仿宋_GB2312" w:eastAsia="仿宋_GB2312"/>
        </w:rPr>
        <w:t>联系电话：029-86108315</w:t>
      </w:r>
    </w:p>
    <w:p>
      <w:pPr>
        <w:pStyle w:val="null3"/>
      </w:pPr>
      <w:r>
        <w:rPr>
          <w:rFonts w:ascii="仿宋_GB2312" w:hAnsi="仿宋_GB2312" w:cs="仿宋_GB2312" w:eastAsia="仿宋_GB2312"/>
        </w:rPr>
        <w:t>地址：西安市经济技术开发区凤城十二路首创禧悦里A座1906室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留坝县公安局视频AI解析与预警设备建设项目，详见采购需求。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视频AI解析与预警设备建设</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标的名称：视频AI解析与预警设备建设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详见采购需求附件。</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根据项目情况按需配备。</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根据项目情况按需配备。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30个日历日。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详见合同条款。</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详见合同条款。</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因平台格式限制，其他要求说明如下：按照《陕西省财政厅关于持续优化政府采购营商环境有关事项的通知》（陕财办采〔2024〕9号），采购人应在成交通知书发出之日起25日内与成交供应商签订采购合同。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（1）具有独立承担民事责任能力的企业法人或其他组织或自然人，提供营业执照或事业单位法人证书；自然人参与的提供其身份证明。 （2）供应商须提供提交响应文件截止时间前一年内任意1个月的税收缴纳证明（任意税种）（注：依法免税或零申报的供应商应提供相关文件证明）。 （3）供应商须提供提交响应文件截止时间前一年内任意1个月的社保缴纳证明（注：依法不需要缴纳社会保障资金的供应商应提供相关文件证明）。 （4）供应商须提供具有履行合同所必需的设备和专业技术能力的承诺函。 （5）供应商应具备良好的商业信誉，提供参加政府采购活动前3年内在经营活动中没有重大违法记录的书面声明。 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供应商应提交的相关资格证明材料（格式）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审计事务所出具的2024年度的财务报告（成立时间至提交响应文件截止时间不足一年的可提供成立后任意时段的资产负债表）或在开标日期前六个月内其基本户银行出具的资信证明（附基本存款账户信息证明），以上两种形式的资料提供任何一种即可（分支机构如无法提供财务审计报告，须出具包含分支机构的财务数据的总公司财务审计报告）。</w:t>
            </w:r>
          </w:p>
        </w:tc>
        <w:tc>
          <w:tcPr>
            <w:tcW w:type="dxa" w:w="1661"/>
          </w:tcPr>
          <w:p>
            <w:pPr>
              <w:pStyle w:val="null3"/>
            </w:pPr>
            <w:r>
              <w:rPr>
                <w:rFonts w:ascii="仿宋_GB2312" w:hAnsi="仿宋_GB2312" w:cs="仿宋_GB2312" w:eastAsia="仿宋_GB2312"/>
              </w:rPr>
              <w:t>供应商应提交的相关资格证明材料（格式）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法人身份证明或法定代表人授权委托书</w:t>
            </w:r>
          </w:p>
        </w:tc>
        <w:tc>
          <w:tcPr>
            <w:tcW w:type="dxa" w:w="3322"/>
          </w:tcPr>
          <w:p>
            <w:pPr>
              <w:pStyle w:val="null3"/>
            </w:pPr>
            <w:r>
              <w:rPr>
                <w:rFonts w:ascii="仿宋_GB2312" w:hAnsi="仿宋_GB2312" w:cs="仿宋_GB2312" w:eastAsia="仿宋_GB2312"/>
              </w:rPr>
              <w:t>非法定代表人参加投标时，须提供法定代表人授权委托书、被授权人身份证及授权代表在本单位近3个月连续缴纳社保的证明；法定代表人参加投标时,须提供法人身份证明书及法定代表人身份证。</w:t>
            </w:r>
          </w:p>
        </w:tc>
        <w:tc>
          <w:tcPr>
            <w:tcW w:type="dxa" w:w="1661"/>
          </w:tcPr>
          <w:p>
            <w:pPr>
              <w:pStyle w:val="null3"/>
            </w:pPr>
            <w:r>
              <w:rPr>
                <w:rFonts w:ascii="仿宋_GB2312" w:hAnsi="仿宋_GB2312" w:cs="仿宋_GB2312" w:eastAsia="仿宋_GB2312"/>
              </w:rPr>
              <w:t>供应商应提交的相关资格证明材料（格式）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供应商需具备电子与智能化工程专业承包二级及以上资质。</w:t>
            </w:r>
          </w:p>
        </w:tc>
        <w:tc>
          <w:tcPr>
            <w:tcW w:type="dxa" w:w="1661"/>
          </w:tcPr>
          <w:p>
            <w:pPr>
              <w:pStyle w:val="null3"/>
            </w:pPr>
            <w:r>
              <w:rPr>
                <w:rFonts w:ascii="仿宋_GB2312" w:hAnsi="仿宋_GB2312" w:cs="仿宋_GB2312" w:eastAsia="仿宋_GB2312"/>
              </w:rPr>
              <w:t>供应商应提交的相关资格证明材料（格式）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 xml:space="preserve"> 信用查询</w:t>
            </w:r>
          </w:p>
        </w:tc>
        <w:tc>
          <w:tcPr>
            <w:tcW w:type="dxa" w:w="3322"/>
          </w:tcPr>
          <w:p>
            <w:pPr>
              <w:pStyle w:val="null3"/>
            </w:pPr>
            <w:r>
              <w:rPr>
                <w:rFonts w:ascii="仿宋_GB2312" w:hAnsi="仿宋_GB2312" w:cs="仿宋_GB2312" w:eastAsia="仿宋_GB2312"/>
              </w:rPr>
              <w:t>不得为“信用中国”网站(http：//www.creditchina.gov.cn)列入“失信被执行人或重大税收违法案件当事人名单或政府采购严重违法失信行为记录名单”的供应商；不得为中国政府采购网(http：//www.ccgp.gov.cn)“政府采购严重违法失信行为记录名单”中的供应商；（根据财库【2019】38号文规定，此项由资审小组在磋商响应截止日当天在“信用中国”网站和“中国政府采购网站”进行查询，截图留档；如网站无供应商信息的，供应商须提供相关证明资料或书面声明）。</w:t>
            </w:r>
          </w:p>
        </w:tc>
        <w:tc>
          <w:tcPr>
            <w:tcW w:type="dxa" w:w="1661"/>
          </w:tcPr>
          <w:p>
            <w:pPr>
              <w:pStyle w:val="null3"/>
            </w:pPr>
            <w:r>
              <w:rPr>
                <w:rFonts w:ascii="仿宋_GB2312" w:hAnsi="仿宋_GB2312" w:cs="仿宋_GB2312" w:eastAsia="仿宋_GB2312"/>
              </w:rPr>
              <w:t>供应商应提交的相关资格证明材料（格式）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供应商提供非联合体投标的书面声明。</w:t>
            </w:r>
          </w:p>
        </w:tc>
        <w:tc>
          <w:tcPr>
            <w:tcW w:type="dxa" w:w="1661"/>
          </w:tcPr>
          <w:p>
            <w:pPr>
              <w:pStyle w:val="null3"/>
            </w:pPr>
            <w:r>
              <w:rPr>
                <w:rFonts w:ascii="仿宋_GB2312" w:hAnsi="仿宋_GB2312" w:cs="仿宋_GB2312" w:eastAsia="仿宋_GB2312"/>
              </w:rPr>
              <w:t>供应商应提交的相关资格证明材料（格式）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供应商名称与营业执照、资质证书名称一致；</w:t>
            </w:r>
          </w:p>
        </w:tc>
        <w:tc>
          <w:tcPr>
            <w:tcW w:type="dxa" w:w="1661"/>
          </w:tcPr>
          <w:p>
            <w:pPr>
              <w:pStyle w:val="null3"/>
            </w:pPr>
            <w:r>
              <w:rPr>
                <w:rFonts w:ascii="仿宋_GB2312" w:hAnsi="仿宋_GB2312" w:cs="仿宋_GB2312" w:eastAsia="仿宋_GB2312"/>
              </w:rPr>
              <w:t>供应商应提交的相关资格证明材料（格式）</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第一次磋商报价表</w:t>
            </w:r>
          </w:p>
        </w:tc>
        <w:tc>
          <w:tcPr>
            <w:tcW w:type="dxa" w:w="3322"/>
          </w:tcPr>
          <w:p>
            <w:pPr>
              <w:pStyle w:val="null3"/>
            </w:pPr>
            <w:r>
              <w:rPr>
                <w:rFonts w:ascii="仿宋_GB2312" w:hAnsi="仿宋_GB2312" w:cs="仿宋_GB2312" w:eastAsia="仿宋_GB2312"/>
              </w:rPr>
              <w:t>（1）第一次磋商报价表填写符合要求；（2）计量单位、报价货币均符合磋商文件要求；（3）第一次磋商报价未超出采购预算或磋商文件规定的最高限价。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响应文件的有效性</w:t>
            </w:r>
          </w:p>
        </w:tc>
        <w:tc>
          <w:tcPr>
            <w:tcW w:type="dxa" w:w="3322"/>
          </w:tcPr>
          <w:p>
            <w:pPr>
              <w:pStyle w:val="null3"/>
            </w:pPr>
            <w:r>
              <w:rPr>
                <w:rFonts w:ascii="仿宋_GB2312" w:hAnsi="仿宋_GB2312" w:cs="仿宋_GB2312" w:eastAsia="仿宋_GB2312"/>
              </w:rPr>
              <w:t>1、响应文件是否完整、并且按照采购文件要求的格式制作；2、响应文件的签署、加盖印章是否合格、有效； 3、提供的证明文件、承诺书等资料是否真实、有效。</w:t>
            </w:r>
          </w:p>
        </w:tc>
        <w:tc>
          <w:tcPr>
            <w:tcW w:type="dxa" w:w="1661"/>
          </w:tcPr>
          <w:p>
            <w:pPr>
              <w:pStyle w:val="null3"/>
            </w:pPr>
            <w:r>
              <w:rPr>
                <w:rFonts w:ascii="仿宋_GB2312" w:hAnsi="仿宋_GB2312" w:cs="仿宋_GB2312" w:eastAsia="仿宋_GB2312"/>
              </w:rPr>
              <w:t>供应商应提交的相关资格证明材料（格式）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对采购文件的响应性</w:t>
            </w:r>
          </w:p>
        </w:tc>
        <w:tc>
          <w:tcPr>
            <w:tcW w:type="dxa" w:w="3322"/>
          </w:tcPr>
          <w:p>
            <w:pPr>
              <w:pStyle w:val="null3"/>
            </w:pPr>
            <w:r>
              <w:rPr>
                <w:rFonts w:ascii="仿宋_GB2312" w:hAnsi="仿宋_GB2312" w:cs="仿宋_GB2312" w:eastAsia="仿宋_GB2312"/>
              </w:rPr>
              <w:t>1、响应有效期是否符合采购文件的要求； 2、是否完全理解并接受对合格供应商的服务要求，服务响应没有重大偏离和保留； 3、是否完全理解并接受商务及合同条款要求，商务及合同条款没有重大偏离和保留。</w:t>
            </w:r>
          </w:p>
        </w:tc>
        <w:tc>
          <w:tcPr>
            <w:tcW w:type="dxa" w:w="1661"/>
          </w:tcPr>
          <w:p>
            <w:pPr>
              <w:pStyle w:val="null3"/>
            </w:pPr>
            <w:r>
              <w:rPr>
                <w:rFonts w:ascii="仿宋_GB2312" w:hAnsi="仿宋_GB2312" w:cs="仿宋_GB2312" w:eastAsia="仿宋_GB2312"/>
              </w:rPr>
              <w:t>服务内容及服务邀请应答表 商务应答表 供应商应提交的相关资格证明材料（格式）</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无其他采购文件或法规明确规定响应无效的事项</w:t>
            </w:r>
          </w:p>
        </w:tc>
        <w:tc>
          <w:tcPr>
            <w:tcW w:type="dxa" w:w="3322"/>
          </w:tcPr>
          <w:p>
            <w:pPr>
              <w:pStyle w:val="null3"/>
            </w:pPr>
            <w:r>
              <w:rPr>
                <w:rFonts w:ascii="仿宋_GB2312" w:hAnsi="仿宋_GB2312" w:cs="仿宋_GB2312" w:eastAsia="仿宋_GB2312"/>
              </w:rPr>
              <w:t>没有不符合采购文件规定的被视为无效响应的其他条款。</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提供自2023年1月1日至响应文件递交截止时间的系统集成或类似软硬件设备建设项目业绩，经评审专家审核认定的，每提供1项得2分，满分6分。 备注：1、以合同扫描件加盖公章为准；2、时间以合同签订时间为准；3、未提供或提供不完整或不清晰的均不得分。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（一）为保障项目顺利进行，供应商或其所投产品制造商应具备较好的诚信管理能力，能提供GB/T 31950诚信管理体系认证证书的得2分，以证书扫描件并加盖公章为准，不提供的不得分。 （二）为保证售后服务质量，供应商或其所投产品制造商应具有充足的售后资源及规范的管理制度，具备符合《商品售后服务评价体系》（GB/T 27922）的售后服务认证证书的，得2分，以证书扫描件并加盖公章为准，不提供的不得分。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项目理解程度</w:t>
            </w:r>
          </w:p>
        </w:tc>
        <w:tc>
          <w:tcPr>
            <w:tcW w:type="dxa" w:w="2492"/>
          </w:tcPr>
          <w:p>
            <w:pPr>
              <w:pStyle w:val="null3"/>
            </w:pPr>
            <w:r>
              <w:rPr>
                <w:rFonts w:ascii="仿宋_GB2312" w:hAnsi="仿宋_GB2312" w:cs="仿宋_GB2312" w:eastAsia="仿宋_GB2312"/>
              </w:rPr>
              <w:t>（一）针对本项目进行项目分析，内容包括：1、项目背景理解；2、建设目标；3、建设条件；4、建设内容；5、重难点分析。 （二）方案各项内容全面详细、阐述条理清晰、对评审内容中的各项要求有详细描述及说明得10分，每有一项缺项扣2分，每有一项内容存在一处缺陷扣1分，扣完为止。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技术指标配置</w:t>
            </w:r>
          </w:p>
        </w:tc>
        <w:tc>
          <w:tcPr>
            <w:tcW w:type="dxa" w:w="2492"/>
          </w:tcPr>
          <w:p>
            <w:pPr>
              <w:pStyle w:val="null3"/>
            </w:pPr>
            <w:r>
              <w:rPr>
                <w:rFonts w:ascii="仿宋_GB2312" w:hAnsi="仿宋_GB2312" w:cs="仿宋_GB2312" w:eastAsia="仿宋_GB2312"/>
              </w:rPr>
              <w:t>根据供应商对采购文件技术要求的响应程度计分。其技术指标完全满足招标文件要求计20分。部分项负偏离按以下说明扣分：1、响应技术指标出现▲号项负偏离的，每项扣2分，扣完为止。2、响应技术指标出现非▲项负偏离的，每项扣1分，扣完为止。备注：▲号项条款偏离情况除偏离表响应外还须提供相应的指标证明文件包括但不限于制造商出具的证明文件、产品彩页、功能截图检测报告等证明文件之一，否则不计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（一）提出针对本项目的技术服务方案，内容包括：1、项目进度安排；2、项目服务流程；3、技术服务方案；4、项目组织协调措施；5、安全保密方案。 （二）方案各项内容全面详细、阐述条理清晰、对评审内容中的各项要求有详细描述及说明得20分，每有一项缺项扣4分，每有一项内容存在一处缺陷扣2分，扣完为止。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应急保障措施</w:t>
            </w:r>
          </w:p>
        </w:tc>
        <w:tc>
          <w:tcPr>
            <w:tcW w:type="dxa" w:w="2492"/>
          </w:tcPr>
          <w:p>
            <w:pPr>
              <w:pStyle w:val="null3"/>
            </w:pPr>
            <w:r>
              <w:rPr>
                <w:rFonts w:ascii="仿宋_GB2312" w:hAnsi="仿宋_GB2312" w:cs="仿宋_GB2312" w:eastAsia="仿宋_GB2312"/>
              </w:rPr>
              <w:t>（一）提出针对本项目的应急保障措施，内容包括：1、应急服务响应时间；2、备份恢复保障；3、定期巡查安排；4、故障诊断措施；5、特殊时段运行保障。 （二）各项内容全面详细、阐述条理清晰、对评审内容中的各项要求有详细描述及说明得10分，每有一项缺项扣2分，每有一项内容存在一处缺陷扣1分，扣完为止。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（一）提出针对本项目的服务承诺，内容包括：1、服务质量保障承诺；2、服务跟踪计划；3、系统维护承诺；4、系统故障补救措施及技术支持。 （二）各项内容全面详细、阐述条理清晰、对评审内容中的各项要求有详细描述及说明得8分，每有一项缺项扣2分，每有一项内容存在一处缺陷扣1分，扣完为止。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（一）提出针对本项目的人员配备，内容包括：1、拟投入服务团队人员结构及分工职责；2、人员管理制度；3、管理人员及团队人员的相关从业经验保障。 （二）各项内容全面详细、阐述条理清晰、对评审内容中的各项要求有详细描述及说明得6分，每有一项缺项扣2分，每有一项内容存在一处缺陷扣1分，扣完为止。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（一）提出针对本项目的人员配备，内容包括：1、培训内容；2、培训目标及方式；3、培训人数及时间安排。 （二）各项内容全面详细、阐述条理清晰、对评审内容中的各项要求有详细描述及说明得6分，每有一项缺项扣2分，每有一项内容存在一处缺陷扣1分，扣完为止。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详见附件：供应商应提交的相关资格证明材料（格式）</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详见附件：业绩</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详见附件：合同示范文本.docx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