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6A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Style w:val="5"/>
          <w:rFonts w:hint="eastAsia" w:ascii="宋体" w:hAnsi="宋体" w:cs="宋体"/>
        </w:rPr>
        <w:t>技术参数及要求</w:t>
      </w:r>
      <w:bookmarkStart w:id="0" w:name="_GoBack"/>
      <w:bookmarkEnd w:id="0"/>
    </w:p>
    <w:p w14:paraId="7E1EDE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一、项目概况：</w:t>
      </w:r>
    </w:p>
    <w:p w14:paraId="16EF2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教育领域重大设备更新可行性研究报告编制将对学校新设备购置、旧设备淘汰的必要性与可行性进行论证，为决策提供专业依据同时，编制符合要求的可行性研究报告，为后续学校教育领域重大设备更新项目审批、建设、经费支持等工作提供依据。</w:t>
      </w:r>
    </w:p>
    <w:p w14:paraId="29A10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可行性研究报告的编制必须满足国家发改委发布制定的《政府投资项目可行性研究报告编制通用大纲》要求，可研报告编制中标单位须配合学校完成项目申报、审批、答辩等全过程服务工作。</w:t>
      </w:r>
    </w:p>
    <w:p w14:paraId="0EFC6E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sz w:val="24"/>
          <w:szCs w:val="24"/>
        </w:rPr>
        <w:t>服务范围</w:t>
      </w:r>
    </w:p>
    <w:p w14:paraId="38C3B9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1.论证淘汰旧设备的方案，编制设备更新清单；</w:t>
      </w:r>
    </w:p>
    <w:p w14:paraId="7ADF7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2.开展可行性报告的编制；</w:t>
      </w:r>
    </w:p>
    <w:p w14:paraId="72B47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3.全流程协助项目申报审批。</w:t>
      </w:r>
    </w:p>
    <w:p w14:paraId="4F7636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sz w:val="24"/>
          <w:szCs w:val="24"/>
        </w:rPr>
        <w:t>服务要求</w:t>
      </w:r>
    </w:p>
    <w:p w14:paraId="75592C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开展前期调研与方案设计，结合学校实际开展提资宣讲，对现有设备进行全面摸底与需求分析，科学论证新设备购置的必要性与可行性，以及淘汰旧设备的方案，编制详细的设备更新清单（含技术参数）与投资预算；</w:t>
      </w:r>
    </w:p>
    <w:p w14:paraId="5EC6B4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2.审核校内各单位报送项目申报材料，从项目背景、建设方案、投资估算、效益与风险、结论与建议等方面，开展可行性报告的编制；</w:t>
      </w:r>
    </w:p>
    <w:p w14:paraId="1BC52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3.配合将成果上报主管部门，参加发展改革委等部门组织的专家评审会，负责答辩与说明，根据评审意见对报告进行修改、补充，直至获得国家发改委批准或批复。</w:t>
      </w:r>
    </w:p>
    <w:p w14:paraId="2C2FE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4.专业服务人员不少于3人，且高级专业技术人员不少于1人。</w:t>
      </w:r>
    </w:p>
    <w:p w14:paraId="6AF9D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四、</w:t>
      </w:r>
      <w:r>
        <w:rPr>
          <w:rFonts w:hint="eastAsia" w:ascii="宋体" w:hAnsi="宋体" w:eastAsia="宋体" w:cs="宋体"/>
          <w:sz w:val="24"/>
          <w:szCs w:val="24"/>
        </w:rPr>
        <w:t>服务事项（考核）验收的标准</w:t>
      </w:r>
    </w:p>
    <w:p w14:paraId="34CFD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1.可行性研究报告须严格遵循国家发改委发布的《投资项目可行性研究报告编制通用大纲》及相关政策要求。</w:t>
      </w:r>
    </w:p>
    <w:p w14:paraId="3DE34CE2">
      <w:r>
        <w:rPr>
          <w:rFonts w:hint="eastAsia" w:ascii="宋体" w:hAnsi="宋体" w:eastAsia="宋体" w:cs="宋体"/>
          <w:sz w:val="24"/>
          <w:szCs w:val="24"/>
        </w:rPr>
        <w:t>2.最终成果应包括全套申报材料：交付符合规范的可研报告纸质版（10份）及电子版，提供过程中产生的所有附表、附图、附件等支撑材料；所有知识产权归采购方（西北政法大学）所有。</w:t>
      </w:r>
      <w:r>
        <w:rPr>
          <w:rFonts w:hint="eastAsia" w:ascii="宋体" w:hAnsi="宋体" w:eastAsia="宋体" w:cs="宋体"/>
          <w:sz w:val="24"/>
          <w:szCs w:val="24"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E70051"/>
    <w:rsid w:val="1AE7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link w:val="2"/>
    <w:uiPriority w:val="0"/>
    <w:rPr>
      <w:b/>
      <w:bCs/>
      <w:kern w:val="44"/>
      <w:sz w:val="30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2026-07-02T08:53:00Z</dcterms:created>
  <dc:creator>123</dc:creator>
  <cp:lastModifiedBy>123</cp:lastModifiedBy>
  <dcterms:modified xsi:type="dcterms:W3CDTF">2026-07-02T08:54:21Z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0944EE2D1E0E4E5086ECBBF0629C078A_11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