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版本号：KY2026-3-208.1B120260623001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2026年度教职工健康体检项目(二次)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KY2026-3-208.1B1</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2026年度教职工健康体检项目(二次)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KY2026-3-208.1B1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2026年度教职工健康体检项目(二次)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2026年度教职工健康体检项目，具体内容详见磋商文件第三章。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特定资格：供应商若为商业体检中心：提供企业所在地卫生行政部门颁发的《医疗机构执业许可证》和《放射诊疗许可证》，所有证件在有效期内。供应商若为医院体检中心：提供医院等级证书（须二级甲等及以上）和《医疗机构执业许可证》及《放射诊疗许可证》，所有证件在有效期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银行账号：86113010750181502001292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预算⾦额向采购代理机构交纳成交服务费，交费金额参照国家计委颁布的《招标代理服务收费管理暂行办法》（计价格[2002]1980号）及发改办价格[2003]857号文件的规定标准收取。2、本次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联系人：张娜、王琦、戈迪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2026年度教职工健康体检项目，具体内容详见磋商文件技术参数与性能指标。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2026年度教职工健康体验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标的名称：2026年度教职工健康体验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服务范围</w:t>
            </w:r>
          </w:p>
          <w:p>
            <w:pPr>
              <w:pStyle w:val="null3"/>
            </w:pPr>
            <w:r>
              <w:rPr>
                <w:rFonts w:ascii="仿宋_GB2312" w:hAnsi="仿宋_GB2312" w:cs="仿宋_GB2312" w:eastAsia="仿宋_GB2312"/>
                <w:sz w:val="21"/>
              </w:rPr>
              <w:t>本次体检服务对象为学校在册在职教职工及离退休职工，预计服务总人数</w:t>
            </w:r>
            <w:r>
              <w:rPr>
                <w:rFonts w:ascii="仿宋_GB2312" w:hAnsi="仿宋_GB2312" w:cs="仿宋_GB2312" w:eastAsia="仿宋_GB2312"/>
                <w:sz w:val="21"/>
              </w:rPr>
              <w:t>1916人。服务结算方式采用固定单价模式，人均招标单价600元（含税），预算总额115万元，最终按照实际参检人数与中标单价据实结算。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本次体检服务包含通用基础项目、男性专项项目、女性专项项目，全部基础项目为固定标配，竞标方可自主增项、增服务参与竞标，具体体检项目明细如下：</w:t>
            </w:r>
          </w:p>
          <w:p>
            <w:pPr>
              <w:pStyle w:val="null3"/>
            </w:pPr>
            <w:r>
              <w:rPr>
                <w:rFonts w:ascii="仿宋_GB2312" w:hAnsi="仿宋_GB2312" w:cs="仿宋_GB2312" w:eastAsia="仿宋_GB2312"/>
              </w:rPr>
              <w:t>1. 男女共同项目41项</w:t>
            </w:r>
          </w:p>
          <w:p>
            <w:pPr>
              <w:pStyle w:val="null3"/>
            </w:pPr>
            <w:r>
              <w:rPr>
                <w:rFonts w:ascii="仿宋_GB2312" w:hAnsi="仿宋_GB2312" w:cs="仿宋_GB2312" w:eastAsia="仿宋_GB2312"/>
              </w:rPr>
              <w:t>内科、外科、耳鼻喉科、视力</w:t>
            </w:r>
            <w:r>
              <w:rPr>
                <w:rFonts w:ascii="仿宋_GB2312" w:hAnsi="仿宋_GB2312" w:cs="仿宋_GB2312" w:eastAsia="仿宋_GB2312"/>
              </w:rPr>
              <w:t>+色觉、眼底检查（+瞳孔）、裂隙灯检查、心电图(12导联)、尿常规、血常规24项（五分类）、血脂 4 项、肾功能三项、乙肝 5 项、肝功能九项、空腹血糖、同型半胱氨酸、糖化血红蛋白、癌胚抗原(CEA)、神经元特异性烯醇化酶（NSE)、甲胎蛋白(AFP) 、糖类抗原 CA19-9、颈动脉彩超、腹部彩超、心脏彩超、甲状腺彩超、碳 13 呼吸试验检测、骨密度检查、脑血流、头颅核磁共振、胸部 CT、甲状腺功能 5项、血清乳酸脱氢酶测定 LDH、血清肌酸激酶测定、血清肌酸激酶同工酶 CK-MB、核磁和 CT 数字云胶片、r-谷氨酰基转移酶（GGT）、血沉、抗链球菌溶血素、类风湿因子、C 反应蛋白、尿微量白蛋白、β2-微球蛋白等41项。</w:t>
            </w:r>
          </w:p>
          <w:p>
            <w:pPr>
              <w:pStyle w:val="null3"/>
            </w:pPr>
            <w:r>
              <w:rPr>
                <w:rFonts w:ascii="仿宋_GB2312" w:hAnsi="仿宋_GB2312" w:cs="仿宋_GB2312" w:eastAsia="仿宋_GB2312"/>
              </w:rPr>
              <w:t>2.男性体检项目3项（总计44项）</w:t>
            </w:r>
          </w:p>
          <w:p>
            <w:pPr>
              <w:pStyle w:val="null3"/>
            </w:pPr>
            <w:r>
              <w:rPr>
                <w:rFonts w:ascii="仿宋_GB2312" w:hAnsi="仿宋_GB2312" w:cs="仿宋_GB2312" w:eastAsia="仿宋_GB2312"/>
              </w:rPr>
              <w:t>前列腺彩超、前列腺特异性抗原</w:t>
            </w:r>
            <w:r>
              <w:rPr>
                <w:rFonts w:ascii="仿宋_GB2312" w:hAnsi="仿宋_GB2312" w:cs="仿宋_GB2312" w:eastAsia="仿宋_GB2312"/>
              </w:rPr>
              <w:t>(T-PSA)(电发光)、游离前列腺特异性抗原(F-PSA)(电发光) 。</w:t>
            </w:r>
          </w:p>
          <w:p>
            <w:pPr>
              <w:pStyle w:val="null3"/>
            </w:pPr>
            <w:r>
              <w:rPr>
                <w:rFonts w:ascii="仿宋_GB2312" w:hAnsi="仿宋_GB2312" w:cs="仿宋_GB2312" w:eastAsia="仿宋_GB2312"/>
              </w:rPr>
              <w:t>3.女性体检项目8项（总计49项）</w:t>
            </w:r>
          </w:p>
          <w:p>
            <w:pPr>
              <w:pStyle w:val="null3"/>
            </w:pPr>
            <w:r>
              <w:rPr>
                <w:rFonts w:ascii="仿宋_GB2312" w:hAnsi="仿宋_GB2312" w:cs="仿宋_GB2312" w:eastAsia="仿宋_GB2312"/>
              </w:rPr>
              <w:t>乳腺彩超、子宫及附件彩超、妇科检查、白带常规、癌抗</w:t>
            </w:r>
            <w:r>
              <w:rPr>
                <w:rFonts w:ascii="仿宋_GB2312" w:hAnsi="仿宋_GB2312" w:cs="仿宋_GB2312" w:eastAsia="仿宋_GB2312"/>
              </w:rPr>
              <w:t xml:space="preserve">15-3(CA15-3)、宫颈液基细胞学检查、HPV(16,18)检测、癌抗原CA12-5。  </w:t>
            </w:r>
          </w:p>
          <w:p>
            <w:pPr>
              <w:pStyle w:val="null3"/>
            </w:pPr>
            <w:r>
              <w:rPr>
                <w:rFonts w:ascii="仿宋_GB2312" w:hAnsi="仿宋_GB2312" w:cs="仿宋_GB2312" w:eastAsia="仿宋_GB2312"/>
              </w:rPr>
              <w:t>4. 增值配套服务：教职工配偶、父母、子女可参照教职工标准自费体检，个人增项可享门市价5折优惠；支持承检单位各门店就近体检，统一服务标准。</w:t>
            </w:r>
          </w:p>
          <w:p>
            <w:pPr>
              <w:pStyle w:val="null3"/>
            </w:pPr>
            <w:r>
              <w:rPr>
                <w:rFonts w:ascii="仿宋_GB2312" w:hAnsi="仿宋_GB2312" w:cs="仿宋_GB2312" w:eastAsia="仿宋_GB2312"/>
              </w:rPr>
              <w:t>5. 专属便民服务：在约定时间段内统一为离退休职工提供校内至体检机构门口专车接送服务，杜绝马路对面停靠，车辆准时等候，减少人员等待。</w:t>
            </w:r>
          </w:p>
          <w:p>
            <w:pPr>
              <w:pStyle w:val="null3"/>
            </w:pPr>
            <w:r>
              <w:rPr>
                <w:rFonts w:ascii="仿宋_GB2312" w:hAnsi="仿宋_GB2312" w:cs="仿宋_GB2312" w:eastAsia="仿宋_GB2312"/>
                <w:sz w:val="21"/>
              </w:rPr>
              <w:t>6. 后续健康服务：严格保护参检人员隐私，重大异常及时告知、传染病依规上报、不明原因多发病可免费复检；按在职/离退休、男/女出具4份专项整体健康分析报告，提供共性健康专项建议；在长安校区、雁塔校区开展健康讲座及现场咨询答疑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1</w:t>
            </w:r>
            <w:r>
              <w:rPr>
                <w:rFonts w:ascii="仿宋_GB2312" w:hAnsi="仿宋_GB2312" w:cs="仿宋_GB2312" w:eastAsia="仿宋_GB2312"/>
              </w:rPr>
              <w:t>. 场地设备标准：具备独立专用体检场所，且单处体检场所建筑面积不低于2000平方米，配备全套符合国家健康体检规范的专业仪器设备，满足大批量团体体检需求。</w:t>
            </w:r>
          </w:p>
          <w:p>
            <w:pPr>
              <w:pStyle w:val="null3"/>
            </w:pPr>
            <w:r>
              <w:rPr>
                <w:rFonts w:ascii="仿宋_GB2312" w:hAnsi="仿宋_GB2312" w:cs="仿宋_GB2312" w:eastAsia="仿宋_GB2312"/>
              </w:rPr>
              <w:t>2</w:t>
            </w:r>
            <w:r>
              <w:rPr>
                <w:rFonts w:ascii="仿宋_GB2312" w:hAnsi="仿宋_GB2312" w:cs="仿宋_GB2312" w:eastAsia="仿宋_GB2312"/>
              </w:rPr>
              <w:t>. 现场服务标准：全程禁止消费诱导，不得鼓动参检人员自费增项；为全体参检人员提供</w:t>
            </w:r>
            <w:r>
              <w:rPr>
                <w:rFonts w:ascii="仿宋_GB2312" w:hAnsi="仿宋_GB2312" w:cs="仿宋_GB2312" w:eastAsia="仿宋_GB2312"/>
              </w:rPr>
              <w:t>配套</w:t>
            </w:r>
            <w:r>
              <w:rPr>
                <w:rFonts w:ascii="仿宋_GB2312" w:hAnsi="仿宋_GB2312" w:cs="仿宋_GB2312" w:eastAsia="仿宋_GB2312"/>
              </w:rPr>
              <w:t>早餐，适配高血压、糖尿病等特殊人群饮食需求；各门店服务、项目、报告质量标准统一。</w:t>
            </w:r>
          </w:p>
          <w:p>
            <w:pPr>
              <w:pStyle w:val="null3"/>
            </w:pPr>
            <w:r>
              <w:rPr>
                <w:rFonts w:ascii="仿宋_GB2312" w:hAnsi="仿宋_GB2312" w:cs="仿宋_GB2312" w:eastAsia="仿宋_GB2312"/>
                <w:sz w:val="21"/>
              </w:rPr>
              <w:t>3</w:t>
            </w:r>
            <w:r>
              <w:rPr>
                <w:rFonts w:ascii="仿宋_GB2312" w:hAnsi="仿宋_GB2312" w:cs="仿宋_GB2312" w:eastAsia="仿宋_GB2312"/>
                <w:sz w:val="21"/>
              </w:rPr>
              <w:t>. 执业信誉标准：2023年至今具备2份及以上企事业单位、机关同类体检服务案例；近五年无违法违纪、不良执业记录及重大服务投诉、行业处罚记录。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服务人员数量及组成</w:t>
            </w:r>
          </w:p>
          <w:p>
            <w:pPr>
              <w:pStyle w:val="null3"/>
            </w:pPr>
            <w:r>
              <w:rPr>
                <w:rFonts w:ascii="仿宋_GB2312" w:hAnsi="仿宋_GB2312" w:cs="仿宋_GB2312" w:eastAsia="仿宋_GB2312"/>
              </w:rPr>
              <w:t>1. 主检医师：配备不少于2名，需具备内/外科临床工作经历，持有副主任医师及以上职称。</w:t>
            </w:r>
          </w:p>
          <w:p>
            <w:pPr>
              <w:pStyle w:val="null3"/>
            </w:pPr>
            <w:r>
              <w:rPr>
                <w:rFonts w:ascii="仿宋_GB2312" w:hAnsi="仿宋_GB2312" w:cs="仿宋_GB2312" w:eastAsia="仿宋_GB2312"/>
              </w:rPr>
              <w:t>2. 检验审核人员：总检验审核岗位人员为副主任医师及以上职称，具备专业审核资质与从业经验。</w:t>
            </w:r>
          </w:p>
          <w:p>
            <w:pPr>
              <w:pStyle w:val="null3"/>
            </w:pPr>
            <w:r>
              <w:rPr>
                <w:rFonts w:ascii="仿宋_GB2312" w:hAnsi="仿宋_GB2312" w:cs="仿宋_GB2312" w:eastAsia="仿宋_GB2312"/>
                <w:sz w:val="21"/>
              </w:rPr>
              <w:t>3. 基础医护人员：足额配备中级及以上职称的执业医师、护士，保障体检全程高效、规范开展。</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服务事项考核、验收标准</w:t>
            </w:r>
          </w:p>
          <w:p>
            <w:pPr>
              <w:pStyle w:val="null3"/>
            </w:pPr>
            <w:r>
              <w:rPr>
                <w:rFonts w:ascii="仿宋_GB2312" w:hAnsi="仿宋_GB2312" w:cs="仿宋_GB2312" w:eastAsia="仿宋_GB2312"/>
              </w:rPr>
              <w:t>（一）整体服务验收要求</w:t>
            </w:r>
          </w:p>
          <w:p>
            <w:pPr>
              <w:pStyle w:val="null3"/>
            </w:pPr>
            <w:r>
              <w:rPr>
                <w:rFonts w:ascii="仿宋_GB2312" w:hAnsi="仿宋_GB2312" w:cs="仿宋_GB2312" w:eastAsia="仿宋_GB2312"/>
              </w:rPr>
              <w:t>中标单位需严格按照本招标需求及双方签订合同、服务协议约定内容，完整完成全部体检项目、配套便民服务及后续健康服务，无违规服务、无服务漏项、无重大服务投诉，方可通过整体服务验收。</w:t>
            </w:r>
          </w:p>
          <w:p>
            <w:pPr>
              <w:pStyle w:val="null3"/>
            </w:pPr>
            <w:r>
              <w:rPr>
                <w:rFonts w:ascii="仿宋_GB2312" w:hAnsi="仿宋_GB2312" w:cs="仿宋_GB2312" w:eastAsia="仿宋_GB2312"/>
              </w:rPr>
              <w:t>（二）分项验收标准</w:t>
            </w:r>
          </w:p>
          <w:p>
            <w:pPr>
              <w:pStyle w:val="null3"/>
            </w:pPr>
            <w:r>
              <w:rPr>
                <w:rFonts w:ascii="仿宋_GB2312" w:hAnsi="仿宋_GB2312" w:cs="仿宋_GB2312" w:eastAsia="仿宋_GB2312"/>
              </w:rPr>
              <w:t>1. 资质场地验收：服务全程机构资质、证照、场地面积、仪器设备均需保持合规有效，场地独立专用、设备运行正常，满足体检规范要求，一经核查发现资质过期、场地设备不达标，视为验收不合格。</w:t>
            </w:r>
          </w:p>
          <w:p>
            <w:pPr>
              <w:pStyle w:val="null3"/>
            </w:pPr>
            <w:r>
              <w:rPr>
                <w:rFonts w:ascii="仿宋_GB2312" w:hAnsi="仿宋_GB2312" w:cs="仿宋_GB2312" w:eastAsia="仿宋_GB2312"/>
              </w:rPr>
              <w:t>2. 人员服务验收：在岗医护人员职称、数量、资质符合招标要求，人员配置充足、服务专业规范，无无证上岗、资质不符等问题。</w:t>
            </w:r>
          </w:p>
          <w:p>
            <w:pPr>
              <w:pStyle w:val="null3"/>
            </w:pPr>
            <w:r>
              <w:rPr>
                <w:rFonts w:ascii="仿宋_GB2312" w:hAnsi="仿宋_GB2312" w:cs="仿宋_GB2312" w:eastAsia="仿宋_GB2312"/>
              </w:rPr>
              <w:t>3. 现场服务验收：严格落实离退休人员接送、免费特色早餐、无消费诱导等要求，就近体检门店服务标准统一，无违规增值推销、无服务疏漏。</w:t>
            </w:r>
          </w:p>
          <w:p>
            <w:pPr>
              <w:pStyle w:val="null3"/>
            </w:pPr>
            <w:r>
              <w:rPr>
                <w:rFonts w:ascii="仿宋_GB2312" w:hAnsi="仿宋_GB2312" w:cs="仿宋_GB2312" w:eastAsia="仿宋_GB2312"/>
              </w:rPr>
              <w:t>4. 报告成果验收：严格按时限出具个人双格式体检报告及单位四类整体健康分析报告，报告数据准确、内容完整、分析专业、建议针对性强，无错检、漏检、报告延迟、数据错误等问题。</w:t>
            </w:r>
          </w:p>
          <w:p>
            <w:pPr>
              <w:pStyle w:val="null3"/>
            </w:pPr>
            <w:r>
              <w:rPr>
                <w:rFonts w:ascii="仿宋_GB2312" w:hAnsi="仿宋_GB2312" w:cs="仿宋_GB2312" w:eastAsia="仿宋_GB2312"/>
              </w:rPr>
              <w:t>5. 后续服务验收：严格落实隐私保密、异常情况告知、传染病上报、免费复检、校区健康讲座及咨询等服务，响应及时、服务到位。</w:t>
            </w:r>
          </w:p>
          <w:p>
            <w:pPr>
              <w:pStyle w:val="null3"/>
            </w:pPr>
            <w:r>
              <w:rPr>
                <w:rFonts w:ascii="仿宋_GB2312" w:hAnsi="仿宋_GB2312" w:cs="仿宋_GB2312" w:eastAsia="仿宋_GB2312"/>
              </w:rPr>
              <w:t>（三）考核与评优依据</w:t>
            </w:r>
          </w:p>
          <w:p>
            <w:pPr>
              <w:pStyle w:val="null3"/>
            </w:pPr>
            <w:r>
              <w:rPr>
                <w:rFonts w:ascii="仿宋_GB2312" w:hAnsi="仿宋_GB2312" w:cs="仿宋_GB2312" w:eastAsia="仿宋_GB2312"/>
              </w:rPr>
              <w:t>1. 日常考核：全程记录服务响应速度、现场服务质量、师生投诉反馈、问题整改效率，作为服务考核核心依据。</w:t>
            </w:r>
          </w:p>
          <w:p>
            <w:pPr>
              <w:pStyle w:val="null3"/>
            </w:pPr>
            <w:r>
              <w:rPr>
                <w:rFonts w:ascii="仿宋_GB2312" w:hAnsi="仿宋_GB2312" w:cs="仿宋_GB2312" w:eastAsia="仿宋_GB2312"/>
              </w:rPr>
              <w:t>2. 成果考核：以体检准确率、报告按时交付率、异常问题处置完成率、健康服务落地完成率为核心考核指标。</w:t>
            </w:r>
          </w:p>
          <w:p>
            <w:pPr>
              <w:pStyle w:val="null3"/>
            </w:pPr>
            <w:r>
              <w:rPr>
                <w:rFonts w:ascii="仿宋_GB2312" w:hAnsi="仿宋_GB2312" w:cs="仿宋_GB2312" w:eastAsia="仿宋_GB2312"/>
              </w:rPr>
              <w:t>3. 竞标考核：本次招标为固定单价600元/人，不竞价，以投标单位资质实力、服务方案、增值服务、过往服务业绩、信誉口碑为核心择优评标。</w:t>
            </w:r>
          </w:p>
          <w:p>
            <w:pPr>
              <w:pStyle w:val="null3"/>
            </w:pPr>
            <w:r>
              <w:rPr>
                <w:rFonts w:ascii="仿宋_GB2312" w:hAnsi="仿宋_GB2312" w:cs="仿宋_GB2312" w:eastAsia="仿宋_GB2312"/>
              </w:rPr>
              <w:t>（四）不合格处置标准</w:t>
            </w:r>
          </w:p>
          <w:p>
            <w:pPr>
              <w:pStyle w:val="null3"/>
            </w:pPr>
            <w:r>
              <w:rPr>
                <w:rFonts w:ascii="仿宋_GB2312" w:hAnsi="仿宋_GB2312" w:cs="仿宋_GB2312" w:eastAsia="仿宋_GB2312"/>
                <w:sz w:val="21"/>
              </w:rPr>
              <w:t>若中标单位存在资质不符、服务缺项、违规诱导消费、报告严重失误、隐私泄露、重大服务投诉、未按时限完成服务等问题，学校有权视情节要求限期整改、扣除相应服务款项，情节严重者终止合作，并纳入服务黑名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合同签订后5个工作日内启动体检工作，整体体检工作预计3个月内完成（最终以双方服务协议为准）；个人体检完成后5—7个工作日内出具纸质+电子版双格式体检报告；全员体检结束后15个工作日内提交单位整体健康分析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西北政法大学指定地点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其他，服务期结束后，根据实际招标价格和具体参检人数计算，供应商提交结算申请后，达到付款条件起22个工作日内，支付合同总金额的100.0%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1、本项目报价采用固定价格，故价格分不列为评审因素，本项目开标一览表及标的清单中固定报价为600元/人，如未响应，按无效文件处理。2、本项目落实的政府采购政策：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⑥陕西省财政厅关于印发《陕西省中小企业政府采购信用融资办法》（陕财办采〔2018〕23号）；⑦ 《关于进一步加大政府采购支持中小企业力度的通知》（财库〔2022〕19号）；⑧ 《关于扩大政府采购支持绿色建材促进建筑品质提升政策实施范围的通知》（财库〔2022〕35号）；⑨ 《关于推动解决政府采购异常低价问题的通知》财库〔2026〕2号；⑩ 《国务院办公厅关于在政府采购中实施本国产品标准及相关政策的通知》国办发〔2025〕34号；⑪若享受以上政策优惠的企业，提供相应声明函或品目范围内产品有效认证证书。如有最新颁布的政府采购政策，按最新的文件执行。3、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119613601@qq.com，并以邮件接收时间为退付的基准时间。4、为顺利推进政府采购电子化交易平台应用工作，供应商需要在线提交所有通过电子化交易平台实施的政府采购项目的响应文件，同时，线下提交纸质响应文件壹份。纸质响应文件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张娜，联系电话029-81206622-835）。 若电子响应文件与纸质响应文件不一致的，以电子响应文件为准。5、磋商文件中所有的商务要求均为实质性要求，供应商必须响应并满足。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若为商业体检中心：提供企业所在地卫生行政部门颁发的《医疗机构执业许可证》和《放射诊疗许可证》，所有证件在有效期内。供应商若为医院体检中心：提供医院等级证书（须二级甲等及以上）和《医疗机构执业许可证》及《放射诊疗许可证》，所有证件在有效期内</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商务应答表 服务内容及服务要求应答表 标的清单 响应函 其他说明.docx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商务应答表 服务内容及服务要求应答表 标的清单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商务应答表 服务内容及服务要求应答表 标的清单 响应函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服务方案，至少包含：①体检流程及具体场次安排；②体检实施时的引导及陪护；③体检结果质量保证措施；④体检发现疾病的后续服务及健康管理建议、健康风险评估；⑤人员接送、早餐派发等要素。以上方案每缺一项扣4分，每有1处描述有缺陷扣1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1、详细评审---服务方案.docx</w:t>
            </w:r>
          </w:p>
        </w:tc>
      </w:tr>
      <w:tr>
        <w:tc>
          <w:tcPr>
            <w:tcW w:type="dxa" w:w="831"/>
            <w:vMerge/>
          </w:tcPr>
          <w:p/>
        </w:tc>
        <w:tc>
          <w:tcPr>
            <w:tcW w:type="dxa" w:w="1661"/>
          </w:tcPr>
          <w:p>
            <w:pPr>
              <w:pStyle w:val="null3"/>
            </w:pPr>
            <w:r>
              <w:rPr>
                <w:rFonts w:ascii="仿宋_GB2312" w:hAnsi="仿宋_GB2312" w:cs="仿宋_GB2312" w:eastAsia="仿宋_GB2312"/>
              </w:rPr>
              <w:t>服务内容及增值服务</w:t>
            </w:r>
          </w:p>
        </w:tc>
        <w:tc>
          <w:tcPr>
            <w:tcW w:type="dxa" w:w="2492"/>
          </w:tcPr>
          <w:p>
            <w:pPr>
              <w:pStyle w:val="null3"/>
            </w:pPr>
            <w:r>
              <w:rPr>
                <w:rFonts w:ascii="仿宋_GB2312" w:hAnsi="仿宋_GB2312" w:cs="仿宋_GB2312" w:eastAsia="仿宋_GB2312"/>
              </w:rPr>
              <w:t>满足磋商文件要求的基础体检项目计13分；基础项目之外，供应商每多提供一项体检项目，根据其针对性及实用性计1分，最高计5分，或提供根据采购方教职工个性要求对基础体检项目进行等价位替换服务的方案，方案同时包含可替换项目清单、等价位备选项目（每项≥2个）及总价不变承诺的，得5分，否则0分；供应商须承诺为教职工家属提供同等标准的自费体检服务（个人增项按门市价5折），并支持在各门店就近参检得5分。本项共23分，未提供的不计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2、详细评审---服务内容及增值服务.docx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拟投入设备：提供针对本项目拟投入的核心检测仪器设备清单（须包含设备名称、品牌型号）及核心检测仪器设备的购置发票或租赁协议，完全满足计15分，每缺少一台核心设备（如CT、核磁、彩超等）的权属证明扣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3、详细评审---拟投入设备.docx</w:t>
            </w:r>
          </w:p>
        </w:tc>
      </w:tr>
      <w:tr>
        <w:tc>
          <w:tcPr>
            <w:tcW w:type="dxa" w:w="831"/>
            <w:vMerge/>
          </w:tcPr>
          <w:p/>
        </w:tc>
        <w:tc>
          <w:tcPr>
            <w:tcW w:type="dxa" w:w="1661"/>
          </w:tcPr>
          <w:p>
            <w:pPr>
              <w:pStyle w:val="null3"/>
            </w:pPr>
            <w:r>
              <w:rPr>
                <w:rFonts w:ascii="仿宋_GB2312" w:hAnsi="仿宋_GB2312" w:cs="仿宋_GB2312" w:eastAsia="仿宋_GB2312"/>
              </w:rPr>
              <w:t>体检环境</w:t>
            </w:r>
          </w:p>
        </w:tc>
        <w:tc>
          <w:tcPr>
            <w:tcW w:type="dxa" w:w="2492"/>
          </w:tcPr>
          <w:p>
            <w:pPr>
              <w:pStyle w:val="null3"/>
            </w:pPr>
            <w:r>
              <w:rPr>
                <w:rFonts w:ascii="仿宋_GB2312" w:hAnsi="仿宋_GB2312" w:cs="仿宋_GB2312" w:eastAsia="仿宋_GB2312"/>
              </w:rPr>
              <w:t>供应商针对本项目提供详细的体检配套环境，至少包含：①场所独立性与承载能力；②清洁消毒制度及记录；③无障碍与适老化设施；④急救设备与应急配置。以上方案每缺一项扣2分，每有1处描述有缺陷扣1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 备注：提供各场景照片及相关证明资料（体检场所产权证或租赁合同、平面布局图、环境卫生消毒制度文件及执行记录样本、急救设备清单及有效期证明）</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4、详细评审---体检环境.docx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1.团队人员至少有2名主检医师，主检医师应当由具备内、外科工作经历的副主任医师及以上职称人员担任；在此基础上每提供1名主检医师计2分，共6分。 2.团队人员至少有1名总检验审核人员，总检验审核人员必须是副主任医师及以上职称人员担任；在此基础上每提供1名总检验审核人员计1分，共2分。 3.团队人员至少有1名执业医师，执业医师人员必须是中级及以上专业技术职务任职资格的人员担任，在此基础上每提供1名执业医师计1分，共2分。 4.团队人员至少有1名护士，护士人员必须是中级及以上专业技术职务任职资格的人员担任，在此基础上每提供1名护士计1分，共2分。 提供团队人员名单及相关证明资料（包含身份证、执业证书、职称证、工作经验证明材料等）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5、详细评审---人员配备方案.docx</w:t>
            </w:r>
          </w:p>
        </w:tc>
      </w:tr>
      <w:tr>
        <w:tc>
          <w:tcPr>
            <w:tcW w:type="dxa" w:w="831"/>
            <w:vMerge/>
          </w:tcPr>
          <w:p/>
        </w:tc>
        <w:tc>
          <w:tcPr>
            <w:tcW w:type="dxa" w:w="1661"/>
          </w:tcPr>
          <w:p>
            <w:pPr>
              <w:pStyle w:val="null3"/>
            </w:pPr>
            <w:r>
              <w:rPr>
                <w:rFonts w:ascii="仿宋_GB2312" w:hAnsi="仿宋_GB2312" w:cs="仿宋_GB2312" w:eastAsia="仿宋_GB2312"/>
              </w:rPr>
              <w:t>服务承诺及质量保证方案</w:t>
            </w:r>
          </w:p>
        </w:tc>
        <w:tc>
          <w:tcPr>
            <w:tcW w:type="dxa" w:w="2492"/>
          </w:tcPr>
          <w:p>
            <w:pPr>
              <w:pStyle w:val="null3"/>
            </w:pPr>
            <w:r>
              <w:rPr>
                <w:rFonts w:ascii="仿宋_GB2312" w:hAnsi="仿宋_GB2312" w:cs="仿宋_GB2312" w:eastAsia="仿宋_GB2312"/>
              </w:rPr>
              <w:t>供应商根据本项目特点，提供针对本项目的服务承诺及质量保证方案。具体包括：①体检结果分析、治疗建议及健康评估报告；②保密方案及承诺；③服务响应及应急处置方案；④服务质量监督及整改方案；⑤对团检预留专场时间；⑥售后服务承诺。以上方案每缺一项扣2分，每有1处描述有缺陷扣1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6、详细评审---服务承诺及质量保证方案.docx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供应商2023年6月1日至今（以签订时间为准）承担过同类型项目业绩的，每项得2分，最高得10分。需提供项目合同或协议的关键页扫描件，加盖公章，否则不计分。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详见附件：1、详细评审---服务方案.docx</w:t>
      </w:r>
    </w:p>
    <w:p>
      <w:pPr>
        <w:pStyle w:val="null3"/>
        <w:ind w:firstLine="960"/>
      </w:pPr>
      <w:r>
        <w:rPr>
          <w:rFonts w:ascii="仿宋_GB2312" w:hAnsi="仿宋_GB2312" w:cs="仿宋_GB2312" w:eastAsia="仿宋_GB2312"/>
        </w:rPr>
        <w:t>详见附件：2、详细评审---服务内容及增值服务.docx</w:t>
      </w:r>
    </w:p>
    <w:p>
      <w:pPr>
        <w:pStyle w:val="null3"/>
        <w:ind w:firstLine="960"/>
      </w:pPr>
      <w:r>
        <w:rPr>
          <w:rFonts w:ascii="仿宋_GB2312" w:hAnsi="仿宋_GB2312" w:cs="仿宋_GB2312" w:eastAsia="仿宋_GB2312"/>
        </w:rPr>
        <w:t>详见附件：3、详细评审---拟投入设备.docx</w:t>
      </w:r>
    </w:p>
    <w:p>
      <w:pPr>
        <w:pStyle w:val="null3"/>
        <w:ind w:firstLine="960"/>
      </w:pPr>
      <w:r>
        <w:rPr>
          <w:rFonts w:ascii="仿宋_GB2312" w:hAnsi="仿宋_GB2312" w:cs="仿宋_GB2312" w:eastAsia="仿宋_GB2312"/>
        </w:rPr>
        <w:t>详见附件：4、详细评审---体检环境.docx</w:t>
      </w:r>
    </w:p>
    <w:p>
      <w:pPr>
        <w:pStyle w:val="null3"/>
        <w:ind w:firstLine="960"/>
      </w:pPr>
      <w:r>
        <w:rPr>
          <w:rFonts w:ascii="仿宋_GB2312" w:hAnsi="仿宋_GB2312" w:cs="仿宋_GB2312" w:eastAsia="仿宋_GB2312"/>
        </w:rPr>
        <w:t>详见附件：5、详细评审---人员配备方案.docx</w:t>
      </w:r>
    </w:p>
    <w:p>
      <w:pPr>
        <w:pStyle w:val="null3"/>
        <w:ind w:firstLine="960"/>
      </w:pPr>
      <w:r>
        <w:rPr>
          <w:rFonts w:ascii="仿宋_GB2312" w:hAnsi="仿宋_GB2312" w:cs="仿宋_GB2312" w:eastAsia="仿宋_GB2312"/>
        </w:rPr>
        <w:t>详见附件：6、详细评审---服务承诺及质量保证方案.docx</w:t>
      </w:r>
    </w:p>
    <w:p>
      <w:pPr>
        <w:pStyle w:val="null3"/>
        <w:ind w:firstLine="960"/>
      </w:pPr>
      <w:r>
        <w:rPr>
          <w:rFonts w:ascii="仿宋_GB2312" w:hAnsi="仿宋_GB2312" w:cs="仿宋_GB2312" w:eastAsia="仿宋_GB2312"/>
        </w:rPr>
        <w:t>详见附件：7、详细评审---业绩.docx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