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版本号：【KRDL】K4-260611920260826001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数字经济与数据科学一体化智能实验实训平台项目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【KRDL】K4-2606119</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数字经济与数据科学一体化智能实验实训平台项目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【KRDL】K4-2606119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数字经济与数据科学一体化智能实验实训平台项目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邮电大学数字经济与数据科学一体化智能实验实训平台项目，采购内容包含工业大数据实践教学平台--企业数字化管理系统、工业大数据实践教学平台--大数据处理实践系统、工业大数据实践教学平台--智能教学案例管理系统、人工智能应用基础实训平台、数字经济数据库，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说明：1.成交供应商在签订合同前5个工作日内，向采购人缴纳合同总价5%的履约保证金；2.合同如期履约完成，采购人免息原缴费账户退还履约保证金全款。</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中华人民共和国国家发展和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联系电话：15667067713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数字经济与数据科学一体化智能实验实训平台项目，采购内容包含工业大数据实践教学平台--企业数字化管理系统、工业大数据实践教学平台--大数据处理实践系统、工业大数据实践教学平台--智能教学案例管理系统、人工智能应用基础实训平台、数字经济数据库。</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数字经济与数据科学一体化智能实验实训平台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标的名称：数字经济与数据科学一体化智能实验实训平台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西安邮电大学</w:t>
            </w:r>
            <w:r>
              <w:rPr>
                <w:rFonts w:ascii="仿宋_GB2312" w:hAnsi="仿宋_GB2312" w:cs="仿宋_GB2312" w:eastAsia="仿宋_GB2312"/>
                <w:sz w:val="24"/>
              </w:rPr>
              <w:t>数字经济与数据科学一体化智能实验实训平台项目</w:t>
            </w:r>
            <w:r>
              <w:rPr>
                <w:rFonts w:ascii="仿宋_GB2312" w:hAnsi="仿宋_GB2312" w:cs="仿宋_GB2312" w:eastAsia="仿宋_GB2312"/>
                <w:sz w:val="24"/>
              </w:rPr>
              <w:t>，</w:t>
            </w:r>
            <w:r>
              <w:rPr>
                <w:rFonts w:ascii="仿宋_GB2312" w:hAnsi="仿宋_GB2312" w:cs="仿宋_GB2312" w:eastAsia="仿宋_GB2312"/>
                <w:sz w:val="24"/>
              </w:rPr>
              <w:t>采购内容包含工业大数据实践教学平台</w:t>
            </w:r>
            <w:r>
              <w:rPr>
                <w:rFonts w:ascii="仿宋_GB2312" w:hAnsi="仿宋_GB2312" w:cs="仿宋_GB2312" w:eastAsia="仿宋_GB2312"/>
                <w:sz w:val="24"/>
              </w:rPr>
              <w:t>--企业数字化管理系统、工业大数据实践教学平台--大数据处理实践系统、工业大数据实践教学平台--智能教学案例管理系统、人工智能应用基础实训平台、数字经济数据库</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二、</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15"/>
              <w:gridCol w:w="2013"/>
              <w:gridCol w:w="313"/>
            </w:tblGrid>
            <w:tr>
              <w:tc>
                <w:tcPr>
                  <w:tcW w:type="dxa" w:w="21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序号</w:t>
                  </w:r>
                </w:p>
              </w:tc>
              <w:tc>
                <w:tcPr>
                  <w:tcW w:type="dxa" w:w="2013"/>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品目名称</w:t>
                  </w:r>
                </w:p>
              </w:tc>
              <w:tc>
                <w:tcPr>
                  <w:tcW w:type="dxa" w:w="313"/>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数量</w:t>
                  </w:r>
                </w:p>
              </w:tc>
            </w:tr>
            <w:tr>
              <w:tc>
                <w:tcPr>
                  <w:tcW w:type="dxa" w:w="2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w:t>
                  </w:r>
                </w:p>
              </w:tc>
              <w:tc>
                <w:tcPr>
                  <w:tcW w:type="dxa" w:w="20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工业大数据实践教学平台</w:t>
                  </w:r>
                  <w:r>
                    <w:rPr>
                      <w:rFonts w:ascii="仿宋_GB2312" w:hAnsi="仿宋_GB2312" w:cs="仿宋_GB2312" w:eastAsia="仿宋_GB2312"/>
                      <w:sz w:val="24"/>
                    </w:rPr>
                    <w:t>--企业数字化管理系统</w:t>
                  </w:r>
                </w:p>
              </w:tc>
              <w:tc>
                <w:tcPr>
                  <w:tcW w:type="dxa" w:w="3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1项</w:t>
                  </w:r>
                </w:p>
              </w:tc>
            </w:tr>
            <w:tr>
              <w:tc>
                <w:tcPr>
                  <w:tcW w:type="dxa" w:w="2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2</w:t>
                  </w:r>
                </w:p>
              </w:tc>
              <w:tc>
                <w:tcPr>
                  <w:tcW w:type="dxa" w:w="20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工业大数据实践教学平台</w:t>
                  </w:r>
                  <w:r>
                    <w:rPr>
                      <w:rFonts w:ascii="仿宋_GB2312" w:hAnsi="仿宋_GB2312" w:cs="仿宋_GB2312" w:eastAsia="仿宋_GB2312"/>
                      <w:sz w:val="24"/>
                    </w:rPr>
                    <w:t>--大数据处理实践系统</w:t>
                  </w:r>
                </w:p>
              </w:tc>
              <w:tc>
                <w:tcPr>
                  <w:tcW w:type="dxa" w:w="3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1项</w:t>
                  </w:r>
                </w:p>
              </w:tc>
            </w:tr>
            <w:tr>
              <w:tc>
                <w:tcPr>
                  <w:tcW w:type="dxa" w:w="2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3</w:t>
                  </w:r>
                </w:p>
              </w:tc>
              <w:tc>
                <w:tcPr>
                  <w:tcW w:type="dxa" w:w="20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工业大数据实践教学平台</w:t>
                  </w:r>
                  <w:r>
                    <w:rPr>
                      <w:rFonts w:ascii="仿宋_GB2312" w:hAnsi="仿宋_GB2312" w:cs="仿宋_GB2312" w:eastAsia="仿宋_GB2312"/>
                      <w:sz w:val="24"/>
                    </w:rPr>
                    <w:t>--智能教学案例管理系统</w:t>
                  </w:r>
                </w:p>
                <w:p>
                  <w:pPr>
                    <w:pStyle w:val="null3"/>
                    <w:jc w:val="center"/>
                  </w:pPr>
                  <w:r>
                    <w:rPr>
                      <w:rFonts w:ascii="仿宋_GB2312" w:hAnsi="仿宋_GB2312" w:cs="仿宋_GB2312" w:eastAsia="仿宋_GB2312"/>
                      <w:sz w:val="24"/>
                    </w:rPr>
                    <w:t>【核心产品】</w:t>
                  </w:r>
                </w:p>
              </w:tc>
              <w:tc>
                <w:tcPr>
                  <w:tcW w:type="dxa" w:w="3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1项</w:t>
                  </w:r>
                </w:p>
              </w:tc>
            </w:tr>
            <w:tr>
              <w:tc>
                <w:tcPr>
                  <w:tcW w:type="dxa" w:w="2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4</w:t>
                  </w:r>
                </w:p>
              </w:tc>
              <w:tc>
                <w:tcPr>
                  <w:tcW w:type="dxa" w:w="20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人工智能应用基础实训平台</w:t>
                  </w:r>
                </w:p>
              </w:tc>
              <w:tc>
                <w:tcPr>
                  <w:tcW w:type="dxa" w:w="3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1项</w:t>
                  </w:r>
                </w:p>
              </w:tc>
            </w:tr>
            <w:tr>
              <w:tc>
                <w:tcPr>
                  <w:tcW w:type="dxa" w:w="2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5</w:t>
                  </w:r>
                </w:p>
              </w:tc>
              <w:tc>
                <w:tcPr>
                  <w:tcW w:type="dxa" w:w="20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数字经济数据库</w:t>
                  </w:r>
                </w:p>
              </w:tc>
              <w:tc>
                <w:tcPr>
                  <w:tcW w:type="dxa" w:w="313"/>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4"/>
                    </w:rPr>
                    <w:t>1套</w:t>
                  </w:r>
                </w:p>
              </w:tc>
            </w:tr>
          </w:tbl>
          <w:p>
            <w:pPr>
              <w:pStyle w:val="null3"/>
              <w:ind w:firstLine="482"/>
            </w:pPr>
            <w:r>
              <w:rPr>
                <w:rFonts w:ascii="仿宋_GB2312" w:hAnsi="仿宋_GB2312" w:cs="仿宋_GB2312" w:eastAsia="仿宋_GB2312"/>
                <w:sz w:val="24"/>
                <w:b/>
              </w:rPr>
              <w:t>三、</w:t>
            </w:r>
            <w:r>
              <w:rPr>
                <w:rFonts w:ascii="仿宋_GB2312" w:hAnsi="仿宋_GB2312" w:cs="仿宋_GB2312" w:eastAsia="仿宋_GB2312"/>
                <w:sz w:val="24"/>
                <w:b/>
              </w:rPr>
              <w:t>采购内容及要求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技术要求</w:t>
            </w:r>
          </w:p>
          <w:tbl>
            <w:tblPr>
              <w:tblBorders>
                <w:top w:val="none" w:color="000000" w:sz="4"/>
                <w:left w:val="none" w:color="000000" w:sz="4"/>
                <w:bottom w:val="none" w:color="000000" w:sz="4"/>
                <w:right w:val="none" w:color="000000" w:sz="4"/>
                <w:insideH w:val="none"/>
                <w:insideV w:val="none"/>
              </w:tblBorders>
            </w:tblPr>
            <w:tblGrid>
              <w:gridCol w:w="171"/>
              <w:gridCol w:w="333"/>
              <w:gridCol w:w="2050"/>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w:t>
                  </w:r>
                </w:p>
                <w:p>
                  <w:pPr>
                    <w:pStyle w:val="null3"/>
                    <w:jc w:val="center"/>
                  </w:pPr>
                  <w:r>
                    <w:rPr>
                      <w:rFonts w:ascii="仿宋_GB2312" w:hAnsi="仿宋_GB2312" w:cs="仿宋_GB2312" w:eastAsia="仿宋_GB2312"/>
                      <w:sz w:val="24"/>
                      <w:b/>
                    </w:rPr>
                    <w:t>名称</w:t>
                  </w:r>
                </w:p>
              </w:tc>
              <w:tc>
                <w:tcPr>
                  <w:tcW w:type="dxa" w:w="2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工业大数据实践教学平台</w:t>
                  </w:r>
                  <w:r>
                    <w:rPr>
                      <w:rFonts w:ascii="仿宋_GB2312" w:hAnsi="仿宋_GB2312" w:cs="仿宋_GB2312" w:eastAsia="仿宋_GB2312"/>
                      <w:sz w:val="24"/>
                      <w:b/>
                    </w:rPr>
                    <w:t>--企业数字化管理系统</w:t>
                  </w:r>
                </w:p>
              </w:tc>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（一）参数要求</w:t>
                  </w:r>
                </w:p>
                <w:p>
                  <w:pPr>
                    <w:pStyle w:val="null3"/>
                    <w:jc w:val="both"/>
                  </w:pPr>
                  <w:r>
                    <w:rPr>
                      <w:rFonts w:ascii="仿宋_GB2312" w:hAnsi="仿宋_GB2312" w:cs="仿宋_GB2312" w:eastAsia="仿宋_GB2312"/>
                      <w:sz w:val="24"/>
                    </w:rPr>
                    <w:t>1.系统需提供云计算引擎和数据可视化引擎，可为业务人员提供轻建模、多维度、高性能的数据分析和数据探索功能。</w:t>
                  </w:r>
                </w:p>
                <w:p>
                  <w:pPr>
                    <w:pStyle w:val="null3"/>
                    <w:jc w:val="both"/>
                  </w:pPr>
                  <w:r>
                    <w:rPr>
                      <w:rFonts w:ascii="仿宋_GB2312" w:hAnsi="仿宋_GB2312" w:cs="仿宋_GB2312" w:eastAsia="仿宋_GB2312"/>
                      <w:sz w:val="24"/>
                    </w:rPr>
                    <w:t>2.要求提供数据可视化和商业智能全栈套件，能够连接企业的数据资产，自由探索和发现其中的业务规律和价值。</w:t>
                  </w:r>
                </w:p>
                <w:p>
                  <w:pPr>
                    <w:pStyle w:val="null3"/>
                    <w:jc w:val="both"/>
                  </w:pPr>
                  <w:r>
                    <w:rPr>
                      <w:rFonts w:ascii="仿宋_GB2312" w:hAnsi="仿宋_GB2312" w:cs="仿宋_GB2312" w:eastAsia="仿宋_GB2312"/>
                      <w:sz w:val="24"/>
                    </w:rPr>
                    <w:t>3.要求分析功能包括数据建模、数据分析、数据卡片、仪表板等子模块，支持数据分析内容的发布和授权。</w:t>
                  </w:r>
                </w:p>
                <w:p>
                  <w:pPr>
                    <w:pStyle w:val="null3"/>
                    <w:jc w:val="both"/>
                  </w:pPr>
                  <w:r>
                    <w:rPr>
                      <w:rFonts w:ascii="仿宋_GB2312" w:hAnsi="仿宋_GB2312" w:cs="仿宋_GB2312" w:eastAsia="仿宋_GB2312"/>
                      <w:sz w:val="24"/>
                    </w:rPr>
                    <w:t>4.系统要求为B/S架构，浏览器可访问，无需安装任何客户端。</w:t>
                  </w:r>
                </w:p>
                <w:p>
                  <w:pPr>
                    <w:pStyle w:val="null3"/>
                    <w:jc w:val="both"/>
                  </w:pPr>
                  <w:r>
                    <w:rPr>
                      <w:rFonts w:ascii="仿宋_GB2312" w:hAnsi="仿宋_GB2312" w:cs="仿宋_GB2312" w:eastAsia="仿宋_GB2312"/>
                      <w:sz w:val="24"/>
                      <w:b/>
                    </w:rPr>
                    <w:t>（二）功能参数要求</w:t>
                  </w:r>
                </w:p>
                <w:p>
                  <w:pPr>
                    <w:pStyle w:val="null3"/>
                    <w:jc w:val="both"/>
                  </w:pPr>
                  <w:r>
                    <w:rPr>
                      <w:rFonts w:ascii="仿宋_GB2312" w:hAnsi="仿宋_GB2312" w:cs="仿宋_GB2312" w:eastAsia="仿宋_GB2312"/>
                      <w:sz w:val="24"/>
                      <w:b/>
                    </w:rPr>
                    <w:t>1）数据建模</w:t>
                  </w:r>
                </w:p>
                <w:p>
                  <w:pPr>
                    <w:pStyle w:val="null3"/>
                    <w:jc w:val="both"/>
                  </w:pPr>
                  <w:r>
                    <w:rPr>
                      <w:rFonts w:ascii="仿宋_GB2312" w:hAnsi="仿宋_GB2312" w:cs="仿宋_GB2312" w:eastAsia="仿宋_GB2312"/>
                      <w:sz w:val="24"/>
                    </w:rPr>
                    <w:t>数据建模用于抽取原始数据，并构建数据模型，建立数据表之间的关联关系，为数据分析和数据卡片进行准备。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1.大数据分析平台的数据源类型应支持：业务实体、当前数据中心、数据库、平面数据文件、OpenAPI。其中业务实体可选择ERP系统中根据实际业务场景封装好的实体。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2.数据库要求支持多种类型，至少包含：SQL Server、ORACLE、MySQL、PostgreSQL、DB2、HIVE、HANA、TiDB、DM、GaussDB等。</w:t>
                  </w:r>
                </w:p>
                <w:p>
                  <w:pPr>
                    <w:pStyle w:val="null3"/>
                    <w:jc w:val="both"/>
                  </w:pPr>
                  <w:r>
                    <w:rPr>
                      <w:rFonts w:ascii="仿宋_GB2312" w:hAnsi="仿宋_GB2312" w:cs="仿宋_GB2312" w:eastAsia="仿宋_GB2312"/>
                      <w:sz w:val="24"/>
                    </w:rPr>
                    <w:t>3.平面数据文件类型要求支持Excel、TXT、CSV；开放型接口要求支持OpenAPI。</w:t>
                  </w:r>
                </w:p>
                <w:p>
                  <w:pPr>
                    <w:pStyle w:val="null3"/>
                    <w:jc w:val="both"/>
                  </w:pPr>
                  <w:r>
                    <w:rPr>
                      <w:rFonts w:ascii="仿宋_GB2312" w:hAnsi="仿宋_GB2312" w:cs="仿宋_GB2312" w:eastAsia="仿宋_GB2312"/>
                      <w:sz w:val="24"/>
                    </w:rPr>
                    <w:t>4.建立数据表进行数据建模时，可提供表、自定义SQL、自定义KSQL、存储过程方式等四种获取数据。</w:t>
                  </w:r>
                </w:p>
                <w:p>
                  <w:pPr>
                    <w:pStyle w:val="null3"/>
                    <w:jc w:val="both"/>
                  </w:pPr>
                  <w:r>
                    <w:rPr>
                      <w:rFonts w:ascii="仿宋_GB2312" w:hAnsi="仿宋_GB2312" w:cs="仿宋_GB2312" w:eastAsia="仿宋_GB2312"/>
                      <w:sz w:val="24"/>
                    </w:rPr>
                    <w:t>5.可在数据表页签中，对新建的数据表进行重新选择数据源、合并数据表、重新选择字段、新建计算字段等操作。</w:t>
                  </w:r>
                </w:p>
                <w:p>
                  <w:pPr>
                    <w:pStyle w:val="null3"/>
                    <w:jc w:val="both"/>
                  </w:pPr>
                  <w:r>
                    <w:rPr>
                      <w:rFonts w:ascii="仿宋_GB2312" w:hAnsi="仿宋_GB2312" w:cs="仿宋_GB2312" w:eastAsia="仿宋_GB2312"/>
                      <w:sz w:val="24"/>
                    </w:rPr>
                    <w:t>6.可在数据建模中建立多个数据表间的逻辑关系，每个数据表可以来自不同类型的数据源；两表之间的关联支持一对一、一对多和多对种关系等。</w:t>
                  </w:r>
                </w:p>
                <w:p>
                  <w:pPr>
                    <w:pStyle w:val="null3"/>
                    <w:jc w:val="both"/>
                  </w:pPr>
                  <w:r>
                    <w:rPr>
                      <w:rFonts w:ascii="仿宋_GB2312" w:hAnsi="仿宋_GB2312" w:cs="仿宋_GB2312" w:eastAsia="仿宋_GB2312"/>
                      <w:sz w:val="24"/>
                      <w:b/>
                    </w:rPr>
                    <w:t>2）数据分析</w:t>
                  </w:r>
                </w:p>
                <w:p>
                  <w:pPr>
                    <w:pStyle w:val="null3"/>
                    <w:jc w:val="both"/>
                  </w:pPr>
                  <w:r>
                    <w:rPr>
                      <w:rFonts w:ascii="仿宋_GB2312" w:hAnsi="仿宋_GB2312" w:cs="仿宋_GB2312" w:eastAsia="仿宋_GB2312"/>
                      <w:sz w:val="24"/>
                    </w:rPr>
                    <w:t>1.数据分析界面的字段区域应列出在数据建模中选择的所有字段，并按数据表名称进行分组。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2.图表类型区域应支持多种图表类型，至少包含：表格、柱形图、堆积柱形图、折线图、多系列折线图、面积图、饼图、热力图、树图、散点/气泡图。切换图表类型后，功能区中的字段应智能调整。</w:t>
                  </w:r>
                </w:p>
                <w:p>
                  <w:pPr>
                    <w:pStyle w:val="null3"/>
                    <w:jc w:val="both"/>
                  </w:pPr>
                  <w:r>
                    <w:rPr>
                      <w:rFonts w:ascii="仿宋_GB2312" w:hAnsi="仿宋_GB2312" w:cs="仿宋_GB2312" w:eastAsia="仿宋_GB2312"/>
                      <w:sz w:val="24"/>
                    </w:rPr>
                    <w:t>3.热力图可通过面积大小、颜色深浅快速可视化区分数据的不同；树图可直观地以面积表示数值大小，以颜色表示类目。</w:t>
                  </w:r>
                </w:p>
                <w:p>
                  <w:pPr>
                    <w:pStyle w:val="null3"/>
                    <w:jc w:val="both"/>
                  </w:pPr>
                  <w:r>
                    <w:rPr>
                      <w:rFonts w:ascii="仿宋_GB2312" w:hAnsi="仿宋_GB2312" w:cs="仿宋_GB2312" w:eastAsia="仿宋_GB2312"/>
                      <w:sz w:val="24"/>
                      <w:b/>
                    </w:rPr>
                    <w:t>3）数据卡片</w:t>
                  </w:r>
                </w:p>
                <w:p>
                  <w:pPr>
                    <w:pStyle w:val="null3"/>
                    <w:jc w:val="both"/>
                  </w:pPr>
                  <w:r>
                    <w:rPr>
                      <w:rFonts w:ascii="仿宋_GB2312" w:hAnsi="仿宋_GB2312" w:cs="仿宋_GB2312" w:eastAsia="仿宋_GB2312"/>
                      <w:sz w:val="24"/>
                    </w:rPr>
                    <w:t>1.数据卡片页面应包含字段区域、图表类型区域、功能区域、卡片预览区域和属性设置区域等。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2.数据卡片应支持多种图表类型，至少包含：柱形图、条形图、折线图、面积图、饼图、业务指标、地图、雷达图、进度图、仪表图、列表、组合图、环形图等。</w:t>
                  </w:r>
                </w:p>
                <w:p>
                  <w:pPr>
                    <w:pStyle w:val="null3"/>
                    <w:jc w:val="both"/>
                  </w:pPr>
                  <w:r>
                    <w:rPr>
                      <w:rFonts w:ascii="仿宋_GB2312" w:hAnsi="仿宋_GB2312" w:cs="仿宋_GB2312" w:eastAsia="仿宋_GB2312"/>
                      <w:sz w:val="24"/>
                    </w:rPr>
                    <w:t>3.用户可以简单拖拽方式自由创作各种数据可视化卡片，并利用属性设置区域对图例、数据标签、标题、数字格式、参考线等内容进行设置。</w:t>
                  </w:r>
                </w:p>
                <w:p>
                  <w:pPr>
                    <w:pStyle w:val="null3"/>
                    <w:jc w:val="both"/>
                  </w:pPr>
                  <w:r>
                    <w:rPr>
                      <w:rFonts w:ascii="仿宋_GB2312" w:hAnsi="仿宋_GB2312" w:cs="仿宋_GB2312" w:eastAsia="仿宋_GB2312"/>
                      <w:sz w:val="24"/>
                    </w:rPr>
                    <w:t>4.柱状图、堆积图、条形图、饼图、趋势图等图表类型可自定义数据钻取维度；</w:t>
                  </w:r>
                </w:p>
                <w:p>
                  <w:pPr>
                    <w:pStyle w:val="null3"/>
                    <w:jc w:val="both"/>
                  </w:pPr>
                  <w:r>
                    <w:rPr>
                      <w:rFonts w:ascii="仿宋_GB2312" w:hAnsi="仿宋_GB2312" w:cs="仿宋_GB2312" w:eastAsia="仿宋_GB2312"/>
                      <w:sz w:val="24"/>
                    </w:rPr>
                    <w:t>5.地图类型要求提供中国省份地图模板，可进行不同省份的地域映射设置。</w:t>
                  </w:r>
                </w:p>
                <w:p>
                  <w:pPr>
                    <w:pStyle w:val="null3"/>
                    <w:jc w:val="both"/>
                  </w:pPr>
                  <w:r>
                    <w:rPr>
                      <w:rFonts w:ascii="仿宋_GB2312" w:hAnsi="仿宋_GB2312" w:cs="仿宋_GB2312" w:eastAsia="仿宋_GB2312"/>
                      <w:sz w:val="24"/>
                    </w:rPr>
                    <w:t>6.仪表图类型可设置表盘刻度范围、分刻度颜色，提供多种风格和标签显示模式，</w:t>
                  </w:r>
                  <w:r>
                    <w:rPr>
                      <w:rFonts w:ascii="仿宋_GB2312" w:hAnsi="仿宋_GB2312" w:cs="仿宋_GB2312" w:eastAsia="仿宋_GB2312"/>
                      <w:sz w:val="24"/>
                    </w:rPr>
                    <w:t>可</w:t>
                  </w:r>
                  <w:r>
                    <w:rPr>
                      <w:rFonts w:ascii="仿宋_GB2312" w:hAnsi="仿宋_GB2312" w:cs="仿宋_GB2312" w:eastAsia="仿宋_GB2312"/>
                      <w:sz w:val="24"/>
                    </w:rPr>
                    <w:t>即时获知当前数值是否处于警戒状态。</w:t>
                  </w:r>
                </w:p>
                <w:p>
                  <w:pPr>
                    <w:pStyle w:val="null3"/>
                    <w:jc w:val="both"/>
                  </w:pPr>
                  <w:r>
                    <w:rPr>
                      <w:rFonts w:ascii="仿宋_GB2312" w:hAnsi="仿宋_GB2312" w:cs="仿宋_GB2312" w:eastAsia="仿宋_GB2312"/>
                      <w:sz w:val="24"/>
                      <w:b/>
                    </w:rPr>
                    <w:t>4）仪表板功能</w:t>
                  </w:r>
                </w:p>
                <w:p>
                  <w:pPr>
                    <w:pStyle w:val="null3"/>
                    <w:jc w:val="both"/>
                  </w:pPr>
                  <w:r>
                    <w:rPr>
                      <w:rFonts w:ascii="仿宋_GB2312" w:hAnsi="仿宋_GB2312" w:cs="仿宋_GB2312" w:eastAsia="仿宋_GB2312"/>
                      <w:sz w:val="24"/>
                    </w:rPr>
                    <w:t>1.系统支持将仪表板发布到应用菜单和分析中心，并授权给指定用户或角色；仪表板支持大屏展现，应现场全屏展示。</w:t>
                  </w:r>
                </w:p>
                <w:p>
                  <w:pPr>
                    <w:pStyle w:val="null3"/>
                    <w:jc w:val="both"/>
                  </w:pPr>
                  <w:r>
                    <w:rPr>
                      <w:rFonts w:ascii="仿宋_GB2312" w:hAnsi="仿宋_GB2312" w:cs="仿宋_GB2312" w:eastAsia="仿宋_GB2312"/>
                      <w:sz w:val="24"/>
                    </w:rPr>
                    <w:t>2.可根据显示大屏的大小自定义仪表板的大小，可添加背景图片；仪表板提供多种外观风格以适应大屏展示的用户体验。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3.仪表板上可自定义图表组件的数据定时更新频率，可设置图表组件的位置、大小。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工业大数据实践教学平台</w:t>
                  </w:r>
                  <w:r>
                    <w:rPr>
                      <w:rFonts w:ascii="仿宋_GB2312" w:hAnsi="仿宋_GB2312" w:cs="仿宋_GB2312" w:eastAsia="仿宋_GB2312"/>
                      <w:sz w:val="24"/>
                      <w:b/>
                    </w:rPr>
                    <w:t>--</w:t>
                  </w:r>
                  <w:r>
                    <w:rPr>
                      <w:rFonts w:ascii="仿宋_GB2312" w:hAnsi="仿宋_GB2312" w:cs="仿宋_GB2312" w:eastAsia="仿宋_GB2312"/>
                      <w:sz w:val="24"/>
                      <w:b/>
                    </w:rPr>
                    <w:t>大数据</w:t>
                  </w:r>
                  <w:r>
                    <w:rPr>
                      <w:rFonts w:ascii="仿宋_GB2312" w:hAnsi="仿宋_GB2312" w:cs="仿宋_GB2312" w:eastAsia="仿宋_GB2312"/>
                      <w:sz w:val="24"/>
                      <w:b/>
                    </w:rPr>
                    <w:t>处理实践系统</w:t>
                  </w:r>
                </w:p>
              </w:tc>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系统</w:t>
                  </w:r>
                  <w:r>
                    <w:rPr>
                      <w:rFonts w:ascii="仿宋_GB2312" w:hAnsi="仿宋_GB2312" w:cs="仿宋_GB2312" w:eastAsia="仿宋_GB2312"/>
                      <w:sz w:val="24"/>
                      <w:b/>
                    </w:rPr>
                    <w:t>为</w:t>
                  </w:r>
                  <w:r>
                    <w:rPr>
                      <w:rFonts w:ascii="仿宋_GB2312" w:hAnsi="仿宋_GB2312" w:cs="仿宋_GB2312" w:eastAsia="仿宋_GB2312"/>
                      <w:sz w:val="24"/>
                      <w:b/>
                    </w:rPr>
                    <w:t>B/S架构</w:t>
                  </w:r>
                </w:p>
                <w:p>
                  <w:pPr>
                    <w:pStyle w:val="null3"/>
                    <w:jc w:val="both"/>
                  </w:pPr>
                  <w:r>
                    <w:rPr>
                      <w:rFonts w:ascii="仿宋_GB2312" w:hAnsi="仿宋_GB2312" w:cs="仿宋_GB2312" w:eastAsia="仿宋_GB2312"/>
                      <w:sz w:val="24"/>
                      <w:b/>
                    </w:rPr>
                    <w:t>（一）大数据采集配置</w:t>
                  </w:r>
                </w:p>
                <w:p>
                  <w:pPr>
                    <w:pStyle w:val="null3"/>
                    <w:jc w:val="both"/>
                  </w:pPr>
                  <w:r>
                    <w:rPr>
                      <w:rFonts w:ascii="仿宋_GB2312" w:hAnsi="仿宋_GB2312" w:cs="仿宋_GB2312" w:eastAsia="仿宋_GB2312"/>
                      <w:sz w:val="24"/>
                    </w:rPr>
                    <w:t>1.大数据采集配置提供自定义数据源、自定义采集代码、采集参数的功能，可实现网络数据采集功能的扩展。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2.自定义数据源中可根据采集需求定义数据源的名称、地址；可自定义采集的变量参数，提供文本类型和下拉类型两种添加模式。</w:t>
                  </w:r>
                </w:p>
                <w:p>
                  <w:pPr>
                    <w:pStyle w:val="null3"/>
                    <w:jc w:val="both"/>
                  </w:pPr>
                  <w:r>
                    <w:rPr>
                      <w:rFonts w:ascii="仿宋_GB2312" w:hAnsi="仿宋_GB2312" w:cs="仿宋_GB2312" w:eastAsia="仿宋_GB2312"/>
                      <w:sz w:val="24"/>
                    </w:rPr>
                    <w:t>3.在自定义采集场景中可自行添加</w:t>
                  </w:r>
                  <w:r>
                    <w:rPr>
                      <w:rFonts w:ascii="仿宋_GB2312" w:hAnsi="仿宋_GB2312" w:cs="仿宋_GB2312" w:eastAsia="仿宋_GB2312"/>
                      <w:sz w:val="24"/>
                    </w:rPr>
                    <w:t>Python</w:t>
                  </w:r>
                  <w:r>
                    <w:rPr>
                      <w:rFonts w:ascii="仿宋_GB2312" w:hAnsi="仿宋_GB2312" w:cs="仿宋_GB2312" w:eastAsia="仿宋_GB2312"/>
                      <w:sz w:val="24"/>
                    </w:rPr>
                    <w:t>采集代码，与定义的参数变量相配合，实现大数据的采集。</w:t>
                  </w:r>
                </w:p>
                <w:p>
                  <w:pPr>
                    <w:pStyle w:val="null3"/>
                    <w:jc w:val="both"/>
                  </w:pPr>
                  <w:r>
                    <w:rPr>
                      <w:rFonts w:ascii="仿宋_GB2312" w:hAnsi="仿宋_GB2312" w:cs="仿宋_GB2312" w:eastAsia="仿宋_GB2312"/>
                      <w:sz w:val="24"/>
                    </w:rPr>
                    <w:t>4.采集管理提供查看、预览（代码试运行调试）、启用、禁用、删除等功能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（二）大数据采集</w:t>
                  </w:r>
                </w:p>
                <w:p>
                  <w:pPr>
                    <w:pStyle w:val="null3"/>
                    <w:jc w:val="both"/>
                  </w:pPr>
                  <w:r>
                    <w:rPr>
                      <w:rFonts w:ascii="仿宋_GB2312" w:hAnsi="仿宋_GB2312" w:cs="仿宋_GB2312" w:eastAsia="仿宋_GB2312"/>
                      <w:sz w:val="24"/>
                    </w:rPr>
                    <w:t>1.系统内置企业财务报表采集功能、电商平台评论数据采集功能、电商产品列表数据采集、多企业财务报表采集等算法功能，学生可直接利用这些采集算法完成相关的采集教学。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大数据采集模块支持系统内置的可配置式采集算法，支持纯代码方式自定义采集算法。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3.要求内置的采集算法不用编写代码，直接通过修改参数值即可进行数据采集；至少支持企业财务报表采集、电商平台评论数据采集、电商产品列表数据采集、多企业财务报表数据采集。</w:t>
                  </w:r>
                </w:p>
                <w:p>
                  <w:pPr>
                    <w:pStyle w:val="null3"/>
                    <w:jc w:val="both"/>
                  </w:pPr>
                  <w:r>
                    <w:rPr>
                      <w:rFonts w:ascii="仿宋_GB2312" w:hAnsi="仿宋_GB2312" w:cs="仿宋_GB2312" w:eastAsia="仿宋_GB2312"/>
                      <w:sz w:val="24"/>
                    </w:rPr>
                    <w:t>4.要求内置的财务报表采集功能中至少支持一个外部数据源的上市公司财务报表采集，可自行定义采集的企业、设置多个年份、选择三大报表类型。</w:t>
                  </w:r>
                </w:p>
                <w:p>
                  <w:pPr>
                    <w:pStyle w:val="null3"/>
                    <w:jc w:val="both"/>
                  </w:pPr>
                  <w:r>
                    <w:rPr>
                      <w:rFonts w:ascii="仿宋_GB2312" w:hAnsi="仿宋_GB2312" w:cs="仿宋_GB2312" w:eastAsia="仿宋_GB2312"/>
                      <w:sz w:val="24"/>
                      <w:b/>
                    </w:rPr>
                    <w:t>（三）大数据处理</w:t>
                  </w:r>
                </w:p>
                <w:p>
                  <w:pPr>
                    <w:pStyle w:val="null3"/>
                    <w:jc w:val="both"/>
                  </w:pPr>
                  <w:r>
                    <w:rPr>
                      <w:rFonts w:ascii="仿宋_GB2312" w:hAnsi="仿宋_GB2312" w:cs="仿宋_GB2312" w:eastAsia="仿宋_GB2312"/>
                      <w:sz w:val="24"/>
                    </w:rPr>
                    <w:t>1.数据处理模块要求既能提供封装好的大数据清洗、数据转换功能，也能提供纯代码方式的</w:t>
                  </w:r>
                  <w:r>
                    <w:rPr>
                      <w:rFonts w:ascii="仿宋_GB2312" w:hAnsi="仿宋_GB2312" w:cs="仿宋_GB2312" w:eastAsia="仿宋_GB2312"/>
                      <w:sz w:val="24"/>
                    </w:rPr>
                    <w:t>Python</w:t>
                  </w:r>
                  <w:r>
                    <w:rPr>
                      <w:rFonts w:ascii="仿宋_GB2312" w:hAnsi="仿宋_GB2312" w:cs="仿宋_GB2312" w:eastAsia="仿宋_GB2312"/>
                      <w:sz w:val="24"/>
                    </w:rPr>
                    <w:t>数据处理算法编写。</w:t>
                  </w:r>
                </w:p>
                <w:p>
                  <w:pPr>
                    <w:pStyle w:val="null3"/>
                    <w:jc w:val="both"/>
                  </w:pPr>
                  <w:r>
                    <w:rPr>
                      <w:rFonts w:ascii="仿宋_GB2312" w:hAnsi="仿宋_GB2312" w:cs="仿宋_GB2312" w:eastAsia="仿宋_GB2312"/>
                      <w:sz w:val="24"/>
                    </w:rPr>
                    <w:t>2.数据清洗功能采用向导模式，可自行添加或删除处理规则，支持单条或多条规则连续执行清洗；可通过重置数据恢复后重新处理。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3.数据清洗支持全局清洗和局部清洗：全局清洗支持对重复数据删除、空格清理、非法字符清理、字符替换等；局部清洗支持针对某列字段删除、特定字符替换、字符分割、字段合并等。</w:t>
                  </w:r>
                </w:p>
                <w:p>
                  <w:pPr>
                    <w:pStyle w:val="null3"/>
                    <w:jc w:val="both"/>
                  </w:pPr>
                  <w:r>
                    <w:rPr>
                      <w:rFonts w:ascii="仿宋_GB2312" w:hAnsi="仿宋_GB2312" w:cs="仿宋_GB2312" w:eastAsia="仿宋_GB2312"/>
                      <w:sz w:val="24"/>
                    </w:rPr>
                    <w:t>4.数据清洗支持缺失值插补功能，可采用按默认值补缺、按均值插补的方式，也可将空缺失值删除。</w:t>
                  </w:r>
                </w:p>
                <w:p>
                  <w:pPr>
                    <w:pStyle w:val="null3"/>
                    <w:jc w:val="both"/>
                  </w:pPr>
                  <w:r>
                    <w:rPr>
                      <w:rFonts w:ascii="仿宋_GB2312" w:hAnsi="仿宋_GB2312" w:cs="仿宋_GB2312" w:eastAsia="仿宋_GB2312"/>
                      <w:sz w:val="24"/>
                    </w:rPr>
                    <w:t>5.数据转换提供长度统一转换、日期格式转换功能；要求能提供非结构化数据到结构化数据转换的封装功能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6.要求能提供纯代码方式的</w:t>
                  </w:r>
                  <w:r>
                    <w:rPr>
                      <w:rFonts w:ascii="仿宋_GB2312" w:hAnsi="仿宋_GB2312" w:cs="仿宋_GB2312" w:eastAsia="仿宋_GB2312"/>
                      <w:sz w:val="24"/>
                    </w:rPr>
                    <w:t>Python</w:t>
                  </w:r>
                  <w:r>
                    <w:rPr>
                      <w:rFonts w:ascii="仿宋_GB2312" w:hAnsi="仿宋_GB2312" w:cs="仿宋_GB2312" w:eastAsia="仿宋_GB2312"/>
                      <w:sz w:val="24"/>
                    </w:rPr>
                    <w:t>数据处理功能，用户可自行编写大数据处理算法</w:t>
                  </w:r>
                  <w:r>
                    <w:rPr>
                      <w:rFonts w:ascii="仿宋_GB2312" w:hAnsi="仿宋_GB2312" w:cs="仿宋_GB2312" w:eastAsia="仿宋_GB2312"/>
                      <w:sz w:val="24"/>
                    </w:rPr>
                    <w:t>，</w:t>
                  </w:r>
                  <w:r>
                    <w:rPr>
                      <w:rFonts w:ascii="仿宋_GB2312" w:hAnsi="仿宋_GB2312" w:cs="仿宋_GB2312" w:eastAsia="仿宋_GB2312"/>
                      <w:sz w:val="24"/>
                    </w:rPr>
                    <w:t>运行后提供数据处理结果查看和输出控制台。</w:t>
                  </w:r>
                </w:p>
                <w:p>
                  <w:pPr>
                    <w:pStyle w:val="null3"/>
                    <w:jc w:val="both"/>
                  </w:pPr>
                  <w:r>
                    <w:rPr>
                      <w:rFonts w:ascii="仿宋_GB2312" w:hAnsi="仿宋_GB2312" w:cs="仿宋_GB2312" w:eastAsia="仿宋_GB2312"/>
                      <w:sz w:val="24"/>
                      <w:b/>
                    </w:rPr>
                    <w:t>（四）大数据挖掘</w:t>
                  </w:r>
                </w:p>
                <w:p>
                  <w:pPr>
                    <w:pStyle w:val="null3"/>
                    <w:jc w:val="both"/>
                  </w:pPr>
                  <w:r>
                    <w:rPr>
                      <w:rFonts w:ascii="仿宋_GB2312" w:hAnsi="仿宋_GB2312" w:cs="仿宋_GB2312" w:eastAsia="仿宋_GB2312"/>
                      <w:sz w:val="24"/>
                    </w:rPr>
                    <w:t>1.大数据挖掘要求至少提供回归、分类、聚类、文本处理等的挖掘分析算法。</w:t>
                  </w:r>
                </w:p>
                <w:p>
                  <w:pPr>
                    <w:pStyle w:val="null3"/>
                    <w:jc w:val="both"/>
                  </w:pPr>
                  <w:r>
                    <w:rPr>
                      <w:rFonts w:ascii="仿宋_GB2312" w:hAnsi="仿宋_GB2312" w:cs="仿宋_GB2312" w:eastAsia="仿宋_GB2312"/>
                      <w:sz w:val="24"/>
                    </w:rPr>
                    <w:t>2.回归大类算法中要求内置线性回归、岭回归、多项式回归、SVM等算法；分类大类中要求内置最近邻KNN、决策树、逻辑回归、朴素贝叶斯、SVM等算法；聚类大类中要求内置K-means算法；文本大类中要求内置词云算法。</w:t>
                  </w:r>
                </w:p>
                <w:p>
                  <w:pPr>
                    <w:pStyle w:val="null3"/>
                    <w:jc w:val="both"/>
                  </w:pPr>
                  <w:r>
                    <w:rPr>
                      <w:rFonts w:ascii="仿宋_GB2312" w:hAnsi="仿宋_GB2312" w:cs="仿宋_GB2312" w:eastAsia="仿宋_GB2312"/>
                      <w:sz w:val="24"/>
                    </w:rPr>
                    <w:t>3.每种内置算法应支持关键参数设置，包括但不限于正则系数、核函数、K值、距离公式、criterion、最大深度等核心参数，满足不同数据挖掘场景的调优需求。</w:t>
                  </w:r>
                </w:p>
                <w:p>
                  <w:pPr>
                    <w:pStyle w:val="null3"/>
                    <w:jc w:val="both"/>
                  </w:pPr>
                  <w:r>
                    <w:rPr>
                      <w:rFonts w:ascii="仿宋_GB2312" w:hAnsi="仿宋_GB2312" w:cs="仿宋_GB2312" w:eastAsia="仿宋_GB2312"/>
                      <w:sz w:val="24"/>
                    </w:rPr>
                    <w:t>4.针对每种内置算法，要求可支持对挖掘分析的数据导入并提供数据预览功能；可查阅源代码方便用户学习算法逻辑。</w:t>
                  </w:r>
                </w:p>
                <w:p>
                  <w:pPr>
                    <w:pStyle w:val="null3"/>
                    <w:jc w:val="both"/>
                  </w:pPr>
                  <w:r>
                    <w:rPr>
                      <w:rFonts w:ascii="仿宋_GB2312" w:hAnsi="仿宋_GB2312" w:cs="仿宋_GB2312" w:eastAsia="仿宋_GB2312"/>
                      <w:sz w:val="24"/>
                    </w:rPr>
                    <w:t>5.内置算法中要求提供模型构建功能和数据预测功能。</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工业大数据实践教学平台</w:t>
                  </w:r>
                  <w:r>
                    <w:rPr>
                      <w:rFonts w:ascii="仿宋_GB2312" w:hAnsi="仿宋_GB2312" w:cs="仿宋_GB2312" w:eastAsia="仿宋_GB2312"/>
                      <w:sz w:val="24"/>
                      <w:b/>
                    </w:rPr>
                    <w:t>--智能教学案例管理系统（核心产品）</w:t>
                  </w:r>
                </w:p>
              </w:tc>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一、教学辅助功能区分教学教学平台和学生学习平台两个端口，以便师生顺利开展教学活动。</w:t>
                  </w:r>
                </w:p>
                <w:p>
                  <w:pPr>
                    <w:pStyle w:val="null3"/>
                    <w:jc w:val="both"/>
                  </w:pPr>
                  <w:r>
                    <w:rPr>
                      <w:rFonts w:ascii="仿宋_GB2312" w:hAnsi="仿宋_GB2312" w:cs="仿宋_GB2312" w:eastAsia="仿宋_GB2312"/>
                      <w:sz w:val="24"/>
                    </w:rPr>
                    <w:t>1.教学平台可统计平台课程数量、校内课程数量、进行中的教学班、已完成的教学班，以便快速选择教学班上课。</w:t>
                  </w:r>
                </w:p>
                <w:p>
                  <w:pPr>
                    <w:pStyle w:val="null3"/>
                    <w:jc w:val="both"/>
                  </w:pPr>
                  <w:r>
                    <w:rPr>
                      <w:rFonts w:ascii="仿宋_GB2312" w:hAnsi="仿宋_GB2312" w:cs="仿宋_GB2312" w:eastAsia="仿宋_GB2312"/>
                      <w:sz w:val="24"/>
                    </w:rPr>
                    <w:t>2.课程管理可以查看课程设置的随堂练习卷，教学班支持对教学班进行编辑、发布、删除，按教学班的状态分类显示教学班，教学班信息可按卡片形式显示也可按列表形式显示。</w:t>
                  </w:r>
                </w:p>
                <w:p>
                  <w:pPr>
                    <w:pStyle w:val="null3"/>
                    <w:jc w:val="both"/>
                  </w:pPr>
                  <w:r>
                    <w:rPr>
                      <w:rFonts w:ascii="仿宋_GB2312" w:hAnsi="仿宋_GB2312" w:cs="仿宋_GB2312" w:eastAsia="仿宋_GB2312"/>
                      <w:sz w:val="24"/>
                    </w:rPr>
                    <w:t>3.教师可以发布随堂练习和课堂实训、考试。同时可以设置考试时间段、考试时长、成绩发布状态、答案及解析状态，人脸识别状态后发布考试，教学班下的学生都可以进入考试。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考试管理支持的理论题库题型包括：单选题、多选题、判断题、填空题、简答题、思维导图题、流程题、作图题、连线题、综合题。实务题库包含不判分的任务、</w:t>
                  </w:r>
                  <w:r>
                    <w:rPr>
                      <w:rFonts w:ascii="仿宋_GB2312" w:hAnsi="仿宋_GB2312" w:cs="仿宋_GB2312" w:eastAsia="仿宋_GB2312"/>
                      <w:sz w:val="24"/>
                    </w:rPr>
                    <w:t>sql判分任务、代码判分任务、ERP系统判分任务等多种实训类型的任务</w:t>
                  </w:r>
                </w:p>
                <w:p>
                  <w:pPr>
                    <w:pStyle w:val="null3"/>
                    <w:jc w:val="both"/>
                  </w:pPr>
                  <w:r>
                    <w:rPr>
                      <w:rFonts w:ascii="仿宋_GB2312" w:hAnsi="仿宋_GB2312" w:cs="仿宋_GB2312" w:eastAsia="仿宋_GB2312"/>
                      <w:sz w:val="24"/>
                    </w:rPr>
                    <w:t>5.考试管理具备视频观看功能，针对打开实时进行的考试，老师可以视频观看学生的状态</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、工业企业大数据案例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教学课程需包含工业大数据概述的教学内容，介绍工业</w:t>
                  </w:r>
                  <w:r>
                    <w:rPr>
                      <w:rFonts w:ascii="仿宋_GB2312" w:hAnsi="仿宋_GB2312" w:cs="仿宋_GB2312" w:eastAsia="仿宋_GB2312"/>
                      <w:sz w:val="24"/>
                    </w:rPr>
                    <w:t>4.0和数字化转型，物联网、云计算、人工智能、自动化技术的相关内容；介绍工业大数据的应用场景，至少包含促进研发能力提升、生产过程优化、故障预测与维护、质量控制与追溯、供应链优化、智能制造、数字化营销等内容。课程内容需包含工业大数据的特点和关键技术介绍，至少包括4V特征（大规模、速度快、类型杂、低质量）及多模态、强关联、高通量特征等；关键技术至少包括数据采集与传输、数据存储与管理、数据预处理与清洗、数据分析与挖掘、实时处理与边缘计算、数据可视化与可视分析、安全与隐私保护、云计算与容器技术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案例背景为体现当前先进的人工智能技术和具身智能机器人的研发、制造、销售为一体的高科技创新企业，包含完整的组织架构（涵盖采购部、物料仓储部、研发部、生产计划部、总装车间、质检部门、售后维修、财务部门、销售事业部等）和业务模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案例中应介绍企业数据的来源，包含生产经营相关数据（如企业资源计划系统</w:t>
                  </w:r>
                  <w:r>
                    <w:rPr>
                      <w:rFonts w:ascii="仿宋_GB2312" w:hAnsi="仿宋_GB2312" w:cs="仿宋_GB2312" w:eastAsia="仿宋_GB2312"/>
                      <w:sz w:val="24"/>
                    </w:rPr>
                    <w:t>ERP、产品生命周期系统PLM、供应链管理系统SCM、客户关系管理系统SCRM和环境管理系统EMS等）、设备物联数据（如工业设备和生产线上传感器采集的数据）、外部数据（如天气数据、市场趋势、原材料价格等）。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数据采集任务中提供</w:t>
                  </w:r>
                  <w:r>
                    <w:rPr>
                      <w:rFonts w:ascii="仿宋_GB2312" w:hAnsi="仿宋_GB2312" w:cs="仿宋_GB2312" w:eastAsia="仿宋_GB2312"/>
                      <w:sz w:val="24"/>
                    </w:rPr>
                    <w:t>WebAPI在线测试功能，可查看接口参数说明及调用示例，可对WebAPI接口进行测试调用，输入代码进行接口验证并查看单据数据字段说明；提供Python脚本文件任务，获取生产订单数据，掌握从ERP系统中采集数据的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案例教学模块应需含至少以下核心工业大数据分析案例：产能分析、计划物料、生产进度管理、物料损耗管理、设备效能优化、设备故障诊断、设备预测性维护、企业环境监测、作业安全事故预测等。</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人工智能应用基础</w:t>
                  </w:r>
                  <w:r>
                    <w:rPr>
                      <w:rFonts w:ascii="仿宋_GB2312" w:hAnsi="仿宋_GB2312" w:cs="仿宋_GB2312" w:eastAsia="仿宋_GB2312"/>
                      <w:sz w:val="24"/>
                      <w:b/>
                    </w:rPr>
                    <w:t>实训平台</w:t>
                  </w:r>
                </w:p>
              </w:tc>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一、技术参数</w:t>
                  </w:r>
                </w:p>
                <w:p>
                  <w:pPr>
                    <w:pStyle w:val="null3"/>
                    <w:jc w:val="both"/>
                  </w:pPr>
                  <w:r>
                    <w:rPr>
                      <w:rFonts w:ascii="仿宋_GB2312" w:hAnsi="仿宋_GB2312" w:cs="仿宋_GB2312" w:eastAsia="仿宋_GB2312"/>
                      <w:sz w:val="24"/>
                    </w:rPr>
                    <w:t>1.AI评分。利用AI技术，对问答题、Python代码题、SQL代码题进行评分。根据教师预设的参考答案与评分规则，对学生答案进行精准、高效地评分，并详细展示评分过程与依据。问答题支持简单题型和复杂题型，简单题型为单一题干对应单一问题，复杂题型为单一题干对应多个子问题，对每个子问题进行独立评分，并汇总形成最终成绩，确保评分的全面性与准确性。</w:t>
                  </w:r>
                </w:p>
                <w:p>
                  <w:pPr>
                    <w:pStyle w:val="null3"/>
                    <w:jc w:val="both"/>
                  </w:pPr>
                  <w:r>
                    <w:rPr>
                      <w:rFonts w:ascii="仿宋_GB2312" w:hAnsi="仿宋_GB2312" w:cs="仿宋_GB2312" w:eastAsia="仿宋_GB2312"/>
                      <w:sz w:val="24"/>
                    </w:rPr>
                    <w:t>2.智能助学。提供基于大语言模型、知识库、智能体的多模式智能问答；提供问答收藏、分享、点赞功能；提供历史对话分析，生成词云图和词频统计数据；提供定制AI角色、性别、回答问题方案、个性；提供学情分析，通过分析学习数据，生成学习进度与知识点掌握情况，提出个性化建议；提供用户问题优化精灵，对用户输入的问题进行智能分析和优化，提供</w:t>
                  </w:r>
                  <w:r>
                    <w:rPr>
                      <w:rFonts w:ascii="仿宋_GB2312" w:hAnsi="仿宋_GB2312" w:cs="仿宋_GB2312" w:eastAsia="仿宋_GB2312"/>
                      <w:sz w:val="24"/>
                    </w:rPr>
                    <w:t>至少</w:t>
                  </w:r>
                  <w:r>
                    <w:rPr>
                      <w:rFonts w:ascii="仿宋_GB2312" w:hAnsi="仿宋_GB2312" w:cs="仿宋_GB2312" w:eastAsia="仿宋_GB2312"/>
                      <w:sz w:val="24"/>
                    </w:rPr>
                    <w:t>八</w:t>
                  </w:r>
                  <w:r>
                    <w:rPr>
                      <w:rFonts w:ascii="仿宋_GB2312" w:hAnsi="仿宋_GB2312" w:cs="仿宋_GB2312" w:eastAsia="仿宋_GB2312"/>
                      <w:sz w:val="24"/>
                    </w:rPr>
                    <w:t>个参考问题，从而提升</w:t>
                  </w:r>
                  <w:r>
                    <w:rPr>
                      <w:rFonts w:ascii="仿宋_GB2312" w:hAnsi="仿宋_GB2312" w:cs="仿宋_GB2312" w:eastAsia="仿宋_GB2312"/>
                      <w:sz w:val="24"/>
                    </w:rPr>
                    <w:t>AI的回答质量和交互体验。</w:t>
                  </w:r>
                  <w:r>
                    <w:rPr>
                      <w:rFonts w:ascii="仿宋_GB2312" w:hAnsi="仿宋_GB2312" w:cs="仿宋_GB2312" w:eastAsia="仿宋_GB2312"/>
                      <w:sz w:val="24"/>
                    </w:rPr>
                    <w:t>【</w:t>
                  </w:r>
                  <w:r>
                    <w:rPr>
                      <w:rFonts w:ascii="仿宋_GB2312" w:hAnsi="仿宋_GB2312" w:cs="仿宋_GB2312" w:eastAsia="仿宋_GB2312"/>
                      <w:sz w:val="24"/>
                    </w:rPr>
                    <w:t>本项需提供现场演示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提供完整的大语言模型微调过程，用户可自主选择基础模型、上传自定义语料或选用教师提供的标准语料数据；支持用户配置学习率、训练轮数、微调方法等关键训练参数，生成个性化微调模型的完整流程；集成模型对话测试功能，用户可对微调后的模型进行实时对话验证，评估模型效果。用户可根据服务器的性能，在真实微调与模拟微调之间进行切换。</w:t>
                  </w:r>
                  <w:r>
                    <w:rPr>
                      <w:rFonts w:ascii="仿宋_GB2312" w:hAnsi="仿宋_GB2312" w:cs="仿宋_GB2312" w:eastAsia="仿宋_GB2312"/>
                      <w:sz w:val="24"/>
                    </w:rPr>
                    <w:t>【</w:t>
                  </w:r>
                  <w:r>
                    <w:rPr>
                      <w:rFonts w:ascii="仿宋_GB2312" w:hAnsi="仿宋_GB2312" w:cs="仿宋_GB2312" w:eastAsia="仿宋_GB2312"/>
                      <w:sz w:val="24"/>
                    </w:rPr>
                    <w:t>本项需提供现场演示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二、功能参数</w:t>
                  </w:r>
                </w:p>
                <w:p>
                  <w:pPr>
                    <w:pStyle w:val="null3"/>
                    <w:jc w:val="both"/>
                  </w:pPr>
                  <w:r>
                    <w:rPr>
                      <w:rFonts w:ascii="仿宋_GB2312" w:hAnsi="仿宋_GB2312" w:cs="仿宋_GB2312" w:eastAsia="仿宋_GB2312"/>
                      <w:sz w:val="24"/>
                      <w:b/>
                    </w:rPr>
                    <w:t>（一）教师端</w:t>
                  </w:r>
                </w:p>
                <w:p>
                  <w:pPr>
                    <w:pStyle w:val="null3"/>
                    <w:jc w:val="both"/>
                  </w:pPr>
                  <w:r>
                    <w:rPr>
                      <w:rFonts w:ascii="仿宋_GB2312" w:hAnsi="仿宋_GB2312" w:cs="仿宋_GB2312" w:eastAsia="仿宋_GB2312"/>
                      <w:sz w:val="24"/>
                    </w:rPr>
                    <w:t>1.平台首页个性化仪表盘：支持教师根据使用习惯个性化配置快捷操作入口；集成实验看板可视化工具，实时</w:t>
                  </w:r>
                  <w:r>
                    <w:rPr>
                      <w:rFonts w:ascii="仿宋_GB2312" w:hAnsi="仿宋_GB2312" w:cs="仿宋_GB2312" w:eastAsia="仿宋_GB2312"/>
                      <w:sz w:val="24"/>
                    </w:rPr>
                    <w:t>观看</w:t>
                  </w:r>
                  <w:r>
                    <w:rPr>
                      <w:rFonts w:ascii="仿宋_GB2312" w:hAnsi="仿宋_GB2312" w:cs="仿宋_GB2312" w:eastAsia="仿宋_GB2312"/>
                      <w:sz w:val="24"/>
                    </w:rPr>
                    <w:t>与调控实验进程；提供灵活的开关控制，支持按需定制首页功能布局。</w:t>
                  </w:r>
                </w:p>
                <w:p>
                  <w:pPr>
                    <w:pStyle w:val="null3"/>
                    <w:jc w:val="both"/>
                  </w:pPr>
                  <w:r>
                    <w:rPr>
                      <w:rFonts w:ascii="仿宋_GB2312" w:hAnsi="仿宋_GB2312" w:cs="仿宋_GB2312" w:eastAsia="仿宋_GB2312"/>
                      <w:sz w:val="24"/>
                    </w:rPr>
                    <w:t>2.平台具备案例设计模板库，涵盖至少七大模板类别，包括富文本模板、场景模板、客观题模板、泳道图模板、数据3D透视模板、多功能教学创作模板、数字化工具通用模板等。其中，富文本模板支持快速排版图文、课件、设置超链接；场景模板支持角色对话情景教学，支持自定义场景图片、职位、角色、角色发言；泳道图模板支持拖拽式流程设计，实现自定义任务流程；数据3D透视模板支持货位优化等多场景3D交互，支持设置任务描述图文上传附件、设置超链接，支持开启学生规划结果上传功能；多功能教学创作模板支持设置任务描述图文上传附件、支持开启学生图片结果上传、开启作品社区，同时还支持视觉子模板设计，涵盖图文设计、H5设计、网店设计；数字化工具通用模板为综合工具集，涵盖内置数据可视化工具、BI互动决策、BI作品上传、Python引导式编程、Python自主编程、SQL代码、Excel下载答题、报告题，全面支撑实训任务。</w:t>
                  </w:r>
                  <w:r>
                    <w:rPr>
                      <w:rFonts w:ascii="仿宋_GB2312" w:hAnsi="仿宋_GB2312" w:cs="仿宋_GB2312" w:eastAsia="仿宋_GB2312"/>
                      <w:sz w:val="24"/>
                    </w:rPr>
                    <w:t>【</w:t>
                  </w:r>
                  <w:r>
                    <w:rPr>
                      <w:rFonts w:ascii="仿宋_GB2312" w:hAnsi="仿宋_GB2312" w:cs="仿宋_GB2312" w:eastAsia="仿宋_GB2312"/>
                      <w:sz w:val="24"/>
                    </w:rPr>
                    <w:t>本项需提供现场演示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3.成绩管理：可以查看学生实验和考试的成绩结果，并提供学习画像功能对考核结果进行深度可视化分析呈现，同时提供学习档案可以快速查找某个同学的学习成果。</w:t>
                  </w:r>
                </w:p>
                <w:p>
                  <w:pPr>
                    <w:pStyle w:val="null3"/>
                    <w:jc w:val="both"/>
                  </w:pPr>
                  <w:r>
                    <w:rPr>
                      <w:rFonts w:ascii="仿宋_GB2312" w:hAnsi="仿宋_GB2312" w:cs="仿宋_GB2312" w:eastAsia="仿宋_GB2312"/>
                      <w:sz w:val="24"/>
                      <w:b/>
                    </w:rPr>
                    <w:t>（二）学生操作系统</w:t>
                  </w:r>
                </w:p>
                <w:p>
                  <w:pPr>
                    <w:pStyle w:val="null3"/>
                    <w:jc w:val="both"/>
                  </w:pPr>
                  <w:r>
                    <w:rPr>
                      <w:rFonts w:ascii="仿宋_GB2312" w:hAnsi="仿宋_GB2312" w:cs="仿宋_GB2312" w:eastAsia="仿宋_GB2312"/>
                      <w:sz w:val="24"/>
                    </w:rPr>
                    <w:t>1.平台集“学、练、考、评”四大功能于一体，构建起一个全方位、立体化的学习生态体系。教师可依据课程进度灵活切换学习场景，确保教学活动的连贯性与针对性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2.采用项目导向型学习模式，将知识准备、知识考察、课堂实训、拓展实训等关键环节有机融合，形成理论与实践并重的教学闭环。提升其在实际场景中的应用能力。</w:t>
                  </w:r>
                </w:p>
                <w:p>
                  <w:pPr>
                    <w:pStyle w:val="null3"/>
                    <w:jc w:val="both"/>
                  </w:pPr>
                  <w:r>
                    <w:rPr>
                      <w:rFonts w:ascii="仿宋_GB2312" w:hAnsi="仿宋_GB2312" w:cs="仿宋_GB2312" w:eastAsia="仿宋_GB2312"/>
                      <w:sz w:val="24"/>
                    </w:rPr>
                    <w:t>3.提供多种考核方式，学生可根据编程需求，在Python工具的“技术需求转化”中按导向提示，完成内置脚本代码的补充，也可直接在“需求实现”模块，通过自主编写代码的模式，实现编程。执行完毕后，通过“执行并显示结果”模块，以图片、文档（包括但不限于PDF、Word等）等多元化、高清晰度的形式，直观呈现分析结果，并配有对应的下载功能。</w:t>
                  </w:r>
                </w:p>
                <w:p>
                  <w:pPr>
                    <w:pStyle w:val="null3"/>
                    <w:jc w:val="both"/>
                  </w:pPr>
                  <w:r>
                    <w:rPr>
                      <w:rFonts w:ascii="仿宋_GB2312" w:hAnsi="仿宋_GB2312" w:cs="仿宋_GB2312" w:eastAsia="仿宋_GB2312"/>
                      <w:sz w:val="24"/>
                      <w:b/>
                    </w:rPr>
                    <w:t>三、业务参数</w:t>
                  </w:r>
                </w:p>
                <w:p>
                  <w:pPr>
                    <w:pStyle w:val="null3"/>
                    <w:jc w:val="both"/>
                  </w:pPr>
                  <w:r>
                    <w:rPr>
                      <w:rFonts w:ascii="仿宋_GB2312" w:hAnsi="仿宋_GB2312" w:cs="仿宋_GB2312" w:eastAsia="仿宋_GB2312"/>
                      <w:sz w:val="24"/>
                    </w:rPr>
                    <w:t>1.平台</w:t>
                  </w:r>
                  <w:r>
                    <w:rPr>
                      <w:rFonts w:ascii="仿宋_GB2312" w:hAnsi="仿宋_GB2312" w:cs="仿宋_GB2312" w:eastAsia="仿宋_GB2312"/>
                      <w:sz w:val="24"/>
                    </w:rPr>
                    <w:t>至少</w:t>
                  </w:r>
                  <w:r>
                    <w:rPr>
                      <w:rFonts w:ascii="仿宋_GB2312" w:hAnsi="仿宋_GB2312" w:cs="仿宋_GB2312" w:eastAsia="仿宋_GB2312"/>
                      <w:sz w:val="24"/>
                    </w:rPr>
                    <w:t>包含</w:t>
                  </w:r>
                  <w:r>
                    <w:rPr>
                      <w:rFonts w:ascii="仿宋_GB2312" w:hAnsi="仿宋_GB2312" w:cs="仿宋_GB2312" w:eastAsia="仿宋_GB2312"/>
                      <w:sz w:val="24"/>
                    </w:rPr>
                    <w:t>7个教学项目，19个教学任务，各个教学任务中均配有知识点讲解文件与响应练习题。教学项目涵盖初识人工智能、人工智能支撑技术、机器学习与应用、深度学习与应用、计算机视觉技术与应用、自然语言处理与应用、人工智能开放平台应用。</w:t>
                  </w:r>
                </w:p>
                <w:p>
                  <w:pPr>
                    <w:pStyle w:val="null3"/>
                    <w:jc w:val="both"/>
                  </w:pPr>
                  <w:r>
                    <w:rPr>
                      <w:rFonts w:ascii="仿宋_GB2312" w:hAnsi="仿宋_GB2312" w:cs="仿宋_GB2312" w:eastAsia="仿宋_GB2312"/>
                      <w:sz w:val="24"/>
                    </w:rPr>
                    <w:t>2.初识人工智能。平台</w:t>
                  </w:r>
                  <w:r>
                    <w:rPr>
                      <w:rFonts w:ascii="仿宋_GB2312" w:hAnsi="仿宋_GB2312" w:cs="仿宋_GB2312" w:eastAsia="仿宋_GB2312"/>
                      <w:sz w:val="24"/>
                    </w:rPr>
                    <w:t>至少</w:t>
                  </w:r>
                  <w:r>
                    <w:rPr>
                      <w:rFonts w:ascii="仿宋_GB2312" w:hAnsi="仿宋_GB2312" w:cs="仿宋_GB2312" w:eastAsia="仿宋_GB2312"/>
                      <w:sz w:val="24"/>
                    </w:rPr>
                    <w:t>提供人工智能的定义、人工智能的发展历程、人工智能的典型应用</w:t>
                  </w:r>
                  <w:r>
                    <w:rPr>
                      <w:rFonts w:ascii="仿宋_GB2312" w:hAnsi="仿宋_GB2312" w:cs="仿宋_GB2312" w:eastAsia="仿宋_GB2312"/>
                      <w:sz w:val="24"/>
                    </w:rPr>
                    <w:t>等</w:t>
                  </w:r>
                  <w:r>
                    <w:rPr>
                      <w:rFonts w:ascii="仿宋_GB2312" w:hAnsi="仿宋_GB2312" w:cs="仿宋_GB2312" w:eastAsia="仿宋_GB2312"/>
                      <w:sz w:val="24"/>
                    </w:rPr>
                    <w:t>教学任务。介绍人工智能的基本定义及其核心目标，以及从早期的符号主义到现代的深度学习技术的发展历程。</w:t>
                  </w:r>
                </w:p>
                <w:p>
                  <w:pPr>
                    <w:pStyle w:val="null3"/>
                    <w:jc w:val="both"/>
                  </w:pPr>
                  <w:r>
                    <w:rPr>
                      <w:rFonts w:ascii="仿宋_GB2312" w:hAnsi="仿宋_GB2312" w:cs="仿宋_GB2312" w:eastAsia="仿宋_GB2312"/>
                      <w:sz w:val="24"/>
                    </w:rPr>
                    <w:t>3.机器学习与应用。平台提供机器学习概述与应用场景、机器学习模型与方法、机器学习的评价指标与可视化工具3个教学任务，结合智能制造领域中的业务场景，深入浅出的讲解常见机器学习模型的应用方法。本项目任务支持通过机器学习模型分析历史数据预测设备状态，精确预测故障并优化设备管理与维护，生产质量分析则结合随机森林模型，关联生产参数与缺陷状态，识别关键影响因素，提升产品质量控制。</w:t>
                  </w:r>
                  <w:r>
                    <w:rPr>
                      <w:rFonts w:ascii="仿宋_GB2312" w:hAnsi="仿宋_GB2312" w:cs="仿宋_GB2312" w:eastAsia="仿宋_GB2312"/>
                      <w:sz w:val="24"/>
                    </w:rPr>
                    <w:t>【</w:t>
                  </w:r>
                  <w:r>
                    <w:rPr>
                      <w:rFonts w:ascii="仿宋_GB2312" w:hAnsi="仿宋_GB2312" w:cs="仿宋_GB2312" w:eastAsia="仿宋_GB2312"/>
                      <w:sz w:val="24"/>
                    </w:rPr>
                    <w:t>本项需提供现场演示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4.深度学习与应用。平台提供深度学习概述、深度学习模型架构、深度学习框架与工具</w:t>
                  </w:r>
                  <w:r>
                    <w:rPr>
                      <w:rFonts w:ascii="仿宋_GB2312" w:hAnsi="仿宋_GB2312" w:cs="仿宋_GB2312" w:eastAsia="仿宋_GB2312"/>
                      <w:sz w:val="24"/>
                    </w:rPr>
                    <w:t>等</w:t>
                  </w:r>
                  <w:r>
                    <w:rPr>
                      <w:rFonts w:ascii="仿宋_GB2312" w:hAnsi="仿宋_GB2312" w:cs="仿宋_GB2312" w:eastAsia="仿宋_GB2312"/>
                      <w:sz w:val="24"/>
                    </w:rPr>
                    <w:t>教学任务，介绍深度学习的基本概念、历史背景和发展历程。包括神经网络的基本构成、激活函数、损失函数和优化算法等核心内容。</w:t>
                  </w:r>
                </w:p>
                <w:p>
                  <w:pPr>
                    <w:pStyle w:val="null3"/>
                    <w:jc w:val="both"/>
                  </w:pPr>
                  <w:r>
                    <w:rPr>
                      <w:rFonts w:ascii="仿宋_GB2312" w:hAnsi="仿宋_GB2312" w:cs="仿宋_GB2312" w:eastAsia="仿宋_GB2312"/>
                      <w:sz w:val="24"/>
                    </w:rPr>
                    <w:t>5.在平台提供的智能制造场景中，支持通过分析历史数据、生产计划和环境因素，精确预测生产线能耗和电力负荷，帮助优化资源配置、降低成本并提高运行效率。</w:t>
                  </w:r>
                </w:p>
                <w:p>
                  <w:pPr>
                    <w:pStyle w:val="null3"/>
                    <w:jc w:val="both"/>
                  </w:pPr>
                  <w:r>
                    <w:rPr>
                      <w:rFonts w:ascii="仿宋_GB2312" w:hAnsi="仿宋_GB2312" w:cs="仿宋_GB2312" w:eastAsia="仿宋_GB2312"/>
                      <w:sz w:val="24"/>
                    </w:rPr>
                    <w:t>6.在平台提供的智能制造场景中，支持使用手写数字识别技术通过自动提取质量检查数据，提高了生产线的效率和准确性，减少了人工错误。结合深度学习框架和CNN技术优化模型，提升在复杂模式识别中的表现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7.计算机视觉技术与应用。平台提供计算机视觉的概念、计算机视觉的基本任务、计算机视觉常见应用3个教学项目。涵盖图像处理基础、常见的图像处理技术、图像分类、目标检测、图像分割方向。</w:t>
                  </w:r>
                </w:p>
                <w:p>
                  <w:pPr>
                    <w:pStyle w:val="null3"/>
                    <w:jc w:val="both"/>
                  </w:pPr>
                  <w:r>
                    <w:rPr>
                      <w:rFonts w:ascii="仿宋_GB2312" w:hAnsi="仿宋_GB2312" w:cs="仿宋_GB2312" w:eastAsia="仿宋_GB2312"/>
                      <w:sz w:val="24"/>
                    </w:rPr>
                    <w:t>8.平台提供了多个图像处理功能，包括读取图像、旋转图像以及图像去噪等基本任务。用户可以通过这些功能对图像进行初步操作，为更复杂的图像处理奠定基础。在执行这些基础任务的过程中，用户能够掌握图像处理的核心概念和技巧，为后续的高级操作如图像增强、特征提取等做好准备。</w:t>
                  </w:r>
                </w:p>
                <w:p>
                  <w:pPr>
                    <w:pStyle w:val="null3"/>
                    <w:jc w:val="both"/>
                  </w:pPr>
                  <w:r>
                    <w:rPr>
                      <w:rFonts w:ascii="仿宋_GB2312" w:hAnsi="仿宋_GB2312" w:cs="仿宋_GB2312" w:eastAsia="仿宋_GB2312"/>
                      <w:sz w:val="24"/>
                    </w:rPr>
                    <w:t>9.计算机视觉的基本任务，对汽车零部件进行类别识别、检测汽车零部件表面的缺陷（如划痕、凹痕、污渍）、精确分割汽车零件上的瑕疵区域，量化缺陷面积、生成汽车零部件的缺陷样本，丰富训练数据。</w:t>
                  </w:r>
                </w:p>
                <w:p>
                  <w:pPr>
                    <w:pStyle w:val="null3"/>
                    <w:jc w:val="both"/>
                  </w:pPr>
                  <w:r>
                    <w:rPr>
                      <w:rFonts w:ascii="仿宋_GB2312" w:hAnsi="仿宋_GB2312" w:cs="仿宋_GB2312" w:eastAsia="仿宋_GB2312"/>
                      <w:sz w:val="24"/>
                    </w:rPr>
                    <w:t>10.焊接质量检测。通过分类模型判断焊点是否合格、定位焊点缺陷的具体位置与类别、缺陷裂缝分割。提升生产效率和产品质量，推动了生产线的智能化与优化管理。</w:t>
                  </w:r>
                </w:p>
                <w:p>
                  <w:pPr>
                    <w:pStyle w:val="null3"/>
                    <w:jc w:val="both"/>
                  </w:pPr>
                  <w:r>
                    <w:rPr>
                      <w:rFonts w:ascii="仿宋_GB2312" w:hAnsi="仿宋_GB2312" w:cs="仿宋_GB2312" w:eastAsia="仿宋_GB2312"/>
                      <w:sz w:val="24"/>
                    </w:rPr>
                    <w:t>11.自然语言处理与应用。平台提供自然语言处理的概念、自然语言处理基本任务、自然语言处理的应用3个教学任务，介绍文本数据的预处理技术、文本挖掘与分析的常见使用场景。</w:t>
                  </w:r>
                </w:p>
                <w:p>
                  <w:pPr>
                    <w:pStyle w:val="null3"/>
                    <w:jc w:val="both"/>
                  </w:pPr>
                  <w:r>
                    <w:rPr>
                      <w:rFonts w:ascii="仿宋_GB2312" w:hAnsi="仿宋_GB2312" w:cs="仿宋_GB2312" w:eastAsia="仿宋_GB2312"/>
                      <w:sz w:val="24"/>
                    </w:rPr>
                    <w:t>12.平台提供汽车行业数字化转型场景，支持通过数据预处理、滑动窗口算法和向量化构建问答知识库，可以高效提取和管理非结构化文档信息。对汽车问答数据库进行数据预处理。通过滑动窗口算法读取PDF内容并转换为结构化信息。通过向量化构建问答知识库。完成检索函数以实现检索增强生成功能（RAG）。</w:t>
                  </w:r>
                  <w:r>
                    <w:rPr>
                      <w:rFonts w:ascii="仿宋_GB2312" w:hAnsi="仿宋_GB2312" w:cs="仿宋_GB2312" w:eastAsia="仿宋_GB2312"/>
                      <w:sz w:val="24"/>
                    </w:rPr>
                    <w:t>【</w:t>
                  </w:r>
                  <w:r>
                    <w:rPr>
                      <w:rFonts w:ascii="仿宋_GB2312" w:hAnsi="仿宋_GB2312" w:cs="仿宋_GB2312" w:eastAsia="仿宋_GB2312"/>
                      <w:sz w:val="24"/>
                    </w:rPr>
                    <w:t>本项需提供现场演示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大语言模型微调。本平台支持大语言模型领域专业化微调的全流程能力构建，通过系统化训练使通用模型转化为行业专属智能体。平台首先深入解析模型优化的前沿方法，涵盖微调核心概念阐释、高质量问答数据标准化制备技术，并配备财务会计场景的行业适应性调优实训；通过财务会计领域的典型任务对比，显著展现模型在微调前后从通用知识应答转向专业领域精准解析的能力跃迁</w:t>
                  </w:r>
                  <w:r>
                    <w:rPr>
                      <w:rFonts w:ascii="仿宋_GB2312" w:hAnsi="仿宋_GB2312" w:cs="仿宋_GB2312" w:eastAsia="仿宋_GB2312"/>
                      <w:sz w:val="24"/>
                    </w:rPr>
                    <w:t>。</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数字经济数据库</w:t>
                  </w:r>
                </w:p>
              </w:tc>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数字经济数据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①数字创新：各省市数字经济专利、各行业数字经济专利、上市公司数字经济专利及引用；</w:t>
                  </w:r>
                </w:p>
                <w:p>
                  <w:pPr>
                    <w:pStyle w:val="null3"/>
                    <w:jc w:val="both"/>
                  </w:pPr>
                  <w:r>
                    <w:rPr>
                      <w:rFonts w:ascii="仿宋_GB2312" w:hAnsi="仿宋_GB2312" w:cs="仿宋_GB2312" w:eastAsia="仿宋_GB2312"/>
                      <w:sz w:val="24"/>
                    </w:rPr>
                    <w:t>②数字产业：各省市软件和信息技术服务业主要经济指标、各省市信息传输、计算机服务和软件业法人单位数、各省市信息传输、计算机服务和软件业固定资产投资、各地级市信息传输、计算机服务和软件业从业人员数；</w:t>
                  </w:r>
                </w:p>
                <w:p>
                  <w:pPr>
                    <w:pStyle w:val="null3"/>
                    <w:jc w:val="both"/>
                  </w:pPr>
                  <w:r>
                    <w:rPr>
                      <w:rFonts w:ascii="仿宋_GB2312" w:hAnsi="仿宋_GB2312" w:cs="仿宋_GB2312" w:eastAsia="仿宋_GB2312"/>
                      <w:sz w:val="24"/>
                    </w:rPr>
                    <w:t>③数字平台：各省互联网发展主要指标、各省电信基础设施情况、各省电信通信服务水平、各地级市电信产业发展情况。</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上市公司数字化转型数据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①</w:t>
                  </w:r>
                  <w:r>
                    <w:rPr>
                      <w:rFonts w:ascii="仿宋_GB2312" w:hAnsi="仿宋_GB2312" w:cs="仿宋_GB2312" w:eastAsia="仿宋_GB2312"/>
                      <w:sz w:val="24"/>
                    </w:rPr>
                    <w:t>上市公司数字化转型衡量</w:t>
                  </w:r>
                  <w:r>
                    <w:rPr>
                      <w:rFonts w:ascii="仿宋_GB2312" w:hAnsi="仿宋_GB2312" w:cs="仿宋_GB2312" w:eastAsia="仿宋_GB2312"/>
                      <w:sz w:val="24"/>
                    </w:rPr>
                    <w:t>：包括年报文本数字化、</w:t>
                  </w:r>
                  <w:r>
                    <w:rPr>
                      <w:rFonts w:ascii="仿宋_GB2312" w:hAnsi="仿宋_GB2312" w:cs="仿宋_GB2312" w:eastAsia="仿宋_GB2312"/>
                      <w:sz w:val="24"/>
                    </w:rPr>
                    <w:t>MD&amp;A文本数字化、无形资产数字化；</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上市公司关联方数字化</w:t>
                  </w:r>
                  <w:r>
                    <w:rPr>
                      <w:rFonts w:ascii="仿宋_GB2312" w:hAnsi="仿宋_GB2312" w:cs="仿宋_GB2312" w:eastAsia="仿宋_GB2312"/>
                      <w:sz w:val="24"/>
                    </w:rPr>
                    <w:t>：包括集团公司数字化、供应商数字化、客户数字化、投资者问答数字化；</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上市公司外部关注数字化</w:t>
                  </w:r>
                  <w:r>
                    <w:rPr>
                      <w:rFonts w:ascii="仿宋_GB2312" w:hAnsi="仿宋_GB2312" w:cs="仿宋_GB2312" w:eastAsia="仿宋_GB2312"/>
                      <w:sz w:val="24"/>
                    </w:rPr>
                    <w:t>：包括分析师报告数字化、新闻报道数字化等。</w:t>
                  </w:r>
                </w:p>
                <w:p>
                  <w:pPr>
                    <w:pStyle w:val="null3"/>
                    <w:jc w:val="both"/>
                  </w:pPr>
                  <w:r>
                    <w:rPr>
                      <w:rFonts w:ascii="仿宋_GB2312" w:hAnsi="仿宋_GB2312" w:cs="仿宋_GB2312" w:eastAsia="仿宋_GB2312"/>
                      <w:sz w:val="24"/>
                      <w:b/>
                    </w:rPr>
                    <w:t>3.商业</w:t>
                  </w:r>
                  <w:r>
                    <w:rPr>
                      <w:rFonts w:ascii="仿宋_GB2312" w:hAnsi="仿宋_GB2312" w:cs="仿宋_GB2312" w:eastAsia="仿宋_GB2312"/>
                      <w:sz w:val="24"/>
                      <w:b/>
                    </w:rPr>
                    <w:t>银行数字化数据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商业银行年报基本信息</w:t>
                  </w:r>
                  <w:r>
                    <w:rPr>
                      <w:rFonts w:ascii="仿宋_GB2312" w:hAnsi="仿宋_GB2312" w:cs="仿宋_GB2312" w:eastAsia="仿宋_GB2312"/>
                      <w:sz w:val="24"/>
                    </w:rPr>
                    <w:t>、年报可读性分析、年报在数字化、信息化、智能化、互联网化方面的词频统计等。</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中国专利数据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①上市公司专利申请与获得②上市公司上市前专利申请与获得③上市公司专利分类号信息及明细④ 上市公司研发费用及2017年以来研发明细⑤非上市公司专利申请与获得⑥科研机构专利申请与获得⑦ 各省和地级市创新专利情况。</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新质生产力数据</w:t>
                  </w:r>
                </w:p>
                <w:p>
                  <w:pPr>
                    <w:pStyle w:val="null3"/>
                    <w:jc w:val="both"/>
                  </w:pPr>
                  <w:r>
                    <w:rPr>
                      <w:rFonts w:ascii="仿宋_GB2312" w:hAnsi="仿宋_GB2312" w:cs="仿宋_GB2312" w:eastAsia="仿宋_GB2312"/>
                      <w:sz w:val="24"/>
                    </w:rPr>
                    <w:t>需包含：产业新质生产力、区域新质生产力等数据。</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绿色专利数据</w:t>
                  </w:r>
                </w:p>
                <w:p>
                  <w:pPr>
                    <w:pStyle w:val="null3"/>
                    <w:jc w:val="both"/>
                  </w:pPr>
                  <w:r>
                    <w:rPr>
                      <w:rFonts w:ascii="仿宋_GB2312" w:hAnsi="仿宋_GB2312" w:cs="仿宋_GB2312" w:eastAsia="仿宋_GB2312"/>
                      <w:sz w:val="24"/>
                    </w:rPr>
                    <w:t>需包含：上市公司绿色专利申请与获得、上市前绿色专利、专利分类号信息、专利引用、各省市绿色专利申请与获得、非上市公司专利申请与获得、科研机构绿色专利申请与获得等方面。</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上市公司金融化数据</w:t>
                  </w:r>
                </w:p>
                <w:p>
                  <w:pPr>
                    <w:pStyle w:val="null3"/>
                    <w:jc w:val="both"/>
                  </w:pPr>
                  <w:r>
                    <w:rPr>
                      <w:rFonts w:ascii="仿宋_GB2312" w:hAnsi="仿宋_GB2312" w:cs="仿宋_GB2312" w:eastAsia="仿宋_GB2312"/>
                      <w:sz w:val="24"/>
                    </w:rPr>
                    <w:t>需包含上市公司参与的并购基金、委托理财和证券投资等数据。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专精特新企业数据：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2019 年以来工信部公布的专精特新小巨人企业的基本信息、认定情况、更名情况、专利申请与授权情况等。</w:t>
                  </w:r>
                </w:p>
                <w:p>
                  <w:pPr>
                    <w:pStyle w:val="null3"/>
                    <w:jc w:val="both"/>
                  </w:pPr>
                  <w:r>
                    <w:rPr>
                      <w:rFonts w:ascii="仿宋_GB2312" w:hAnsi="仿宋_GB2312" w:cs="仿宋_GB2312" w:eastAsia="仿宋_GB2312"/>
                      <w:sz w:val="24"/>
                      <w:b/>
                    </w:rPr>
                    <w:t>9.区块链投资数据库</w:t>
                  </w:r>
                </w:p>
                <w:p>
                  <w:pPr>
                    <w:pStyle w:val="null3"/>
                    <w:jc w:val="both"/>
                  </w:pPr>
                  <w:r>
                    <w:rPr>
                      <w:rFonts w:ascii="仿宋_GB2312" w:hAnsi="仿宋_GB2312" w:cs="仿宋_GB2312" w:eastAsia="仿宋_GB2312"/>
                      <w:sz w:val="24"/>
                    </w:rPr>
                    <w:t>需包含区块链投资情况，涉及区块链的上市公司、投资者问答、新闻报道。</w:t>
                  </w:r>
                </w:p>
                <w:p>
                  <w:pPr>
                    <w:pStyle w:val="null3"/>
                    <w:jc w:val="both"/>
                  </w:pPr>
                  <w:r>
                    <w:rPr>
                      <w:rFonts w:ascii="仿宋_GB2312" w:hAnsi="仿宋_GB2312" w:cs="仿宋_GB2312" w:eastAsia="仿宋_GB2312"/>
                      <w:sz w:val="24"/>
                    </w:rPr>
                    <w:t>10.公司上市前专利数据库：</w:t>
                  </w:r>
                </w:p>
                <w:p>
                  <w:pPr>
                    <w:pStyle w:val="null3"/>
                    <w:jc w:val="both"/>
                  </w:pPr>
                  <w:r>
                    <w:rPr>
                      <w:rFonts w:ascii="仿宋_GB2312" w:hAnsi="仿宋_GB2312" w:cs="仿宋_GB2312" w:eastAsia="仿宋_GB2312"/>
                      <w:sz w:val="24"/>
                    </w:rPr>
                    <w:t>需包含公司上市前专利申请与获得情况、公司上市前绿色专利申请与获得情况、公司上市前数字经济专利申请与获得情况。</w:t>
                  </w:r>
                </w:p>
                <w:p>
                  <w:pPr>
                    <w:pStyle w:val="null3"/>
                    <w:jc w:val="both"/>
                  </w:pPr>
                  <w:r>
                    <w:rPr>
                      <w:rFonts w:ascii="仿宋_GB2312" w:hAnsi="仿宋_GB2312" w:cs="仿宋_GB2312" w:eastAsia="仿宋_GB2312"/>
                      <w:sz w:val="24"/>
                      <w:b/>
                    </w:rPr>
                    <w:t>11.</w:t>
                  </w:r>
                  <w:r>
                    <w:rPr>
                      <w:rFonts w:ascii="仿宋_GB2312" w:hAnsi="仿宋_GB2312" w:cs="仿宋_GB2312" w:eastAsia="仿宋_GB2312"/>
                      <w:sz w:val="24"/>
                      <w:b/>
                    </w:rPr>
                    <w:t>基础数据</w:t>
                  </w:r>
                </w:p>
                <w:p>
                  <w:pPr>
                    <w:pStyle w:val="null3"/>
                    <w:jc w:val="both"/>
                  </w:pPr>
                  <w:r>
                    <w:rPr>
                      <w:rFonts w:ascii="仿宋_GB2312" w:hAnsi="仿宋_GB2312" w:cs="仿宋_GB2312" w:eastAsia="仿宋_GB2312"/>
                      <w:sz w:val="24"/>
                    </w:rPr>
                    <w:t>需包含：</w:t>
                  </w:r>
                  <w:r>
                    <w:rPr>
                      <w:rFonts w:ascii="仿宋_GB2312" w:hAnsi="仿宋_GB2312" w:cs="仿宋_GB2312" w:eastAsia="仿宋_GB2312"/>
                      <w:sz w:val="24"/>
                    </w:rPr>
                    <w:t>①上市公司股票基础数据，需收录股票数据、特殊处理股票、融资融券数据、增发与配股等数据</w:t>
                  </w:r>
                  <w:r>
                    <w:rPr>
                      <w:rFonts w:ascii="仿宋_GB2312" w:hAnsi="仿宋_GB2312" w:cs="仿宋_GB2312" w:eastAsia="仿宋_GB2312"/>
                      <w:sz w:val="24"/>
                    </w:rPr>
                    <w:t>、</w:t>
                  </w:r>
                  <w:r>
                    <w:rPr>
                      <w:rFonts w:ascii="仿宋_GB2312" w:hAnsi="仿宋_GB2312" w:cs="仿宋_GB2312" w:eastAsia="仿宋_GB2312"/>
                      <w:sz w:val="24"/>
                    </w:rPr>
                    <w:t>IPO综合数据等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②上市公司财务基础数据：需收录财务报表、业绩报告、盈利预测数据、财务指标数据等。</w:t>
                  </w:r>
                </w:p>
                <w:p>
                  <w:pPr>
                    <w:pStyle w:val="null3"/>
                    <w:jc w:val="both"/>
                  </w:pPr>
                  <w:r>
                    <w:rPr>
                      <w:rFonts w:ascii="仿宋_GB2312" w:hAnsi="仿宋_GB2312" w:cs="仿宋_GB2312" w:eastAsia="仿宋_GB2312"/>
                      <w:sz w:val="24"/>
                    </w:rPr>
                    <w:t>③上市公司治理基础数据：需收录审计意见与费用、管理层变更、诉讼仲裁等数据。</w:t>
                  </w:r>
                </w:p>
                <w:p>
                  <w:pPr>
                    <w:pStyle w:val="null3"/>
                    <w:jc w:val="both"/>
                  </w:pPr>
                  <w:r>
                    <w:rPr>
                      <w:rFonts w:ascii="仿宋_GB2312" w:hAnsi="仿宋_GB2312" w:cs="仿宋_GB2312" w:eastAsia="仿宋_GB2312"/>
                      <w:sz w:val="24"/>
                    </w:rPr>
                    <w:t>④债券研究基础数据：需收录</w:t>
                  </w:r>
                  <w:r>
                    <w:rPr>
                      <w:rFonts w:ascii="仿宋_GB2312" w:hAnsi="仿宋_GB2312" w:cs="仿宋_GB2312" w:eastAsia="仿宋_GB2312"/>
                      <w:sz w:val="24"/>
                    </w:rPr>
                    <w:t>债券基本信息</w:t>
                  </w:r>
                  <w:r>
                    <w:rPr>
                      <w:rFonts w:ascii="仿宋_GB2312" w:hAnsi="仿宋_GB2312" w:cs="仿宋_GB2312" w:eastAsia="仿宋_GB2312"/>
                      <w:sz w:val="24"/>
                    </w:rPr>
                    <w:t>、</w:t>
                  </w:r>
                  <w:r>
                    <w:rPr>
                      <w:rFonts w:ascii="仿宋_GB2312" w:hAnsi="仿宋_GB2312" w:cs="仿宋_GB2312" w:eastAsia="仿宋_GB2312"/>
                      <w:sz w:val="24"/>
                    </w:rPr>
                    <w:t>债券发行主体基本信息</w:t>
                  </w:r>
                  <w:r>
                    <w:rPr>
                      <w:rFonts w:ascii="仿宋_GB2312" w:hAnsi="仿宋_GB2312" w:cs="仿宋_GB2312" w:eastAsia="仿宋_GB2312"/>
                      <w:sz w:val="24"/>
                    </w:rPr>
                    <w:t>、</w:t>
                  </w:r>
                  <w:r>
                    <w:rPr>
                      <w:rFonts w:ascii="仿宋_GB2312" w:hAnsi="仿宋_GB2312" w:cs="仿宋_GB2312" w:eastAsia="仿宋_GB2312"/>
                      <w:sz w:val="24"/>
                    </w:rPr>
                    <w:t>债券发行信息</w:t>
                  </w:r>
                  <w:r>
                    <w:rPr>
                      <w:rFonts w:ascii="仿宋_GB2312" w:hAnsi="仿宋_GB2312" w:cs="仿宋_GB2312" w:eastAsia="仿宋_GB2312"/>
                      <w:sz w:val="24"/>
                    </w:rPr>
                    <w:t>、</w:t>
                  </w:r>
                  <w:r>
                    <w:rPr>
                      <w:rFonts w:ascii="仿宋_GB2312" w:hAnsi="仿宋_GB2312" w:cs="仿宋_GB2312" w:eastAsia="仿宋_GB2312"/>
                      <w:sz w:val="24"/>
                    </w:rPr>
                    <w:t>债券信用评级</w:t>
                  </w:r>
                  <w:r>
                    <w:rPr>
                      <w:rFonts w:ascii="仿宋_GB2312" w:hAnsi="仿宋_GB2312" w:cs="仿宋_GB2312" w:eastAsia="仿宋_GB2312"/>
                      <w:sz w:val="24"/>
                    </w:rPr>
                    <w:t>等。</w:t>
                  </w:r>
                </w:p>
              </w:tc>
            </w:tr>
          </w:tbl>
          <w:p>
            <w:pPr>
              <w:pStyle w:val="null3"/>
              <w:ind w:firstLine="482"/>
            </w:pPr>
            <w:r>
              <w:rPr>
                <w:rFonts w:ascii="仿宋_GB2312" w:hAnsi="仿宋_GB2312" w:cs="仿宋_GB2312" w:eastAsia="仿宋_GB2312"/>
                <w:sz w:val="24"/>
                <w:b/>
              </w:rPr>
              <w:t>（二）其他要求：本项目全部平台须提供本地化部署，并同时提供云部署授权。</w:t>
            </w:r>
          </w:p>
          <w:p>
            <w:pPr>
              <w:pStyle w:val="null3"/>
              <w:ind w:firstLine="482"/>
            </w:pPr>
            <w:r>
              <w:rPr>
                <w:rFonts w:ascii="仿宋_GB2312" w:hAnsi="仿宋_GB2312" w:cs="仿宋_GB2312" w:eastAsia="仿宋_GB2312"/>
                <w:sz w:val="24"/>
                <w:b/>
              </w:rPr>
              <w:t>备注：</w:t>
            </w:r>
            <w:r>
              <w:rPr>
                <w:rFonts w:ascii="仿宋_GB2312" w:hAnsi="仿宋_GB2312" w:cs="仿宋_GB2312" w:eastAsia="仿宋_GB2312"/>
                <w:sz w:val="24"/>
                <w:b/>
              </w:rPr>
              <w:t>各供应商拟投的产品参数必须全部满足本项目采购需求中的技术参数，否则视为未实质性响应。其中标记</w:t>
            </w:r>
            <w:r>
              <w:rPr>
                <w:rFonts w:ascii="仿宋_GB2312" w:hAnsi="仿宋_GB2312" w:cs="仿宋_GB2312" w:eastAsia="仿宋_GB2312"/>
                <w:sz w:val="24"/>
                <w:b/>
              </w:rPr>
              <w:t>“▲”项的技术参数必须提供佐证材料，佐证材料包括产品彩页或技术白皮书或官网截图</w:t>
            </w:r>
            <w:r>
              <w:rPr>
                <w:rFonts w:ascii="仿宋_GB2312" w:hAnsi="仿宋_GB2312" w:cs="仿宋_GB2312" w:eastAsia="仿宋_GB2312"/>
                <w:sz w:val="24"/>
                <w:b/>
              </w:rPr>
              <w:t>或功能截图</w:t>
            </w:r>
            <w:r>
              <w:rPr>
                <w:rFonts w:ascii="仿宋_GB2312" w:hAnsi="仿宋_GB2312" w:cs="仿宋_GB2312" w:eastAsia="仿宋_GB2312"/>
                <w:sz w:val="24"/>
                <w:b/>
              </w:rPr>
              <w:t>等供应商认为可以佐证参数响应性的材料，未提供或提供不全的视为未实质响应</w:t>
            </w:r>
            <w:r>
              <w:rPr>
                <w:rFonts w:ascii="仿宋_GB2312" w:hAnsi="仿宋_GB2312" w:cs="仿宋_GB2312" w:eastAsia="仿宋_GB2312"/>
                <w:sz w:val="24"/>
                <w:b/>
              </w:rPr>
              <w:t>。</w:t>
            </w:r>
          </w:p>
          <w:p>
            <w:pPr>
              <w:pStyle w:val="null3"/>
              <w:ind w:firstLine="482"/>
            </w:pPr>
            <w:r>
              <w:rPr>
                <w:rFonts w:ascii="仿宋_GB2312" w:hAnsi="仿宋_GB2312" w:cs="仿宋_GB2312" w:eastAsia="仿宋_GB2312"/>
                <w:sz w:val="24"/>
                <w:b/>
              </w:rPr>
              <w:t>供应商须按照采购内容及要求列明的演示项，提供现场操作演示，供应商须在现场使用拟投服务系统进行演示，演示的功能与内容技术指标和性能应满足采购要求，否则视为未实质性响应。</w:t>
            </w:r>
          </w:p>
          <w:p>
            <w:pPr>
              <w:pStyle w:val="null3"/>
              <w:ind w:firstLine="482"/>
            </w:pPr>
            <w:r>
              <w:rPr>
                <w:rFonts w:ascii="仿宋_GB2312" w:hAnsi="仿宋_GB2312" w:cs="仿宋_GB2312" w:eastAsia="仿宋_GB2312"/>
                <w:sz w:val="24"/>
                <w:b/>
              </w:rPr>
              <w:t>供应商提供的现场演示不得通过展示</w:t>
            </w:r>
            <w:r>
              <w:rPr>
                <w:rFonts w:ascii="仿宋_GB2312" w:hAnsi="仿宋_GB2312" w:cs="仿宋_GB2312" w:eastAsia="仿宋_GB2312"/>
                <w:sz w:val="24"/>
                <w:b/>
              </w:rPr>
              <w:t>PPT、视频、Demo等形式，否则视为未实质性响应。各供应商演示时间均不得超过15分钟，请各供应商自行安排演示时间和内容。同时供应商自行负责演示所必须设备等，否则相关不利风险由供应商自行承担。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自合同签订之日起30个自然日内供货，并完成相关软硬件产品的运输、安装、调试、试运行。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其他，货到安装完成，并完成相关软硬件产品的运输、安装、调试、试运行，达到付款条件起10个工作日内，支付合同总金额的10.0%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其他，待验收合格后，凭成交供应商开具全额增值税专用发票，达到付款条件起10个工作日内，支付合同总金额的10.0%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1.采购人使用单位初验合格后提出验收申请，学校相关部门根据使用单位 技术验收结果，组织有关专家进行货物的最终验收。 2.其他要求详见合同文本。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1.质量保证期：自验收合格之日起3年，所有软件3年保修升级服务。 2.售后服务响应时间及维护承诺：成交供应商需提供7×12小时远程技术服务。成交供应商在接到采购人电话报修后，应在1小时内进行远程技术响应服务；如远程技术服务无法解决问题的，成交供应商需派遣技术工程师在8小时内抵达现场、24小时内完成问题的解决；如24小时内仍无法解决的，成交供应商需在48小时内提供备用件、备用设备或备用系统，保障我单位教学活动的正常进行，直至故障问题完全修复或解决。 3.培训要求 成交供应商须根据采购人要求提供系统培训服务，包括但不限于：组织不少于两轮的集中培训，培训须覆盖全部指定参训人员，直至所有应到会人员实际到场参训完毕为止。</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谈判保证金注意事项：以保函形式交纳谈判保证金的，供应商应在投标截止时间前将保函扫描成清晰的PDF文件，发送至邮箱2973608682@qq.com（邮件命名：项目名称+项目编号+采购包名称）；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6.3.4最后报价”为准。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每轮响应报价未超过竞争性谈判文件中规定的预算金额或者最高限价</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分项报价清单.docx 中小企业声明函 商务应答表 报价表 技术条款响应偏离表.docx 响应文件封面 残疾人福利性单位声明函 法定代表人证明书及授权书.docx 标的清单 实施方案.docx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分项报价清单.docx 中小企业声明函 商务应答表 报价表 技术条款响应偏离表.docx 响应文件封面 残疾人福利性单位声明函 法定代表人证明书及授权书.docx 标的清单 实施方案.docx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响应文件按谈判文件中第三章谈判项目技术、服务、商务及其他要求进行响应，不满足的响应为无效响应；</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竞争性谈判会议的，应出具法定代表人证明书。法定代表人授权合法授权代表参加竞争性谈判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