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4E407">
      <w:pPr>
        <w:spacing w:line="360" w:lineRule="auto"/>
        <w:jc w:val="center"/>
        <w:rPr>
          <w:rFonts w:ascii="宋体" w:hAnsi="宋体"/>
          <w:b/>
          <w:bCs/>
          <w:sz w:val="84"/>
          <w:szCs w:val="84"/>
          <w:lang w:eastAsia="zh-CN"/>
        </w:rPr>
      </w:pPr>
      <w:r>
        <w:rPr>
          <w:rFonts w:hint="eastAsia" w:ascii="宋体" w:hAnsi="宋体"/>
          <w:b/>
          <w:bCs/>
          <w:sz w:val="84"/>
          <w:szCs w:val="84"/>
          <w:lang w:eastAsia="zh-CN"/>
        </w:rPr>
        <w:t>采购合同</w:t>
      </w:r>
    </w:p>
    <w:p w14:paraId="13F3A5DA">
      <w:pPr>
        <w:spacing w:line="360" w:lineRule="auto"/>
        <w:jc w:val="center"/>
        <w:rPr>
          <w:rFonts w:ascii="宋体" w:hAnsi="宋体"/>
          <w:b/>
          <w:bCs/>
          <w:sz w:val="32"/>
          <w:szCs w:val="32"/>
          <w:lang w:eastAsia="zh-CN"/>
        </w:rPr>
      </w:pPr>
      <w:r>
        <w:rPr>
          <w:rFonts w:hint="eastAsia" w:ascii="宋体" w:hAnsi="宋体"/>
          <w:b/>
          <w:bCs/>
          <w:sz w:val="32"/>
          <w:szCs w:val="32"/>
          <w:lang w:eastAsia="zh-CN"/>
        </w:rPr>
        <w:t xml:space="preserve">项目编号：【     】  </w:t>
      </w:r>
    </w:p>
    <w:p w14:paraId="195BEBC8">
      <w:pPr>
        <w:spacing w:line="360" w:lineRule="auto"/>
        <w:jc w:val="center"/>
        <w:rPr>
          <w:rFonts w:ascii="宋体" w:hAnsi="宋体" w:cs="宋体"/>
          <w:b/>
          <w:bCs/>
          <w:spacing w:val="26"/>
          <w:sz w:val="36"/>
          <w:szCs w:val="36"/>
          <w:lang w:eastAsia="zh-CN"/>
        </w:rPr>
      </w:pPr>
    </w:p>
    <w:p w14:paraId="46669BA0">
      <w:pPr>
        <w:spacing w:line="360" w:lineRule="auto"/>
        <w:rPr>
          <w:rFonts w:ascii="宋体" w:hAnsi="宋体"/>
          <w:b/>
          <w:sz w:val="32"/>
          <w:szCs w:val="32"/>
          <w:lang w:eastAsia="zh-CN"/>
        </w:rPr>
      </w:pPr>
    </w:p>
    <w:p w14:paraId="2FBE48A0">
      <w:pPr>
        <w:spacing w:line="360" w:lineRule="auto"/>
        <w:rPr>
          <w:rFonts w:hint="eastAsia" w:ascii="宋体" w:hAnsi="宋体" w:eastAsiaTheme="minorEastAsia"/>
          <w:b/>
          <w:sz w:val="32"/>
          <w:szCs w:val="32"/>
          <w:lang w:eastAsia="zh-CN"/>
        </w:rPr>
      </w:pPr>
    </w:p>
    <w:p w14:paraId="6EDDD1EA">
      <w:pPr>
        <w:spacing w:line="360" w:lineRule="auto"/>
        <w:rPr>
          <w:rFonts w:ascii="宋体" w:hAnsi="宋体"/>
          <w:b/>
          <w:sz w:val="32"/>
          <w:szCs w:val="32"/>
          <w:lang w:eastAsia="zh-CN"/>
        </w:rPr>
      </w:pPr>
    </w:p>
    <w:p w14:paraId="7AA39C03">
      <w:pPr>
        <w:spacing w:line="360" w:lineRule="auto"/>
        <w:rPr>
          <w:rFonts w:ascii="宋体" w:hAnsi="宋体"/>
          <w:b/>
          <w:sz w:val="32"/>
          <w:szCs w:val="32"/>
          <w:lang w:eastAsia="zh-CN"/>
        </w:rPr>
      </w:pPr>
    </w:p>
    <w:p w14:paraId="7371911C">
      <w:pPr>
        <w:spacing w:line="360" w:lineRule="auto"/>
        <w:ind w:firstLine="2561" w:firstLineChars="800"/>
        <w:rPr>
          <w:rFonts w:ascii="宋体" w:hAnsi="宋体"/>
          <w:b/>
          <w:bCs/>
          <w:sz w:val="40"/>
          <w:szCs w:val="40"/>
          <w:u w:val="single"/>
        </w:rPr>
      </w:pPr>
      <w:r>
        <w:rPr>
          <w:rFonts w:hint="eastAsia" w:ascii="宋体" w:hAnsi="宋体" w:cs="宋体"/>
          <w:b/>
          <w:bCs/>
          <w:sz w:val="32"/>
          <w:szCs w:val="32"/>
        </w:rPr>
        <w:t>甲方：</w:t>
      </w:r>
      <w:r>
        <w:rPr>
          <w:rFonts w:hint="eastAsia" w:ascii="宋体" w:hAnsi="宋体" w:cs="宋体"/>
          <w:b/>
          <w:bCs/>
          <w:sz w:val="32"/>
          <w:szCs w:val="32"/>
          <w:u w:val="single"/>
          <w:lang w:eastAsia="zh-CN"/>
        </w:rPr>
        <w:t xml:space="preserve">           </w:t>
      </w:r>
    </w:p>
    <w:p w14:paraId="2473440C">
      <w:pPr>
        <w:spacing w:line="360" w:lineRule="auto"/>
        <w:ind w:firstLine="2561" w:firstLineChars="800"/>
        <w:rPr>
          <w:rFonts w:ascii="宋体" w:hAnsi="宋体"/>
          <w:b/>
          <w:bCs/>
          <w:sz w:val="32"/>
          <w:szCs w:val="32"/>
        </w:rPr>
      </w:pPr>
      <w:r>
        <w:rPr>
          <w:rFonts w:hint="eastAsia" w:ascii="宋体" w:hAnsi="宋体" w:cs="宋体"/>
          <w:b/>
          <w:bCs/>
          <w:sz w:val="32"/>
          <w:szCs w:val="32"/>
        </w:rPr>
        <w:t>乙方：</w:t>
      </w:r>
      <w:r>
        <w:rPr>
          <w:rFonts w:hint="eastAsia" w:ascii="宋体" w:hAnsi="宋体" w:cs="宋体"/>
          <w:b/>
          <w:bCs/>
          <w:sz w:val="32"/>
          <w:szCs w:val="32"/>
          <w:u w:val="single"/>
        </w:rPr>
        <w:t xml:space="preserve">            </w:t>
      </w:r>
    </w:p>
    <w:p w14:paraId="108F2F41">
      <w:pPr>
        <w:spacing w:line="360" w:lineRule="auto"/>
        <w:jc w:val="center"/>
        <w:rPr>
          <w:rFonts w:ascii="宋体" w:hAnsi="宋体" w:cs="宋体"/>
          <w:b/>
          <w:bCs/>
          <w:spacing w:val="26"/>
          <w:sz w:val="30"/>
          <w:szCs w:val="30"/>
        </w:rPr>
      </w:pPr>
      <w:r>
        <w:rPr>
          <w:rFonts w:hint="eastAsia" w:ascii="宋体" w:hAnsi="宋体"/>
          <w:b/>
          <w:bCs/>
          <w:sz w:val="32"/>
          <w:szCs w:val="32"/>
        </w:rPr>
        <w:t xml:space="preserve"> </w:t>
      </w:r>
      <w:r>
        <w:rPr>
          <w:rFonts w:hint="eastAsia" w:ascii="宋体" w:hAnsi="宋体" w:cs="宋体"/>
          <w:b/>
          <w:bCs/>
          <w:spacing w:val="26"/>
          <w:sz w:val="30"/>
          <w:szCs w:val="30"/>
        </w:rPr>
        <w:t xml:space="preserve"> </w:t>
      </w:r>
    </w:p>
    <w:p w14:paraId="6D2B47C2">
      <w:pPr>
        <w:spacing w:line="360" w:lineRule="auto"/>
        <w:jc w:val="center"/>
        <w:rPr>
          <w:rFonts w:ascii="宋体" w:hAnsi="宋体" w:cs="宋体"/>
          <w:b/>
          <w:bCs/>
          <w:spacing w:val="26"/>
          <w:sz w:val="30"/>
          <w:szCs w:val="30"/>
        </w:rPr>
      </w:pPr>
      <w:r>
        <w:rPr>
          <w:rFonts w:hint="eastAsia" w:ascii="宋体" w:hAnsi="宋体" w:cs="宋体"/>
          <w:b/>
          <w:bCs/>
          <w:spacing w:val="26"/>
          <w:sz w:val="30"/>
          <w:szCs w:val="30"/>
        </w:rPr>
        <w:t>二〇二</w:t>
      </w:r>
      <w:r>
        <w:rPr>
          <w:rFonts w:hint="eastAsia" w:ascii="宋体" w:hAnsi="宋体" w:cs="宋体"/>
          <w:b/>
          <w:bCs/>
          <w:spacing w:val="26"/>
          <w:sz w:val="30"/>
          <w:szCs w:val="30"/>
          <w:u w:val="single"/>
        </w:rPr>
        <w:t xml:space="preserve">   </w:t>
      </w:r>
      <w:r>
        <w:rPr>
          <w:rFonts w:hint="eastAsia" w:ascii="宋体" w:hAnsi="宋体" w:cs="宋体"/>
          <w:b/>
          <w:bCs/>
          <w:spacing w:val="26"/>
          <w:sz w:val="30"/>
          <w:szCs w:val="30"/>
        </w:rPr>
        <w:t>年  月  日</w:t>
      </w:r>
    </w:p>
    <w:p w14:paraId="55049EC7">
      <w:pPr>
        <w:jc w:val="center"/>
        <w:rPr>
          <w:rFonts w:ascii="宋体" w:hAnsi="宋体"/>
          <w:b/>
          <w:sz w:val="44"/>
          <w:szCs w:val="44"/>
          <w:lang w:eastAsia="zh-CN"/>
        </w:rPr>
      </w:pPr>
      <w:r>
        <w:rPr>
          <w:rFonts w:hint="eastAsia" w:ascii="宋体" w:hAnsi="宋体"/>
          <w:b/>
          <w:sz w:val="44"/>
          <w:szCs w:val="44"/>
          <w:lang w:eastAsia="zh-CN"/>
        </w:rPr>
        <w:br w:type="page"/>
      </w:r>
      <w:r>
        <w:rPr>
          <w:rFonts w:hint="eastAsia" w:ascii="宋体" w:hAnsi="宋体"/>
          <w:b/>
          <w:sz w:val="44"/>
          <w:szCs w:val="44"/>
          <w:lang w:eastAsia="zh-CN"/>
        </w:rPr>
        <w:t>采购合同</w:t>
      </w:r>
    </w:p>
    <w:p w14:paraId="358BB6A2">
      <w:pPr>
        <w:shd w:val="clear" w:color="auto" w:fill="FFFFFF"/>
        <w:spacing w:before="312" w:beforeLines="100" w:after="312" w:afterLines="100" w:line="360" w:lineRule="auto"/>
        <w:ind w:firstLine="480" w:firstLineChars="200"/>
        <w:rPr>
          <w:rFonts w:ascii="宋体" w:hAnsi="宋体" w:cs="宋体"/>
          <w:b/>
          <w:sz w:val="24"/>
          <w:szCs w:val="24"/>
          <w:lang w:eastAsia="zh-CN"/>
        </w:rPr>
      </w:pPr>
      <w:r>
        <w:rPr>
          <w:rFonts w:hint="eastAsia" w:ascii="宋体" w:hAnsi="宋体" w:cs="宋体"/>
          <w:b/>
          <w:bCs/>
          <w:sz w:val="24"/>
          <w:szCs w:val="24"/>
          <w:lang w:eastAsia="zh-CN"/>
        </w:rPr>
        <w:t>甲方：</w:t>
      </w:r>
      <w:r>
        <w:rPr>
          <w:rFonts w:hint="eastAsia" w:ascii="宋体" w:hAnsi="宋体" w:cs="宋体"/>
          <w:b/>
          <w:bCs/>
          <w:sz w:val="24"/>
          <w:szCs w:val="24"/>
          <w:u w:val="single"/>
          <w:lang w:eastAsia="zh-CN"/>
        </w:rPr>
        <w:t xml:space="preserve">           </w:t>
      </w:r>
    </w:p>
    <w:p w14:paraId="47E050AF">
      <w:pPr>
        <w:shd w:val="clear" w:color="auto" w:fill="FFFFFF"/>
        <w:spacing w:before="312" w:beforeLines="100" w:after="312" w:afterLines="100" w:line="360" w:lineRule="auto"/>
        <w:ind w:firstLine="480" w:firstLineChars="200"/>
        <w:rPr>
          <w:rFonts w:ascii="宋体" w:hAnsi="宋体" w:cs="宋体"/>
          <w:b/>
          <w:sz w:val="24"/>
          <w:szCs w:val="24"/>
          <w:lang w:eastAsia="zh-CN"/>
        </w:rPr>
      </w:pPr>
      <w:r>
        <w:rPr>
          <w:rFonts w:hint="eastAsia" w:ascii="宋体" w:hAnsi="宋体" w:cs="宋体"/>
          <w:b/>
          <w:bCs/>
          <w:sz w:val="24"/>
          <w:szCs w:val="24"/>
          <w:lang w:eastAsia="zh-CN"/>
        </w:rPr>
        <w:t>乙方：</w:t>
      </w:r>
      <w:r>
        <w:rPr>
          <w:rFonts w:hint="eastAsia" w:ascii="宋体" w:hAnsi="宋体" w:cs="宋体"/>
          <w:bCs/>
          <w:sz w:val="24"/>
          <w:szCs w:val="24"/>
          <w:u w:val="single"/>
          <w:lang w:eastAsia="zh-CN"/>
        </w:rPr>
        <w:t xml:space="preserve">           </w:t>
      </w:r>
    </w:p>
    <w:p w14:paraId="6E819F7D">
      <w:pPr>
        <w:shd w:val="clear" w:color="auto" w:fill="FFFFFF"/>
        <w:spacing w:line="360" w:lineRule="auto"/>
        <w:ind w:firstLine="600" w:firstLineChars="250"/>
        <w:rPr>
          <w:rFonts w:hint="eastAsia" w:ascii="宋体" w:hAnsi="宋体" w:eastAsia="宋体" w:cs="宋体"/>
          <w:sz w:val="24"/>
          <w:szCs w:val="24"/>
          <w:lang w:eastAsia="zh-CN"/>
        </w:rPr>
      </w:pPr>
      <w:r>
        <w:rPr>
          <w:rFonts w:hint="eastAsia" w:ascii="宋体" w:hAnsi="宋体" w:eastAsia="宋体" w:cs="宋体"/>
          <w:sz w:val="24"/>
          <w:szCs w:val="24"/>
          <w:lang w:eastAsia="zh-CN"/>
        </w:rPr>
        <w:t>甲、乙双方</w:t>
      </w:r>
      <w:r>
        <w:rPr>
          <w:rFonts w:ascii="宋体" w:hAnsi="宋体" w:eastAsia="宋体" w:cs="宋体"/>
          <w:sz w:val="24"/>
          <w:szCs w:val="24"/>
          <w:lang w:eastAsia="zh-CN"/>
        </w:rPr>
        <w:t>依据《中华人民共和国民法典》《中华人民共和国政府采购法》等法律法规</w:t>
      </w:r>
      <w:r>
        <w:rPr>
          <w:rFonts w:hint="eastAsia" w:ascii="宋体" w:hAnsi="宋体" w:cs="宋体"/>
          <w:sz w:val="24"/>
          <w:szCs w:val="24"/>
          <w:lang w:eastAsia="zh-CN"/>
        </w:rPr>
        <w:t>，</w:t>
      </w:r>
      <w:r>
        <w:rPr>
          <w:rFonts w:ascii="宋体" w:hAnsi="宋体" w:eastAsia="宋体" w:cs="宋体"/>
          <w:sz w:val="24"/>
          <w:szCs w:val="24"/>
          <w:lang w:eastAsia="zh-CN"/>
        </w:rPr>
        <w:t>本着平等自愿、诚实信用原则，就</w:t>
      </w:r>
      <w:r>
        <w:rPr>
          <w:rFonts w:hint="eastAsia" w:ascii="宋体" w:hAnsi="宋体" w:cs="宋体"/>
          <w:sz w:val="24"/>
          <w:szCs w:val="24"/>
          <w:u w:val="single"/>
          <w:lang w:eastAsia="zh-CN"/>
        </w:rPr>
        <w:t xml:space="preserve">               </w:t>
      </w:r>
      <w:r>
        <w:rPr>
          <w:rFonts w:hint="eastAsia" w:ascii="宋体" w:hAnsi="宋体" w:cs="宋体"/>
          <w:sz w:val="24"/>
          <w:szCs w:val="24"/>
          <w:lang w:eastAsia="zh-CN"/>
        </w:rPr>
        <w:t>的</w:t>
      </w:r>
      <w:r>
        <w:rPr>
          <w:rFonts w:ascii="宋体" w:hAnsi="宋体" w:eastAsia="宋体" w:cs="宋体"/>
          <w:sz w:val="24"/>
          <w:szCs w:val="24"/>
          <w:lang w:eastAsia="zh-CN"/>
        </w:rPr>
        <w:t>设备采购、运输、安装调试、质保事宜达成一致，订立本合同</w:t>
      </w:r>
      <w:r>
        <w:rPr>
          <w:rFonts w:hint="eastAsia" w:ascii="宋体" w:hAnsi="宋体" w:eastAsia="宋体" w:cs="宋体"/>
          <w:sz w:val="24"/>
          <w:szCs w:val="24"/>
          <w:lang w:eastAsia="zh-CN"/>
        </w:rPr>
        <w:t>。</w:t>
      </w:r>
    </w:p>
    <w:p w14:paraId="4DEADBA0">
      <w:pPr>
        <w:spacing w:line="360" w:lineRule="auto"/>
        <w:ind w:firstLine="480" w:firstLineChars="200"/>
        <w:rPr>
          <w:rFonts w:ascii="宋体" w:hAnsi="宋体" w:cs="宋体"/>
          <w:sz w:val="24"/>
          <w:szCs w:val="24"/>
          <w:lang w:eastAsia="zh-CN"/>
        </w:rPr>
      </w:pPr>
      <w:bookmarkStart w:id="0" w:name="_Toc466270646"/>
      <w:bookmarkStart w:id="1" w:name="_Toc467005725"/>
      <w:bookmarkStart w:id="2" w:name="_Toc467005975"/>
      <w:bookmarkStart w:id="3" w:name="_Toc465511112"/>
      <w:bookmarkStart w:id="4" w:name="_Toc465510854"/>
      <w:bookmarkStart w:id="5" w:name="_Toc465511157"/>
      <w:bookmarkStart w:id="6" w:name="_Toc476761649"/>
      <w:r>
        <w:rPr>
          <w:rFonts w:hint="eastAsia" w:ascii="宋体" w:hAnsi="宋体" w:cs="宋体"/>
          <w:b/>
          <w:bCs/>
          <w:sz w:val="24"/>
          <w:szCs w:val="24"/>
          <w:lang w:eastAsia="zh-CN"/>
        </w:rPr>
        <w:t>一、合同范围</w:t>
      </w:r>
      <w:bookmarkEnd w:id="0"/>
      <w:bookmarkEnd w:id="1"/>
      <w:bookmarkEnd w:id="2"/>
      <w:bookmarkEnd w:id="3"/>
      <w:bookmarkEnd w:id="4"/>
      <w:bookmarkEnd w:id="5"/>
      <w:bookmarkEnd w:id="6"/>
      <w:r>
        <w:rPr>
          <w:rFonts w:hint="eastAsia" w:ascii="宋体" w:hAnsi="宋体" w:cs="宋体"/>
          <w:sz w:val="24"/>
          <w:szCs w:val="24"/>
          <w:lang w:eastAsia="zh-CN"/>
        </w:rPr>
        <w:t>：</w:t>
      </w:r>
    </w:p>
    <w:p w14:paraId="474CDC63">
      <w:pPr>
        <w:shd w:val="clear" w:color="auto" w:fill="FFFFFF"/>
        <w:spacing w:line="360" w:lineRule="auto"/>
        <w:ind w:firstLine="480" w:firstLineChars="200"/>
        <w:rPr>
          <w:rFonts w:ascii="宋体" w:hAnsi="宋体" w:cs="宋体"/>
          <w:sz w:val="24"/>
          <w:szCs w:val="24"/>
          <w:lang w:eastAsia="zh-CN"/>
        </w:rPr>
      </w:pPr>
      <w:bookmarkStart w:id="7" w:name="_Toc465510856"/>
      <w:bookmarkStart w:id="8" w:name="_Toc466270648"/>
      <w:bookmarkStart w:id="9" w:name="_Toc465511114"/>
      <w:bookmarkStart w:id="10" w:name="_Toc465511159"/>
      <w:bookmarkStart w:id="11" w:name="_Toc476761651"/>
      <w:bookmarkStart w:id="12" w:name="_Toc467005977"/>
      <w:bookmarkStart w:id="13" w:name="_Toc467005727"/>
      <w:r>
        <w:rPr>
          <w:rFonts w:hint="eastAsia" w:ascii="宋体" w:hAnsi="宋体" w:cs="宋体"/>
          <w:sz w:val="24"/>
          <w:szCs w:val="24"/>
          <w:lang w:eastAsia="zh-CN"/>
        </w:rPr>
        <w:t>1.乙方提供</w:t>
      </w:r>
      <w:r>
        <w:rPr>
          <w:rFonts w:hint="eastAsia" w:ascii="宋体" w:hAnsi="宋体" w:cs="宋体"/>
          <w:sz w:val="24"/>
          <w:szCs w:val="24"/>
          <w:u w:val="single"/>
          <w:lang w:eastAsia="zh-CN"/>
        </w:rPr>
        <w:t xml:space="preserve">           </w:t>
      </w:r>
      <w:r>
        <w:rPr>
          <w:rFonts w:hint="eastAsia" w:ascii="宋体" w:hAnsi="宋体" w:cs="宋体"/>
          <w:sz w:val="24"/>
          <w:szCs w:val="24"/>
          <w:lang w:eastAsia="zh-CN"/>
        </w:rPr>
        <w:t>投标文件、采购清单所列全部设备，及设备对应的运输、装卸、就位、安装调试、操作培训、质量保修附属服务。</w:t>
      </w:r>
    </w:p>
    <w:p w14:paraId="517B5AB0">
      <w:pPr>
        <w:shd w:val="clear" w:color="auto" w:fill="FFFFFF"/>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2.乙方承诺按合同约定提供全新合格设备，完成安装调试并达到使用标准，承担设备质量缺陷修补责任。</w:t>
      </w:r>
    </w:p>
    <w:p w14:paraId="6508D5E6">
      <w:pPr>
        <w:spacing w:line="360" w:lineRule="auto"/>
        <w:ind w:firstLine="480" w:firstLineChars="200"/>
        <w:rPr>
          <w:rFonts w:ascii="宋体" w:hAnsi="宋体" w:cs="宋体"/>
          <w:b/>
          <w:bCs/>
          <w:sz w:val="24"/>
          <w:szCs w:val="24"/>
          <w:lang w:eastAsia="zh-CN"/>
        </w:rPr>
      </w:pPr>
      <w:r>
        <w:rPr>
          <w:rFonts w:hint="eastAsia" w:ascii="宋体" w:hAnsi="宋体" w:cs="宋体"/>
          <w:b/>
          <w:bCs/>
          <w:sz w:val="24"/>
          <w:szCs w:val="24"/>
          <w:lang w:eastAsia="zh-CN"/>
        </w:rPr>
        <w:t>二、</w:t>
      </w:r>
      <w:bookmarkEnd w:id="7"/>
      <w:bookmarkEnd w:id="8"/>
      <w:bookmarkEnd w:id="9"/>
      <w:bookmarkEnd w:id="10"/>
      <w:bookmarkEnd w:id="11"/>
      <w:bookmarkEnd w:id="12"/>
      <w:bookmarkEnd w:id="13"/>
      <w:r>
        <w:rPr>
          <w:rFonts w:hint="eastAsia" w:ascii="宋体" w:hAnsi="宋体" w:cs="宋体"/>
          <w:b/>
          <w:bCs/>
          <w:sz w:val="24"/>
          <w:szCs w:val="24"/>
          <w:lang w:eastAsia="zh-CN"/>
        </w:rPr>
        <w:t>交货期、交货地点及质量、质保期：</w:t>
      </w:r>
    </w:p>
    <w:p w14:paraId="2AC36F98">
      <w:pPr>
        <w:shd w:val="clear" w:color="auto" w:fill="FFFFFF"/>
        <w:spacing w:line="360" w:lineRule="auto"/>
        <w:ind w:firstLine="480" w:firstLineChars="200"/>
        <w:rPr>
          <w:rFonts w:ascii="宋体" w:hAnsi="宋体" w:cs="宋体"/>
          <w:kern w:val="28"/>
          <w:sz w:val="24"/>
          <w:szCs w:val="24"/>
          <w:lang w:eastAsia="zh-CN"/>
        </w:rPr>
      </w:pPr>
      <w:bookmarkStart w:id="14" w:name="_Toc476761652"/>
      <w:bookmarkStart w:id="15" w:name="_Toc465511115"/>
      <w:bookmarkStart w:id="16" w:name="_Toc465510857"/>
      <w:bookmarkStart w:id="17" w:name="_Toc467005978"/>
      <w:bookmarkStart w:id="18" w:name="_Toc467005728"/>
      <w:bookmarkStart w:id="19" w:name="_Toc465511160"/>
      <w:bookmarkStart w:id="20" w:name="_Toc466270649"/>
      <w:r>
        <w:rPr>
          <w:rFonts w:hint="eastAsia" w:ascii="宋体" w:hAnsi="宋体" w:cs="宋体"/>
          <w:kern w:val="28"/>
          <w:sz w:val="24"/>
          <w:szCs w:val="24"/>
          <w:lang w:eastAsia="zh-CN"/>
        </w:rPr>
        <w:t>交货期为：</w:t>
      </w:r>
      <w:r>
        <w:rPr>
          <w:rFonts w:hint="eastAsia" w:ascii="宋体" w:hAnsi="宋体" w:cs="宋体"/>
          <w:kern w:val="28"/>
          <w:sz w:val="24"/>
          <w:szCs w:val="24"/>
          <w:u w:val="single"/>
          <w:lang w:eastAsia="zh-CN"/>
        </w:rPr>
        <w:t xml:space="preserve">                     </w:t>
      </w:r>
      <w:r>
        <w:rPr>
          <w:rFonts w:hint="eastAsia" w:ascii="宋体" w:hAnsi="宋体" w:cs="宋体"/>
          <w:kern w:val="28"/>
          <w:sz w:val="24"/>
          <w:szCs w:val="24"/>
          <w:lang w:eastAsia="zh-CN"/>
        </w:rPr>
        <w:t>。</w:t>
      </w:r>
    </w:p>
    <w:p w14:paraId="1A73F025">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交付地点为：</w:t>
      </w:r>
      <w:r>
        <w:rPr>
          <w:rFonts w:hint="eastAsia" w:ascii="宋体" w:hAnsi="宋体" w:cs="宋体"/>
          <w:kern w:val="28"/>
          <w:sz w:val="24"/>
          <w:szCs w:val="24"/>
          <w:u w:val="single"/>
          <w:lang w:eastAsia="zh-CN"/>
        </w:rPr>
        <w:t xml:space="preserve">                   </w:t>
      </w:r>
      <w:r>
        <w:rPr>
          <w:rFonts w:hint="eastAsia" w:ascii="宋体" w:hAnsi="宋体" w:cs="宋体"/>
          <w:kern w:val="28"/>
          <w:sz w:val="24"/>
          <w:szCs w:val="24"/>
          <w:lang w:eastAsia="zh-CN"/>
        </w:rPr>
        <w:t>。</w:t>
      </w:r>
    </w:p>
    <w:p w14:paraId="0F9B401D">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质量为：</w:t>
      </w:r>
      <w:r>
        <w:rPr>
          <w:rFonts w:hint="eastAsia" w:ascii="宋体" w:hAnsi="宋体" w:cs="宋体"/>
          <w:kern w:val="28"/>
          <w:sz w:val="24"/>
          <w:szCs w:val="24"/>
          <w:u w:val="single"/>
          <w:lang w:eastAsia="zh-CN"/>
        </w:rPr>
        <w:t xml:space="preserve">                       </w:t>
      </w:r>
      <w:r>
        <w:rPr>
          <w:rFonts w:hint="eastAsia" w:ascii="宋体" w:hAnsi="宋体" w:cs="宋体"/>
          <w:kern w:val="28"/>
          <w:sz w:val="24"/>
          <w:szCs w:val="24"/>
          <w:lang w:eastAsia="zh-CN"/>
        </w:rPr>
        <w:t>。</w:t>
      </w:r>
    </w:p>
    <w:p w14:paraId="3ADEEA9D">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质保期为：</w:t>
      </w:r>
      <w:r>
        <w:rPr>
          <w:rFonts w:hint="eastAsia" w:ascii="宋体" w:hAnsi="宋体" w:cs="宋体"/>
          <w:sz w:val="24"/>
          <w:szCs w:val="24"/>
          <w:u w:val="single"/>
          <w:lang w:eastAsia="zh-CN"/>
        </w:rPr>
        <w:t xml:space="preserve">                     </w:t>
      </w:r>
      <w:r>
        <w:rPr>
          <w:rFonts w:hint="eastAsia" w:ascii="宋体" w:hAnsi="宋体" w:cs="宋体"/>
          <w:sz w:val="24"/>
          <w:szCs w:val="24"/>
          <w:lang w:eastAsia="zh-CN"/>
        </w:rPr>
        <w:t>。</w:t>
      </w:r>
    </w:p>
    <w:p w14:paraId="53B0C4A0">
      <w:pPr>
        <w:spacing w:line="360" w:lineRule="auto"/>
        <w:ind w:firstLine="480" w:firstLineChars="200"/>
        <w:rPr>
          <w:rFonts w:ascii="宋体" w:hAnsi="宋体" w:cs="宋体"/>
          <w:b/>
          <w:bCs/>
          <w:sz w:val="24"/>
          <w:szCs w:val="24"/>
          <w:lang w:eastAsia="zh-CN"/>
        </w:rPr>
      </w:pPr>
      <w:r>
        <w:rPr>
          <w:rFonts w:hint="eastAsia" w:ascii="宋体" w:hAnsi="宋体" w:cs="宋体"/>
          <w:b/>
          <w:bCs/>
          <w:sz w:val="24"/>
          <w:szCs w:val="24"/>
          <w:lang w:eastAsia="zh-CN"/>
        </w:rPr>
        <w:t>三、合同文件及解释</w:t>
      </w:r>
      <w:bookmarkEnd w:id="14"/>
      <w:bookmarkEnd w:id="15"/>
      <w:bookmarkEnd w:id="16"/>
      <w:bookmarkEnd w:id="17"/>
      <w:bookmarkEnd w:id="18"/>
      <w:bookmarkEnd w:id="19"/>
      <w:bookmarkEnd w:id="20"/>
    </w:p>
    <w:p w14:paraId="380830F3">
      <w:pPr>
        <w:shd w:val="clear" w:color="auto" w:fill="FFFFFF"/>
        <w:spacing w:line="360" w:lineRule="auto"/>
        <w:ind w:firstLine="480" w:firstLineChars="200"/>
        <w:rPr>
          <w:rFonts w:ascii="宋体" w:hAnsi="宋体" w:cs="宋体"/>
          <w:sz w:val="24"/>
          <w:szCs w:val="24"/>
          <w:lang w:eastAsia="zh-CN"/>
        </w:rPr>
      </w:pPr>
      <w:bookmarkStart w:id="21" w:name="_Toc468550422"/>
      <w:bookmarkStart w:id="22" w:name="_Toc476761653"/>
      <w:bookmarkStart w:id="23" w:name="_Toc465510858"/>
      <w:bookmarkStart w:id="24" w:name="_Toc465511161"/>
      <w:bookmarkStart w:id="25" w:name="_Toc465511116"/>
      <w:bookmarkStart w:id="26" w:name="_Toc466270650"/>
      <w:r>
        <w:rPr>
          <w:rFonts w:ascii="Symbol" w:hAnsi="Symbol" w:eastAsia="Symbol" w:cs="Symbol"/>
          <w:sz w:val="24"/>
          <w:lang w:eastAsia="zh-CN"/>
        </w:rPr>
        <w:t>·</w:t>
      </w:r>
      <w:r>
        <w:rPr>
          <w:rFonts w:hint="eastAsia" w:ascii="宋体" w:hAnsi="宋体" w:eastAsia="宋体" w:cs="宋体"/>
          <w:sz w:val="24"/>
          <w:lang w:eastAsia="zh-CN"/>
        </w:rPr>
        <w:t xml:space="preserve">  </w:t>
      </w:r>
      <w:r>
        <w:rPr>
          <w:rFonts w:hint="eastAsia" w:ascii="宋体" w:hAnsi="宋体" w:cs="宋体"/>
          <w:sz w:val="24"/>
          <w:szCs w:val="24"/>
          <w:lang w:eastAsia="zh-CN"/>
        </w:rPr>
        <w:t>合同文件组成及效力优先级：</w:t>
      </w:r>
    </w:p>
    <w:p w14:paraId="63C4155A">
      <w:pPr>
        <w:shd w:val="clear" w:color="auto" w:fill="FFFFFF"/>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（1）本合同及补充协议；</w:t>
      </w:r>
    </w:p>
    <w:p w14:paraId="183FC579">
      <w:pPr>
        <w:shd w:val="clear" w:color="auto" w:fill="FFFFFF"/>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（2）中标通知书、投标函；</w:t>
      </w:r>
    </w:p>
    <w:p w14:paraId="5AA6960B">
      <w:pPr>
        <w:shd w:val="clear" w:color="auto" w:fill="FFFFFF"/>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（3）</w:t>
      </w:r>
      <w:r>
        <w:rPr>
          <w:rFonts w:hint="eastAsia" w:ascii="宋体" w:hAnsi="宋体" w:eastAsia="宋体" w:cs="宋体"/>
          <w:sz w:val="24"/>
          <w:szCs w:val="24"/>
          <w:lang w:eastAsia="zh-CN"/>
        </w:rPr>
        <w:t>招标</w:t>
      </w:r>
      <w:r>
        <w:rPr>
          <w:rFonts w:hint="eastAsia" w:ascii="宋体" w:hAnsi="宋体" w:cs="宋体"/>
          <w:sz w:val="24"/>
          <w:szCs w:val="24"/>
          <w:lang w:eastAsia="zh-CN"/>
        </w:rPr>
        <w:t>文件、采购清单、技术参数；</w:t>
      </w:r>
    </w:p>
    <w:p w14:paraId="03E18A61">
      <w:pPr>
        <w:shd w:val="clear" w:color="auto" w:fill="FFFFFF"/>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（4）设备质量证明、说明书等技术文件。</w:t>
      </w:r>
    </w:p>
    <w:p w14:paraId="71321B52">
      <w:pPr>
        <w:shd w:val="clear" w:color="auto" w:fill="FFFFFF"/>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文件内容冲突的，按上述优先级执行；补充协议与本合同具有同等法律效力。</w:t>
      </w:r>
    </w:p>
    <w:p w14:paraId="56EB48E2">
      <w:pPr>
        <w:spacing w:line="360" w:lineRule="auto"/>
        <w:ind w:firstLine="480" w:firstLineChars="200"/>
        <w:rPr>
          <w:rFonts w:ascii="宋体" w:hAnsi="宋体" w:cs="宋体"/>
          <w:b/>
          <w:bCs/>
          <w:sz w:val="24"/>
          <w:szCs w:val="24"/>
          <w:lang w:eastAsia="zh-CN"/>
        </w:rPr>
      </w:pPr>
      <w:r>
        <w:rPr>
          <w:rFonts w:hint="eastAsia" w:ascii="宋体" w:hAnsi="宋体" w:cs="宋体"/>
          <w:b/>
          <w:bCs/>
          <w:sz w:val="24"/>
          <w:szCs w:val="24"/>
          <w:lang w:eastAsia="zh-CN"/>
        </w:rPr>
        <w:t>四、合同价款、结算与支付</w:t>
      </w:r>
      <w:bookmarkEnd w:id="21"/>
      <w:bookmarkEnd w:id="22"/>
      <w:bookmarkEnd w:id="23"/>
      <w:bookmarkEnd w:id="24"/>
      <w:bookmarkEnd w:id="25"/>
      <w:bookmarkEnd w:id="26"/>
    </w:p>
    <w:p w14:paraId="775057E1">
      <w:pPr>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1.总价款为：</w:t>
      </w:r>
    </w:p>
    <w:p w14:paraId="614E0C40">
      <w:pPr>
        <w:spacing w:line="360" w:lineRule="auto"/>
        <w:ind w:firstLine="480" w:firstLineChars="200"/>
        <w:rPr>
          <w:rFonts w:ascii="宋体" w:hAnsi="宋体" w:cs="宋体"/>
          <w:kern w:val="28"/>
          <w:sz w:val="24"/>
          <w:szCs w:val="24"/>
          <w:lang w:eastAsia="zh-CN"/>
        </w:rPr>
      </w:pPr>
      <w:r>
        <w:rPr>
          <w:rFonts w:hint="eastAsia" w:ascii="宋体" w:hAnsi="宋体" w:cs="宋体"/>
          <w:bCs/>
          <w:kern w:val="28"/>
          <w:sz w:val="24"/>
          <w:szCs w:val="24"/>
          <w:lang w:eastAsia="zh-CN"/>
        </w:rPr>
        <w:t>大写人民币：</w:t>
      </w:r>
      <w:r>
        <w:rPr>
          <w:rFonts w:hint="eastAsia" w:ascii="宋体" w:hAnsi="宋体" w:cs="宋体"/>
          <w:bCs/>
          <w:kern w:val="28"/>
          <w:sz w:val="24"/>
          <w:szCs w:val="24"/>
          <w:u w:val="single"/>
          <w:lang w:eastAsia="zh-CN"/>
        </w:rPr>
        <w:t xml:space="preserve">                                </w:t>
      </w:r>
      <w:r>
        <w:rPr>
          <w:rFonts w:hint="eastAsia" w:ascii="宋体" w:hAnsi="宋体" w:cs="宋体"/>
          <w:bCs/>
          <w:kern w:val="28"/>
          <w:sz w:val="24"/>
          <w:szCs w:val="24"/>
          <w:lang w:eastAsia="zh-CN"/>
        </w:rPr>
        <w:t xml:space="preserve">  </w:t>
      </w:r>
    </w:p>
    <w:p w14:paraId="13F456AE">
      <w:pPr>
        <w:spacing w:line="360" w:lineRule="auto"/>
        <w:ind w:firstLine="480" w:firstLineChars="200"/>
        <w:rPr>
          <w:rFonts w:ascii="宋体" w:hAnsi="宋体" w:cs="宋体"/>
          <w:kern w:val="28"/>
          <w:sz w:val="24"/>
          <w:szCs w:val="24"/>
          <w:lang w:eastAsia="zh-CN"/>
        </w:rPr>
      </w:pPr>
      <w:r>
        <w:rPr>
          <w:rFonts w:hint="eastAsia" w:ascii="宋体" w:hAnsi="宋体" w:cs="宋体"/>
          <w:bCs/>
          <w:kern w:val="28"/>
          <w:sz w:val="24"/>
          <w:szCs w:val="24"/>
          <w:lang w:eastAsia="zh-CN"/>
        </w:rPr>
        <w:t>小写RMB ￥：</w:t>
      </w:r>
      <w:r>
        <w:rPr>
          <w:rFonts w:hint="eastAsia" w:ascii="宋体" w:hAnsi="宋体" w:cs="宋体"/>
          <w:bCs/>
          <w:kern w:val="28"/>
          <w:sz w:val="24"/>
          <w:szCs w:val="24"/>
          <w:u w:val="single"/>
          <w:lang w:eastAsia="zh-CN"/>
        </w:rPr>
        <w:t xml:space="preserve">                                </w:t>
      </w:r>
      <w:r>
        <w:rPr>
          <w:rFonts w:hint="eastAsia" w:ascii="宋体" w:hAnsi="宋体" w:cs="宋体"/>
          <w:bCs/>
          <w:kern w:val="28"/>
          <w:sz w:val="24"/>
          <w:szCs w:val="24"/>
          <w:lang w:eastAsia="zh-CN"/>
        </w:rPr>
        <w:t xml:space="preserve">      </w:t>
      </w:r>
    </w:p>
    <w:p w14:paraId="1EF46BDE">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招标报价应是完成采购内容所需的全部费用。</w:t>
      </w:r>
    </w:p>
    <w:p w14:paraId="26A79597">
      <w:pPr>
        <w:shd w:val="clear" w:color="auto" w:fill="FFFFFF"/>
        <w:spacing w:line="360" w:lineRule="auto"/>
        <w:ind w:firstLine="480" w:firstLineChars="200"/>
        <w:rPr>
          <w:rFonts w:ascii="宋体" w:hAnsi="宋体" w:cs="宋体"/>
          <w:sz w:val="24"/>
          <w:szCs w:val="24"/>
          <w:lang w:eastAsia="zh-CN"/>
        </w:rPr>
      </w:pPr>
      <w:r>
        <w:rPr>
          <w:rFonts w:hint="eastAsia" w:ascii="宋体" w:hAnsi="宋体" w:cs="宋体"/>
          <w:kern w:val="28"/>
          <w:sz w:val="24"/>
          <w:szCs w:val="24"/>
          <w:lang w:eastAsia="zh-CN"/>
        </w:rPr>
        <w:t>单价所反映的内容同上，综合考虑在单价中。</w:t>
      </w:r>
    </w:p>
    <w:p w14:paraId="24A4075F">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附件1：设备清单</w:t>
      </w:r>
    </w:p>
    <w:p w14:paraId="588AD0CF">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附件2：质量保证承诺（签订合同时具体拟定）</w:t>
      </w:r>
    </w:p>
    <w:p w14:paraId="3E2C3C38">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附件3：售后服务方案（签订合同时具体拟定）</w:t>
      </w:r>
    </w:p>
    <w:p w14:paraId="72F437AA">
      <w:pPr>
        <w:shd w:val="clear" w:color="auto" w:fill="FFFFFF"/>
        <w:spacing w:line="360" w:lineRule="auto"/>
        <w:ind w:left="360"/>
        <w:rPr>
          <w:rFonts w:ascii="宋体" w:hAnsi="宋体" w:cs="宋体"/>
          <w:kern w:val="28"/>
          <w:sz w:val="24"/>
          <w:szCs w:val="24"/>
          <w:lang w:eastAsia="zh-CN"/>
        </w:rPr>
      </w:pPr>
      <w:r>
        <w:rPr>
          <w:rFonts w:hint="eastAsia" w:ascii="宋体" w:hAnsi="宋体" w:cs="宋体"/>
          <w:kern w:val="28"/>
          <w:sz w:val="24"/>
          <w:szCs w:val="24"/>
          <w:lang w:eastAsia="zh-CN"/>
        </w:rPr>
        <w:t xml:space="preserve">2.支付方式： 合同款支付全部通过银行转账。  </w:t>
      </w:r>
    </w:p>
    <w:p w14:paraId="3219DE39">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名     称：</w:t>
      </w:r>
      <w:r>
        <w:rPr>
          <w:rFonts w:hint="eastAsia" w:ascii="宋体" w:hAnsi="宋体" w:cs="宋体"/>
          <w:kern w:val="28"/>
          <w:sz w:val="24"/>
          <w:szCs w:val="24"/>
          <w:u w:val="single"/>
          <w:lang w:eastAsia="zh-CN"/>
        </w:rPr>
        <w:t xml:space="preserve">                          </w:t>
      </w:r>
    </w:p>
    <w:p w14:paraId="56A102C8">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开  户 行：</w:t>
      </w:r>
      <w:r>
        <w:rPr>
          <w:rFonts w:hint="eastAsia" w:ascii="宋体" w:hAnsi="宋体" w:cs="宋体"/>
          <w:kern w:val="28"/>
          <w:sz w:val="24"/>
          <w:szCs w:val="24"/>
          <w:u w:val="single"/>
          <w:lang w:eastAsia="zh-CN"/>
        </w:rPr>
        <w:t xml:space="preserve">                          </w:t>
      </w:r>
    </w:p>
    <w:p w14:paraId="2B1B6B3A">
      <w:pPr>
        <w:shd w:val="clear" w:color="auto" w:fill="FFFFFF"/>
        <w:spacing w:line="360" w:lineRule="auto"/>
        <w:ind w:firstLine="480" w:firstLineChars="200"/>
        <w:rPr>
          <w:rFonts w:ascii="宋体" w:hAnsi="宋体" w:cs="宋体"/>
          <w:kern w:val="28"/>
          <w:sz w:val="24"/>
          <w:szCs w:val="24"/>
          <w:u w:val="single"/>
          <w:lang w:eastAsia="zh-CN"/>
        </w:rPr>
      </w:pPr>
      <w:r>
        <w:rPr>
          <w:rFonts w:hint="eastAsia" w:ascii="宋体" w:hAnsi="宋体" w:cs="宋体"/>
          <w:kern w:val="28"/>
          <w:sz w:val="24"/>
          <w:szCs w:val="24"/>
          <w:lang w:eastAsia="zh-CN"/>
        </w:rPr>
        <w:t>账     号：</w:t>
      </w:r>
      <w:r>
        <w:rPr>
          <w:rFonts w:hint="eastAsia" w:ascii="宋体" w:hAnsi="宋体" w:cs="宋体"/>
          <w:kern w:val="28"/>
          <w:sz w:val="24"/>
          <w:szCs w:val="24"/>
          <w:u w:val="single"/>
          <w:lang w:eastAsia="zh-CN"/>
        </w:rPr>
        <w:t xml:space="preserve">                          </w:t>
      </w:r>
    </w:p>
    <w:p w14:paraId="7D0D9A10">
      <w:pPr>
        <w:shd w:val="clear" w:color="auto" w:fill="FFFFFF"/>
        <w:spacing w:line="360" w:lineRule="auto"/>
        <w:ind w:firstLine="480" w:firstLineChars="200"/>
        <w:rPr>
          <w:rFonts w:ascii="宋体" w:hAnsi="宋体" w:cs="宋体"/>
          <w:kern w:val="28"/>
          <w:sz w:val="24"/>
          <w:szCs w:val="24"/>
          <w:u w:val="single"/>
          <w:lang w:eastAsia="zh-CN"/>
        </w:rPr>
      </w:pPr>
      <w:r>
        <w:rPr>
          <w:rFonts w:hint="eastAsia" w:ascii="宋体" w:hAnsi="宋体" w:eastAsia="宋体" w:cs="宋体"/>
          <w:kern w:val="28"/>
          <w:sz w:val="24"/>
          <w:szCs w:val="24"/>
          <w:lang w:eastAsia="zh-CN"/>
        </w:rPr>
        <w:t>付款方式：</w:t>
      </w:r>
      <w:r>
        <w:rPr>
          <w:rFonts w:hint="eastAsia" w:ascii="宋体" w:hAnsi="宋体" w:cs="宋体"/>
          <w:kern w:val="28"/>
          <w:sz w:val="24"/>
          <w:szCs w:val="24"/>
          <w:u w:val="single"/>
          <w:lang w:eastAsia="zh-CN"/>
        </w:rPr>
        <w:t xml:space="preserve">                           </w:t>
      </w:r>
    </w:p>
    <w:p w14:paraId="35C26801">
      <w:pPr>
        <w:shd w:val="clear" w:color="auto" w:fill="FFFFFF"/>
        <w:spacing w:line="360" w:lineRule="auto"/>
        <w:ind w:firstLine="480" w:firstLineChars="200"/>
        <w:rPr>
          <w:rFonts w:hint="eastAsia" w:ascii="宋体" w:hAnsi="宋体" w:eastAsia="宋体" w:cs="宋体"/>
          <w:kern w:val="28"/>
          <w:sz w:val="24"/>
          <w:szCs w:val="24"/>
          <w:lang w:eastAsia="zh-CN"/>
        </w:rPr>
      </w:pPr>
      <w:r>
        <w:rPr>
          <w:rFonts w:hint="eastAsia" w:ascii="宋体" w:hAnsi="宋体" w:eastAsia="宋体" w:cs="宋体"/>
          <w:kern w:val="28"/>
          <w:sz w:val="24"/>
          <w:szCs w:val="24"/>
          <w:lang w:eastAsia="zh-CN"/>
        </w:rPr>
        <w:t>4.发票要求：</w:t>
      </w:r>
      <w:r>
        <w:rPr>
          <w:rFonts w:hint="eastAsia" w:ascii="宋体" w:hAnsi="宋体" w:cs="宋体"/>
          <w:kern w:val="28"/>
          <w:sz w:val="24"/>
          <w:szCs w:val="24"/>
          <w:u w:val="single"/>
          <w:lang w:eastAsia="zh-CN"/>
        </w:rPr>
        <w:t>乙方</w:t>
      </w:r>
      <w:r>
        <w:rPr>
          <w:rFonts w:hint="eastAsia" w:ascii="宋体" w:hAnsi="宋体" w:eastAsia="宋体" w:cs="宋体"/>
          <w:kern w:val="28"/>
          <w:sz w:val="24"/>
          <w:szCs w:val="24"/>
          <w:u w:val="single"/>
          <w:lang w:eastAsia="zh-CN"/>
        </w:rPr>
        <w:t>开具的发票需按实际履约内容</w:t>
      </w:r>
      <w:r>
        <w:rPr>
          <w:rFonts w:hint="eastAsia" w:ascii="宋体" w:hAnsi="宋体" w:cs="宋体"/>
          <w:kern w:val="28"/>
          <w:sz w:val="24"/>
          <w:szCs w:val="24"/>
          <w:u w:val="single"/>
          <w:lang w:eastAsia="zh-CN"/>
        </w:rPr>
        <w:t>进行</w:t>
      </w:r>
      <w:r>
        <w:rPr>
          <w:rFonts w:hint="eastAsia" w:ascii="宋体" w:hAnsi="宋体" w:eastAsia="宋体" w:cs="宋体"/>
          <w:kern w:val="28"/>
          <w:sz w:val="24"/>
          <w:szCs w:val="24"/>
          <w:u w:val="single"/>
          <w:lang w:eastAsia="zh-CN"/>
        </w:rPr>
        <w:t>列明；发票需真实、合法、有效，开票信息需与</w:t>
      </w:r>
      <w:r>
        <w:rPr>
          <w:rFonts w:hint="eastAsia" w:ascii="宋体" w:hAnsi="宋体" w:cs="宋体"/>
          <w:kern w:val="28"/>
          <w:sz w:val="24"/>
          <w:szCs w:val="24"/>
          <w:u w:val="single"/>
          <w:lang w:eastAsia="zh-CN"/>
        </w:rPr>
        <w:t>甲方</w:t>
      </w:r>
      <w:r>
        <w:rPr>
          <w:rFonts w:hint="eastAsia" w:ascii="宋体" w:hAnsi="宋体" w:eastAsia="宋体" w:cs="宋体"/>
          <w:kern w:val="28"/>
          <w:sz w:val="24"/>
          <w:szCs w:val="24"/>
          <w:u w:val="single"/>
          <w:lang w:eastAsia="zh-CN"/>
        </w:rPr>
        <w:t>提供的信息一致，发票税率、开票内容需符合国家现行税收相关规定</w:t>
      </w:r>
      <w:r>
        <w:rPr>
          <w:rFonts w:hint="eastAsia" w:ascii="宋体" w:hAnsi="宋体" w:cs="宋体"/>
          <w:kern w:val="28"/>
          <w:sz w:val="24"/>
          <w:szCs w:val="24"/>
          <w:u w:val="single"/>
          <w:lang w:eastAsia="zh-CN"/>
        </w:rPr>
        <w:t>。</w:t>
      </w:r>
      <w:r>
        <w:rPr>
          <w:rFonts w:hint="eastAsia" w:ascii="宋体" w:hAnsi="宋体" w:eastAsia="宋体" w:cs="宋体"/>
          <w:kern w:val="28"/>
          <w:sz w:val="24"/>
          <w:szCs w:val="24"/>
          <w:u w:val="single"/>
          <w:lang w:eastAsia="zh-CN"/>
        </w:rPr>
        <w:t>若因发票不合规导致</w:t>
      </w:r>
      <w:r>
        <w:rPr>
          <w:rFonts w:hint="eastAsia" w:ascii="宋体" w:hAnsi="宋体" w:cs="宋体"/>
          <w:kern w:val="28"/>
          <w:sz w:val="24"/>
          <w:szCs w:val="24"/>
          <w:u w:val="single"/>
          <w:lang w:eastAsia="zh-CN"/>
        </w:rPr>
        <w:t>甲方</w:t>
      </w:r>
      <w:r>
        <w:rPr>
          <w:rFonts w:hint="eastAsia" w:ascii="宋体" w:hAnsi="宋体" w:eastAsia="宋体" w:cs="宋体"/>
          <w:kern w:val="28"/>
          <w:sz w:val="24"/>
          <w:szCs w:val="24"/>
          <w:u w:val="single"/>
          <w:lang w:eastAsia="zh-CN"/>
        </w:rPr>
        <w:t>产生税务风险，由</w:t>
      </w:r>
      <w:r>
        <w:rPr>
          <w:rFonts w:hint="eastAsia" w:ascii="宋体" w:hAnsi="宋体" w:cs="宋体"/>
          <w:kern w:val="28"/>
          <w:sz w:val="24"/>
          <w:szCs w:val="24"/>
          <w:u w:val="single"/>
          <w:lang w:eastAsia="zh-CN"/>
        </w:rPr>
        <w:t>乙方</w:t>
      </w:r>
      <w:r>
        <w:rPr>
          <w:rFonts w:hint="eastAsia" w:ascii="宋体" w:hAnsi="宋体" w:eastAsia="宋体" w:cs="宋体"/>
          <w:kern w:val="28"/>
          <w:sz w:val="24"/>
          <w:szCs w:val="24"/>
          <w:u w:val="single"/>
          <w:lang w:eastAsia="zh-CN"/>
        </w:rPr>
        <w:t>承担全部责任并及时更换合规发票</w:t>
      </w:r>
      <w:r>
        <w:rPr>
          <w:rFonts w:hint="eastAsia" w:ascii="宋体" w:hAnsi="宋体" w:eastAsia="宋体" w:cs="宋体"/>
          <w:kern w:val="28"/>
          <w:sz w:val="24"/>
          <w:szCs w:val="24"/>
          <w:lang w:eastAsia="zh-CN"/>
        </w:rPr>
        <w:t>。</w:t>
      </w:r>
    </w:p>
    <w:p w14:paraId="29A587BA">
      <w:pPr>
        <w:spacing w:line="360" w:lineRule="auto"/>
        <w:ind w:firstLine="480" w:firstLineChars="200"/>
        <w:rPr>
          <w:rFonts w:ascii="宋体" w:hAnsi="宋体" w:cs="宋体"/>
          <w:b/>
          <w:bCs/>
          <w:sz w:val="24"/>
          <w:szCs w:val="24"/>
          <w:lang w:eastAsia="zh-CN"/>
        </w:rPr>
      </w:pPr>
      <w:bookmarkStart w:id="27" w:name="_Toc466270651"/>
      <w:bookmarkStart w:id="28" w:name="_Toc465511162"/>
      <w:bookmarkStart w:id="29" w:name="_Toc465510859"/>
      <w:bookmarkStart w:id="30" w:name="_Toc476761654"/>
      <w:bookmarkStart w:id="31" w:name="_Toc465511117"/>
      <w:bookmarkStart w:id="32" w:name="_Toc468550423"/>
      <w:r>
        <w:rPr>
          <w:rFonts w:hint="eastAsia" w:ascii="宋体" w:hAnsi="宋体" w:cs="宋体"/>
          <w:b/>
          <w:bCs/>
          <w:sz w:val="24"/>
          <w:szCs w:val="24"/>
          <w:lang w:eastAsia="zh-CN"/>
        </w:rPr>
        <w:t>五、权利与义务</w:t>
      </w:r>
      <w:bookmarkEnd w:id="27"/>
      <w:bookmarkEnd w:id="28"/>
      <w:bookmarkEnd w:id="29"/>
      <w:bookmarkEnd w:id="30"/>
      <w:bookmarkEnd w:id="31"/>
      <w:bookmarkEnd w:id="32"/>
      <w:bookmarkStart w:id="33" w:name="_Toc476761655"/>
      <w:bookmarkStart w:id="34" w:name="_Toc468550424"/>
      <w:bookmarkStart w:id="35" w:name="_Toc466270652"/>
      <w:bookmarkStart w:id="36" w:name="_Toc465511163"/>
      <w:bookmarkStart w:id="37" w:name="_Toc465511118"/>
      <w:bookmarkStart w:id="38" w:name="_Toc465510860"/>
    </w:p>
    <w:p w14:paraId="01296966">
      <w:pPr>
        <w:spacing w:line="360" w:lineRule="auto"/>
        <w:ind w:firstLine="480" w:firstLineChars="200"/>
        <w:rPr>
          <w:rFonts w:ascii="宋体" w:hAnsi="宋体" w:cs="宋体"/>
          <w:b/>
          <w:bCs/>
          <w:sz w:val="24"/>
          <w:szCs w:val="24"/>
          <w:lang w:eastAsia="zh-CN"/>
        </w:rPr>
      </w:pPr>
      <w:r>
        <w:rPr>
          <w:rFonts w:hint="eastAsia" w:ascii="宋体" w:hAnsi="宋体" w:cs="宋体"/>
          <w:b/>
          <w:bCs/>
          <w:sz w:val="24"/>
          <w:szCs w:val="24"/>
          <w:lang w:eastAsia="zh-CN"/>
        </w:rPr>
        <w:t>（一）甲方的权利与义务</w:t>
      </w:r>
      <w:bookmarkEnd w:id="33"/>
      <w:bookmarkEnd w:id="34"/>
      <w:bookmarkEnd w:id="35"/>
      <w:bookmarkEnd w:id="36"/>
      <w:bookmarkEnd w:id="37"/>
      <w:bookmarkEnd w:id="38"/>
    </w:p>
    <w:p w14:paraId="4174EAA8">
      <w:pPr>
        <w:spacing w:line="360" w:lineRule="auto"/>
        <w:ind w:firstLine="480" w:firstLineChars="200"/>
        <w:rPr>
          <w:rFonts w:ascii="宋体" w:hAnsi="宋体" w:cs="宋体"/>
          <w:kern w:val="28"/>
          <w:sz w:val="24"/>
          <w:szCs w:val="24"/>
          <w:lang w:eastAsia="zh-CN"/>
        </w:rPr>
      </w:pPr>
      <w:r>
        <w:rPr>
          <w:rFonts w:hint="eastAsia" w:ascii="宋体" w:hAnsi="宋体" w:cs="宋体"/>
          <w:sz w:val="24"/>
          <w:szCs w:val="24"/>
          <w:lang w:eastAsia="zh-CN"/>
        </w:rPr>
        <w:t>1.甲方有权要求</w:t>
      </w:r>
      <w:r>
        <w:rPr>
          <w:rFonts w:hint="eastAsia" w:ascii="宋体" w:hAnsi="宋体" w:cs="宋体"/>
          <w:kern w:val="28"/>
          <w:sz w:val="24"/>
          <w:szCs w:val="24"/>
          <w:lang w:eastAsia="zh-CN"/>
        </w:rPr>
        <w:t>乙方供货的项目内容符合国家相关规范，符合国家验收标准，能够通过国家验收。</w:t>
      </w:r>
    </w:p>
    <w:p w14:paraId="236D9096">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2.甲方有权要求乙方配合甲方完成所采购项目内容的预验收工作以及正式验收工作。</w:t>
      </w:r>
    </w:p>
    <w:p w14:paraId="624E41D9">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3.甲方有权要求乙方提供的产品所涉及的第三方权利进行免责。</w:t>
      </w:r>
    </w:p>
    <w:p w14:paraId="5C0B3C5C">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4.甲方有义务保证按合同所规定的内容及时间支付乙方相关费用。</w:t>
      </w:r>
    </w:p>
    <w:p w14:paraId="62CA3705">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5.甲方项目负责人为</w:t>
      </w:r>
      <w:r>
        <w:rPr>
          <w:rFonts w:hint="eastAsia" w:ascii="宋体" w:hAnsi="宋体" w:cs="宋体"/>
          <w:kern w:val="28"/>
          <w:sz w:val="24"/>
          <w:szCs w:val="24"/>
          <w:u w:val="single"/>
          <w:lang w:eastAsia="zh-CN"/>
        </w:rPr>
        <w:t xml:space="preserve">         </w:t>
      </w:r>
      <w:r>
        <w:rPr>
          <w:rFonts w:hint="eastAsia" w:ascii="宋体" w:hAnsi="宋体" w:cs="宋体"/>
          <w:kern w:val="28"/>
          <w:sz w:val="24"/>
          <w:szCs w:val="24"/>
          <w:lang w:eastAsia="zh-CN"/>
        </w:rPr>
        <w:t>。</w:t>
      </w:r>
    </w:p>
    <w:p w14:paraId="7B253ABD">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6.协调乙方供货时与其他单位的关系。</w:t>
      </w:r>
    </w:p>
    <w:p w14:paraId="2C0AD62E">
      <w:pPr>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7.乙方不能按甲方要求及时供货，甲方有单方解除合同的权利。解除合同的同时，甲方有权利与评审报告中排名第二的投标人签订新的供货合同。</w:t>
      </w:r>
    </w:p>
    <w:p w14:paraId="42884811">
      <w:pPr>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8.因乙方原因供货延误，给甲方造成损失或被第三方要求索赔的，乙方应全额承担。</w:t>
      </w:r>
      <w:bookmarkStart w:id="39" w:name="_Toc465511164"/>
      <w:bookmarkStart w:id="40" w:name="_Toc465511119"/>
      <w:bookmarkStart w:id="41" w:name="_Toc476761656"/>
      <w:bookmarkStart w:id="42" w:name="_Toc468550425"/>
      <w:bookmarkStart w:id="43" w:name="_Toc465510861"/>
      <w:bookmarkStart w:id="44" w:name="_Toc466270653"/>
    </w:p>
    <w:p w14:paraId="1B2FCBCF">
      <w:pPr>
        <w:spacing w:line="360" w:lineRule="auto"/>
        <w:ind w:firstLine="480" w:firstLineChars="200"/>
        <w:rPr>
          <w:rFonts w:ascii="宋体" w:hAnsi="宋体" w:cs="宋体"/>
          <w:b/>
          <w:bCs/>
          <w:kern w:val="28"/>
          <w:sz w:val="24"/>
          <w:szCs w:val="24"/>
          <w:lang w:eastAsia="zh-CN"/>
        </w:rPr>
      </w:pPr>
      <w:r>
        <w:rPr>
          <w:rFonts w:hint="eastAsia" w:ascii="宋体" w:hAnsi="宋体" w:cs="宋体"/>
          <w:b/>
          <w:bCs/>
          <w:kern w:val="28"/>
          <w:sz w:val="24"/>
          <w:szCs w:val="24"/>
          <w:lang w:eastAsia="zh-CN"/>
        </w:rPr>
        <w:t>（二）乙方的权利与义务</w:t>
      </w:r>
      <w:bookmarkEnd w:id="39"/>
      <w:bookmarkEnd w:id="40"/>
      <w:bookmarkEnd w:id="41"/>
      <w:bookmarkEnd w:id="42"/>
      <w:bookmarkEnd w:id="43"/>
      <w:bookmarkEnd w:id="44"/>
    </w:p>
    <w:p w14:paraId="1960F99E">
      <w:pPr>
        <w:spacing w:line="360" w:lineRule="auto"/>
        <w:ind w:firstLine="480" w:firstLineChars="200"/>
        <w:rPr>
          <w:rFonts w:ascii="宋体" w:hAnsi="宋体" w:cs="宋体"/>
          <w:sz w:val="24"/>
          <w:szCs w:val="24"/>
          <w:lang w:eastAsia="zh-CN"/>
        </w:rPr>
      </w:pPr>
      <w:r>
        <w:rPr>
          <w:rFonts w:hint="eastAsia" w:ascii="宋体" w:hAnsi="宋体" w:cs="宋体"/>
          <w:kern w:val="28"/>
          <w:sz w:val="24"/>
          <w:szCs w:val="24"/>
          <w:lang w:eastAsia="zh-CN"/>
        </w:rPr>
        <w:t>1.乙方应</w:t>
      </w:r>
      <w:r>
        <w:rPr>
          <w:rFonts w:hint="eastAsia" w:ascii="宋体" w:hAnsi="宋体" w:cs="宋体"/>
          <w:sz w:val="24"/>
          <w:szCs w:val="24"/>
          <w:lang w:eastAsia="zh-CN"/>
        </w:rPr>
        <w:t>按本合同的规定供货，并保证产品质量。</w:t>
      </w:r>
    </w:p>
    <w:p w14:paraId="2092C1AD">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2.乙方有义务配合甲方参与项目的预验收、正式竣工验收工作，并确保所供货物符合本项目国家现行标准。</w:t>
      </w:r>
    </w:p>
    <w:p w14:paraId="3B0C9E45">
      <w:pPr>
        <w:shd w:val="clear" w:color="auto" w:fill="FFFFFF"/>
        <w:spacing w:line="360" w:lineRule="auto"/>
        <w:ind w:firstLine="480" w:firstLineChars="200"/>
        <w:rPr>
          <w:rFonts w:ascii="宋体" w:hAnsi="宋体" w:cs="宋体"/>
          <w:sz w:val="24"/>
          <w:szCs w:val="24"/>
          <w:lang w:eastAsia="zh-CN"/>
        </w:rPr>
      </w:pPr>
      <w:r>
        <w:rPr>
          <w:rFonts w:hint="eastAsia" w:ascii="宋体" w:hAnsi="宋体" w:cs="宋体"/>
          <w:kern w:val="28"/>
          <w:sz w:val="24"/>
          <w:szCs w:val="24"/>
          <w:lang w:eastAsia="zh-CN"/>
        </w:rPr>
        <w:t>3.乙方</w:t>
      </w:r>
      <w:r>
        <w:rPr>
          <w:rFonts w:hint="eastAsia" w:ascii="宋体" w:hAnsi="宋体" w:cs="宋体"/>
          <w:sz w:val="24"/>
          <w:szCs w:val="24"/>
          <w:lang w:eastAsia="zh-CN"/>
        </w:rPr>
        <w:t>项目负责人为</w:t>
      </w:r>
      <w:r>
        <w:rPr>
          <w:rFonts w:hint="eastAsia" w:ascii="宋体" w:hAnsi="宋体" w:cs="宋体"/>
          <w:sz w:val="24"/>
          <w:szCs w:val="24"/>
          <w:u w:val="single"/>
          <w:lang w:eastAsia="zh-CN"/>
        </w:rPr>
        <w:t xml:space="preserve">         </w:t>
      </w:r>
      <w:r>
        <w:rPr>
          <w:rFonts w:hint="eastAsia" w:ascii="宋体" w:hAnsi="宋体" w:cs="宋体"/>
          <w:sz w:val="24"/>
          <w:szCs w:val="24"/>
          <w:lang w:eastAsia="zh-CN"/>
        </w:rPr>
        <w:t>。</w:t>
      </w:r>
    </w:p>
    <w:p w14:paraId="31EF476B">
      <w:pPr>
        <w:pStyle w:val="5"/>
        <w:spacing w:line="360" w:lineRule="auto"/>
        <w:ind w:firstLine="480"/>
        <w:rPr>
          <w:rFonts w:ascii="宋体" w:hAnsi="宋体" w:cs="宋体"/>
          <w:sz w:val="24"/>
          <w:szCs w:val="24"/>
          <w:lang w:eastAsia="zh-CN"/>
        </w:rPr>
      </w:pPr>
      <w:r>
        <w:rPr>
          <w:rFonts w:hint="eastAsia" w:ascii="宋体" w:hAnsi="宋体" w:cs="宋体"/>
          <w:sz w:val="24"/>
          <w:szCs w:val="24"/>
          <w:lang w:eastAsia="zh-CN"/>
        </w:rPr>
        <w:t>4.乙方产品进场时应充分了解甲方的现场各项管理标准文件，并在进场后全面服从甲方的管理制度、管理细则等。</w:t>
      </w:r>
    </w:p>
    <w:p w14:paraId="331E6B3E">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5.遵守产品安装作业的有关规定，做好作业现场安全管理；协助甲方做好作业现场的安全保卫、防火防盗工作，确保作业顺利进行；接受甲方现场管理人员的监督和检查，保证作业质量和安全文明作业。</w:t>
      </w:r>
    </w:p>
    <w:p w14:paraId="3CE1F95B">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6.按甲方指定地点将货物码放整齐，及时清运过程中产生的垃圾，保持现场整洁。</w:t>
      </w:r>
    </w:p>
    <w:p w14:paraId="1A346A26">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7.在货物验收时，向买方提供《货物合格证》《货物使用说明书》等技术文件。</w:t>
      </w:r>
    </w:p>
    <w:p w14:paraId="694B26E2">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8.项目中所涉及的所有相关政府部门审批手续全部由乙方协调办理，且支付相关费用，甲方不再办理其相关手续及支付相关费用。</w:t>
      </w:r>
    </w:p>
    <w:p w14:paraId="37A6F9F0">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9.质量保证期内发生质量问题的，应当免费及时进行更换或维修。</w:t>
      </w:r>
    </w:p>
    <w:p w14:paraId="7BF82CFD">
      <w:pPr>
        <w:spacing w:line="360" w:lineRule="auto"/>
        <w:ind w:firstLine="480" w:firstLineChars="200"/>
        <w:rPr>
          <w:rFonts w:ascii="宋体" w:hAnsi="宋体" w:cs="宋体"/>
          <w:b/>
          <w:bCs/>
          <w:sz w:val="24"/>
          <w:szCs w:val="24"/>
          <w:lang w:eastAsia="zh-CN"/>
        </w:rPr>
      </w:pPr>
      <w:bookmarkStart w:id="45" w:name="_Toc468550426"/>
      <w:bookmarkStart w:id="46" w:name="_Toc476761657"/>
      <w:bookmarkStart w:id="47" w:name="_Toc465511165"/>
      <w:bookmarkStart w:id="48" w:name="_Toc465510862"/>
      <w:bookmarkStart w:id="49" w:name="_Toc466270654"/>
      <w:bookmarkStart w:id="50" w:name="_Toc465511120"/>
      <w:r>
        <w:rPr>
          <w:rFonts w:hint="eastAsia" w:ascii="宋体" w:hAnsi="宋体" w:cs="宋体"/>
          <w:b/>
          <w:bCs/>
          <w:sz w:val="24"/>
          <w:szCs w:val="24"/>
          <w:lang w:eastAsia="zh-CN"/>
        </w:rPr>
        <w:t>六、质量要求、技术标准</w:t>
      </w:r>
      <w:bookmarkEnd w:id="45"/>
      <w:bookmarkEnd w:id="46"/>
      <w:bookmarkEnd w:id="47"/>
      <w:bookmarkEnd w:id="48"/>
      <w:bookmarkEnd w:id="49"/>
      <w:bookmarkEnd w:id="50"/>
    </w:p>
    <w:p w14:paraId="43CA49A8">
      <w:pPr>
        <w:shd w:val="clear" w:color="auto" w:fill="FFFFFF"/>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1.质量要求：作业达到合格标准且满足采购人需求，并办理完毕所有政府行政审批手续，正常投入使用。</w:t>
      </w:r>
    </w:p>
    <w:p w14:paraId="67BD4937">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所使用主要设备及材料在设计、制造、包装、运输过程中，严格执行国家及行业标准规范。</w:t>
      </w:r>
    </w:p>
    <w:p w14:paraId="61C57331">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2.详见产品执行的国家技术标准。</w:t>
      </w:r>
    </w:p>
    <w:p w14:paraId="63FD6F3C">
      <w:pPr>
        <w:spacing w:line="360" w:lineRule="auto"/>
        <w:ind w:firstLine="480" w:firstLineChars="200"/>
        <w:rPr>
          <w:rFonts w:ascii="宋体" w:hAnsi="宋体" w:cs="宋体"/>
          <w:b/>
          <w:bCs/>
          <w:sz w:val="24"/>
          <w:szCs w:val="24"/>
          <w:lang w:eastAsia="zh-CN"/>
        </w:rPr>
      </w:pPr>
      <w:bookmarkStart w:id="51" w:name="_Toc468550427"/>
      <w:bookmarkStart w:id="52" w:name="_Toc465511121"/>
      <w:bookmarkStart w:id="53" w:name="_Toc465510863"/>
      <w:bookmarkStart w:id="54" w:name="_Toc466270655"/>
      <w:bookmarkStart w:id="55" w:name="_Toc476761658"/>
      <w:bookmarkStart w:id="56" w:name="_Toc465511166"/>
      <w:r>
        <w:rPr>
          <w:rFonts w:hint="eastAsia" w:ascii="宋体" w:hAnsi="宋体" w:cs="宋体"/>
          <w:b/>
          <w:bCs/>
          <w:sz w:val="24"/>
          <w:szCs w:val="24"/>
          <w:lang w:eastAsia="zh-CN"/>
        </w:rPr>
        <w:t>七、设备要求</w:t>
      </w:r>
      <w:bookmarkEnd w:id="51"/>
      <w:bookmarkEnd w:id="52"/>
      <w:bookmarkEnd w:id="53"/>
      <w:bookmarkEnd w:id="54"/>
      <w:bookmarkEnd w:id="55"/>
      <w:bookmarkEnd w:id="56"/>
    </w:p>
    <w:p w14:paraId="2B13D140">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乙方应保证所提供的设备均为崭新的、合法的正品，其质量、规格和性能应完全满足合同约定要求。</w:t>
      </w:r>
    </w:p>
    <w:p w14:paraId="61FCC471">
      <w:pPr>
        <w:spacing w:line="360" w:lineRule="auto"/>
        <w:ind w:firstLine="480" w:firstLineChars="200"/>
        <w:rPr>
          <w:rFonts w:ascii="宋体" w:hAnsi="宋体" w:cs="宋体"/>
          <w:b/>
          <w:bCs/>
          <w:sz w:val="24"/>
          <w:szCs w:val="24"/>
          <w:lang w:eastAsia="zh-CN"/>
        </w:rPr>
      </w:pPr>
      <w:bookmarkStart w:id="57" w:name="_Toc465511122"/>
      <w:bookmarkStart w:id="58" w:name="_Toc476761659"/>
      <w:bookmarkStart w:id="59" w:name="_Toc466270656"/>
      <w:bookmarkStart w:id="60" w:name="_Toc468550428"/>
      <w:bookmarkStart w:id="61" w:name="_Toc465510864"/>
      <w:bookmarkStart w:id="62" w:name="_Toc465511167"/>
      <w:r>
        <w:rPr>
          <w:rFonts w:hint="eastAsia" w:ascii="宋体" w:hAnsi="宋体" w:cs="宋体"/>
          <w:b/>
          <w:bCs/>
          <w:sz w:val="24"/>
          <w:szCs w:val="24"/>
          <w:lang w:eastAsia="zh-CN"/>
        </w:rPr>
        <w:t>八、设备交货地点</w:t>
      </w:r>
      <w:bookmarkEnd w:id="57"/>
      <w:bookmarkEnd w:id="58"/>
      <w:bookmarkEnd w:id="59"/>
      <w:bookmarkEnd w:id="60"/>
      <w:bookmarkEnd w:id="61"/>
      <w:bookmarkEnd w:id="62"/>
    </w:p>
    <w:p w14:paraId="423D5B77">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具体交货及安装地点由甲方指定（乙方负责运输，运费、运杂费及保险费已包括在合同总价内）。</w:t>
      </w:r>
    </w:p>
    <w:p w14:paraId="1CCBAA87">
      <w:pPr>
        <w:spacing w:line="360" w:lineRule="auto"/>
        <w:ind w:firstLine="480" w:firstLineChars="200"/>
        <w:rPr>
          <w:rFonts w:ascii="宋体" w:hAnsi="宋体" w:cs="宋体"/>
          <w:b/>
          <w:bCs/>
          <w:sz w:val="24"/>
          <w:szCs w:val="24"/>
          <w:lang w:eastAsia="zh-CN"/>
        </w:rPr>
      </w:pPr>
      <w:bookmarkStart w:id="63" w:name="_Toc476761660"/>
      <w:bookmarkStart w:id="64" w:name="_Toc466270657"/>
      <w:bookmarkStart w:id="65" w:name="_Toc465510865"/>
      <w:bookmarkStart w:id="66" w:name="_Toc465511168"/>
      <w:bookmarkStart w:id="67" w:name="_Toc465511123"/>
      <w:bookmarkStart w:id="68" w:name="_Toc468550429"/>
      <w:r>
        <w:rPr>
          <w:rFonts w:hint="eastAsia" w:ascii="宋体" w:hAnsi="宋体" w:cs="宋体"/>
          <w:b/>
          <w:bCs/>
          <w:sz w:val="24"/>
          <w:szCs w:val="24"/>
          <w:lang w:eastAsia="zh-CN"/>
        </w:rPr>
        <w:t>九、货物验收</w:t>
      </w:r>
      <w:bookmarkEnd w:id="63"/>
      <w:bookmarkEnd w:id="64"/>
      <w:bookmarkEnd w:id="65"/>
      <w:bookmarkEnd w:id="66"/>
      <w:bookmarkEnd w:id="67"/>
      <w:bookmarkEnd w:id="68"/>
    </w:p>
    <w:p w14:paraId="03C94B4B">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1.在发货前，乙方应对货物的质量、规格、数量等进行准确而全面的检验，并出具产品生产产地证明材料 （加盖公章）。</w:t>
      </w:r>
    </w:p>
    <w:p w14:paraId="50FBC026">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2.甲方将在供货单位交货现场组织验收，如果货物达不到国家的质量及企业标准或与谈判时封存样品不符，甲方有权拒绝接收。</w:t>
      </w:r>
    </w:p>
    <w:p w14:paraId="1900D9DB">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3.验收时未能出具甲方要求的证明材料的（包含但不限于产品说明书、合格证等），甲方有权拒绝接收。</w:t>
      </w:r>
    </w:p>
    <w:p w14:paraId="3100DE6C">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4.需要安装调试的，必须在经过货物质量初验后进行安装和调试。安装调试时应当按照甲方相关要求进行。</w:t>
      </w:r>
    </w:p>
    <w:p w14:paraId="4354E444">
      <w:pPr>
        <w:spacing w:line="360" w:lineRule="auto"/>
        <w:ind w:firstLine="480" w:firstLineChars="200"/>
        <w:rPr>
          <w:rFonts w:ascii="宋体" w:hAnsi="宋体" w:cs="宋体"/>
          <w:b/>
          <w:bCs/>
          <w:sz w:val="24"/>
          <w:szCs w:val="24"/>
          <w:lang w:eastAsia="zh-CN"/>
        </w:rPr>
      </w:pPr>
      <w:bookmarkStart w:id="69" w:name="_Toc476761661"/>
      <w:bookmarkStart w:id="70" w:name="_Toc466270658"/>
      <w:bookmarkStart w:id="71" w:name="_Toc465511169"/>
      <w:bookmarkStart w:id="72" w:name="_Toc465510866"/>
      <w:bookmarkStart w:id="73" w:name="_Toc465511124"/>
      <w:bookmarkStart w:id="74" w:name="_Toc468550430"/>
      <w:r>
        <w:rPr>
          <w:rFonts w:hint="eastAsia" w:ascii="宋体" w:hAnsi="宋体" w:cs="宋体"/>
          <w:b/>
          <w:bCs/>
          <w:sz w:val="24"/>
          <w:szCs w:val="24"/>
          <w:lang w:eastAsia="zh-CN"/>
        </w:rPr>
        <w:t>十、保密条款</w:t>
      </w:r>
      <w:bookmarkEnd w:id="69"/>
      <w:bookmarkEnd w:id="70"/>
      <w:bookmarkEnd w:id="71"/>
      <w:bookmarkEnd w:id="72"/>
      <w:bookmarkEnd w:id="73"/>
      <w:bookmarkEnd w:id="74"/>
    </w:p>
    <w:p w14:paraId="20E8092E">
      <w:pPr>
        <w:spacing w:line="360" w:lineRule="auto"/>
        <w:ind w:firstLine="480" w:firstLineChars="200"/>
        <w:rPr>
          <w:rFonts w:ascii="宋体" w:hAnsi="宋体" w:cs="宋体"/>
          <w:kern w:val="28"/>
          <w:sz w:val="24"/>
          <w:szCs w:val="24"/>
          <w:lang w:eastAsia="zh-CN"/>
        </w:rPr>
      </w:pPr>
      <w:r>
        <w:rPr>
          <w:rFonts w:hint="eastAsia" w:ascii="宋体" w:hAnsi="宋体" w:cs="宋体"/>
          <w:sz w:val="24"/>
          <w:szCs w:val="24"/>
          <w:lang w:eastAsia="zh-CN"/>
        </w:rPr>
        <w:t>双方承诺，除非法律另有规定或双</w:t>
      </w:r>
      <w:r>
        <w:rPr>
          <w:rFonts w:hint="eastAsia" w:ascii="宋体" w:hAnsi="宋体" w:cs="宋体"/>
          <w:kern w:val="28"/>
          <w:sz w:val="24"/>
          <w:szCs w:val="24"/>
          <w:lang w:eastAsia="zh-CN"/>
        </w:rPr>
        <w:t>方一致同意，任何一方不得将本协议的内容向第三方透露，否则，应向对方承担相应的违约责任。</w:t>
      </w:r>
    </w:p>
    <w:p w14:paraId="66AD273F">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1.双方同意在本协议期限内或之后：</w:t>
      </w:r>
    </w:p>
    <w:p w14:paraId="66120260">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（1）只为本协议目的而使用属于对方的保密资料；</w:t>
      </w:r>
    </w:p>
    <w:p w14:paraId="43A2009F">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（2）在未得到对方书面同意之前，不将对方的保密资料披露给第三方；</w:t>
      </w:r>
    </w:p>
    <w:p w14:paraId="385573EC">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（3）如果披露方要求，接收方应立即将任何被要求退还的保密资料退还给披露方。</w:t>
      </w:r>
    </w:p>
    <w:p w14:paraId="41FA6900">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2.本协议中，保密资料是指任何一方所有的与披露方现有的潜在的业务、运营或财务状况直接或间接有关的书面、演示、电子或其他形式的资料（包括：价格、市场营销计划、客户名单、相关数据等），但不包括以下资料：</w:t>
      </w:r>
    </w:p>
    <w:p w14:paraId="076B1E6C">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（1）为公众所知的；</w:t>
      </w:r>
    </w:p>
    <w:p w14:paraId="655DF8A4">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（2）接受方通过没有保密义务的独立渠道合法获得的资料；</w:t>
      </w:r>
    </w:p>
    <w:p w14:paraId="16891256">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（3）接受方在本协议保密条款签订之前已经知道的资料；</w:t>
      </w:r>
    </w:p>
    <w:p w14:paraId="55B0AD3C">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（4）因法律行为（包括诉讼、仲裁等行为）和执行国家政策的需要进行披露的资料。</w:t>
      </w:r>
    </w:p>
    <w:p w14:paraId="749938C9">
      <w:pPr>
        <w:shd w:val="clear" w:color="auto" w:fill="FFFFFF"/>
        <w:spacing w:line="360" w:lineRule="auto"/>
        <w:ind w:firstLine="480" w:firstLineChars="200"/>
        <w:rPr>
          <w:rFonts w:ascii="宋体" w:hAnsi="宋体" w:cs="宋体"/>
          <w:b/>
          <w:bCs/>
          <w:kern w:val="28"/>
          <w:sz w:val="24"/>
          <w:szCs w:val="24"/>
          <w:lang w:eastAsia="zh-CN"/>
        </w:rPr>
      </w:pPr>
      <w:r>
        <w:rPr>
          <w:rFonts w:hint="eastAsia" w:ascii="宋体" w:hAnsi="宋体" w:cs="宋体"/>
          <w:b/>
          <w:bCs/>
          <w:kern w:val="28"/>
          <w:sz w:val="24"/>
          <w:szCs w:val="24"/>
          <w:lang w:eastAsia="zh-CN"/>
        </w:rPr>
        <w:t>十一、其他特殊要求</w:t>
      </w:r>
    </w:p>
    <w:p w14:paraId="3AA97351">
      <w:pPr>
        <w:shd w:val="clear" w:color="auto" w:fill="FFFFFF"/>
        <w:spacing w:line="360" w:lineRule="auto"/>
        <w:ind w:firstLine="480" w:firstLineChars="200"/>
        <w:rPr>
          <w:rFonts w:ascii="宋体" w:hAnsi="宋体" w:cs="宋体"/>
          <w:b/>
          <w:sz w:val="24"/>
          <w:szCs w:val="24"/>
          <w:lang w:eastAsia="zh-CN"/>
        </w:rPr>
      </w:pPr>
      <w:r>
        <w:rPr>
          <w:rFonts w:hint="eastAsia" w:ascii="宋体" w:hAnsi="宋体" w:cs="宋体"/>
          <w:b/>
          <w:sz w:val="24"/>
          <w:szCs w:val="24"/>
          <w:lang w:eastAsia="zh-CN"/>
        </w:rPr>
        <w:t>1.安装、调试及培训：</w:t>
      </w:r>
      <w:r>
        <w:rPr>
          <w:rFonts w:hint="eastAsia" w:ascii="宋体" w:hAnsi="宋体" w:cs="宋体"/>
          <w:b/>
          <w:sz w:val="24"/>
          <w:szCs w:val="24"/>
          <w:u w:val="single"/>
          <w:lang w:eastAsia="zh-CN"/>
        </w:rPr>
        <w:t xml:space="preserve">           </w:t>
      </w:r>
    </w:p>
    <w:p w14:paraId="3093485E">
      <w:pPr>
        <w:shd w:val="clear" w:color="auto" w:fill="FFFFFF"/>
        <w:spacing w:line="360" w:lineRule="auto"/>
        <w:ind w:firstLine="360" w:firstLineChars="150"/>
        <w:rPr>
          <w:rFonts w:ascii="宋体" w:hAnsi="宋体" w:cs="宋体"/>
          <w:b/>
          <w:sz w:val="24"/>
          <w:szCs w:val="24"/>
          <w:lang w:eastAsia="zh-CN"/>
        </w:rPr>
      </w:pPr>
      <w:r>
        <w:rPr>
          <w:rFonts w:hint="eastAsia" w:ascii="宋体" w:hAnsi="宋体" w:cs="宋体"/>
          <w:b/>
          <w:sz w:val="24"/>
          <w:szCs w:val="24"/>
          <w:lang w:eastAsia="zh-CN"/>
        </w:rPr>
        <w:t xml:space="preserve"> 2.设备质量要求： </w:t>
      </w:r>
      <w:r>
        <w:rPr>
          <w:rFonts w:hint="eastAsia" w:ascii="宋体" w:hAnsi="宋体" w:cs="宋体"/>
          <w:b/>
          <w:sz w:val="24"/>
          <w:szCs w:val="24"/>
          <w:u w:val="single"/>
          <w:lang w:eastAsia="zh-CN"/>
        </w:rPr>
        <w:t xml:space="preserve">              </w:t>
      </w:r>
    </w:p>
    <w:p w14:paraId="06DFA177">
      <w:pPr>
        <w:shd w:val="clear" w:color="auto" w:fill="FFFFFF"/>
        <w:spacing w:line="360" w:lineRule="auto"/>
        <w:ind w:firstLine="480" w:firstLineChars="200"/>
        <w:rPr>
          <w:rFonts w:ascii="宋体" w:hAnsi="宋体" w:cs="宋体"/>
          <w:b/>
          <w:sz w:val="24"/>
          <w:szCs w:val="24"/>
          <w:lang w:eastAsia="zh-CN"/>
        </w:rPr>
      </w:pPr>
      <w:r>
        <w:rPr>
          <w:rFonts w:hint="eastAsia" w:ascii="宋体" w:hAnsi="宋体" w:cs="宋体"/>
          <w:b/>
          <w:sz w:val="24"/>
          <w:szCs w:val="24"/>
          <w:lang w:eastAsia="zh-CN"/>
        </w:rPr>
        <w:t>3.设备验收：</w:t>
      </w:r>
      <w:r>
        <w:rPr>
          <w:rFonts w:hint="eastAsia" w:ascii="宋体" w:hAnsi="宋体" w:cs="宋体"/>
          <w:b/>
          <w:sz w:val="24"/>
          <w:szCs w:val="24"/>
          <w:u w:val="single"/>
          <w:lang w:eastAsia="zh-CN"/>
        </w:rPr>
        <w:t xml:space="preserve">                   </w:t>
      </w:r>
    </w:p>
    <w:p w14:paraId="5DD7253B">
      <w:pPr>
        <w:shd w:val="clear" w:color="auto" w:fill="FFFFFF"/>
        <w:spacing w:line="360" w:lineRule="auto"/>
        <w:ind w:firstLine="360" w:firstLineChars="150"/>
        <w:rPr>
          <w:rFonts w:ascii="宋体" w:hAnsi="宋体" w:cs="宋体"/>
          <w:b/>
          <w:sz w:val="24"/>
          <w:szCs w:val="24"/>
          <w:lang w:eastAsia="zh-CN"/>
        </w:rPr>
      </w:pPr>
      <w:r>
        <w:rPr>
          <w:rFonts w:hint="eastAsia" w:ascii="宋体" w:hAnsi="宋体" w:cs="宋体"/>
          <w:b/>
          <w:sz w:val="24"/>
          <w:szCs w:val="24"/>
          <w:lang w:eastAsia="zh-CN"/>
        </w:rPr>
        <w:t xml:space="preserve"> 4.安全管理：</w:t>
      </w:r>
      <w:r>
        <w:rPr>
          <w:rFonts w:hint="eastAsia" w:ascii="宋体" w:hAnsi="宋体" w:cs="宋体"/>
          <w:b/>
          <w:sz w:val="24"/>
          <w:szCs w:val="24"/>
          <w:u w:val="single"/>
          <w:lang w:eastAsia="zh-CN"/>
        </w:rPr>
        <w:t xml:space="preserve">                   </w:t>
      </w:r>
    </w:p>
    <w:p w14:paraId="3AAFAD43">
      <w:pPr>
        <w:shd w:val="clear" w:color="auto" w:fill="FFFFFF"/>
        <w:spacing w:line="360" w:lineRule="auto"/>
        <w:ind w:firstLine="480" w:firstLineChars="200"/>
        <w:rPr>
          <w:rFonts w:ascii="宋体" w:hAnsi="宋体" w:cs="宋体"/>
          <w:b/>
          <w:sz w:val="24"/>
          <w:szCs w:val="24"/>
          <w:lang w:eastAsia="zh-CN"/>
        </w:rPr>
      </w:pPr>
      <w:r>
        <w:rPr>
          <w:rFonts w:hint="eastAsia" w:ascii="宋体" w:hAnsi="宋体" w:cs="宋体"/>
          <w:b/>
          <w:sz w:val="24"/>
          <w:szCs w:val="24"/>
          <w:lang w:eastAsia="zh-CN"/>
        </w:rPr>
        <w:t>……</w:t>
      </w:r>
    </w:p>
    <w:p w14:paraId="5E9C922D">
      <w:pPr>
        <w:spacing w:line="360" w:lineRule="auto"/>
        <w:ind w:firstLine="480" w:firstLineChars="200"/>
        <w:rPr>
          <w:rFonts w:ascii="宋体" w:hAnsi="宋体" w:cs="宋体"/>
          <w:b/>
          <w:bCs/>
          <w:sz w:val="24"/>
          <w:szCs w:val="24"/>
          <w:lang w:eastAsia="zh-CN"/>
        </w:rPr>
      </w:pPr>
      <w:bookmarkStart w:id="75" w:name="_Toc465510867"/>
      <w:bookmarkStart w:id="76" w:name="_Toc465511125"/>
      <w:bookmarkStart w:id="77" w:name="_Toc468550431"/>
      <w:bookmarkStart w:id="78" w:name="_Toc466270659"/>
      <w:bookmarkStart w:id="79" w:name="_Toc465511170"/>
      <w:bookmarkStart w:id="80" w:name="_Toc476761662"/>
      <w:r>
        <w:rPr>
          <w:rFonts w:hint="eastAsia" w:ascii="宋体" w:hAnsi="宋体" w:cs="宋体"/>
          <w:b/>
          <w:bCs/>
          <w:sz w:val="24"/>
          <w:szCs w:val="24"/>
          <w:lang w:eastAsia="zh-CN"/>
        </w:rPr>
        <w:t>十二、违约责任</w:t>
      </w:r>
      <w:bookmarkEnd w:id="75"/>
      <w:bookmarkEnd w:id="76"/>
      <w:bookmarkEnd w:id="77"/>
      <w:bookmarkEnd w:id="78"/>
      <w:bookmarkEnd w:id="79"/>
      <w:bookmarkEnd w:id="80"/>
    </w:p>
    <w:p w14:paraId="0BA49742">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1.交货期推迟的，每延迟1日，应按合同总价款的1%向甲方支付违约金，因不可抗力或经甲方同意除外。</w:t>
      </w:r>
    </w:p>
    <w:p w14:paraId="28766FC5">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2.如乙方产品质量不符合国家标准或未达到本企业内控标准，甲方有权退货，并且乙方应承担甲方合同总价款的20％的违约金并赔偿其他损失。</w:t>
      </w:r>
    </w:p>
    <w:p w14:paraId="1D299273">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3.质量保证期内因产品质量问题，乙方未按合同规定及时进行维修、更换，甲方可自行组织人员进行维修、更换，因此造成的相关责任、费用由乙方承担。</w:t>
      </w:r>
    </w:p>
    <w:p w14:paraId="273D1C1C">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4.乙方对材料不按</w:t>
      </w:r>
      <w:r>
        <w:rPr>
          <w:rFonts w:hint="eastAsia" w:ascii="宋体" w:hAnsi="宋体" w:eastAsia="宋体" w:cs="宋体"/>
          <w:sz w:val="24"/>
          <w:szCs w:val="24"/>
          <w:lang w:eastAsia="zh-CN"/>
        </w:rPr>
        <w:t>招标</w:t>
      </w:r>
      <w:r>
        <w:rPr>
          <w:rFonts w:hint="eastAsia" w:ascii="宋体" w:hAnsi="宋体" w:cs="宋体"/>
          <w:sz w:val="24"/>
          <w:szCs w:val="24"/>
          <w:lang w:eastAsia="zh-CN"/>
        </w:rPr>
        <w:t>文件要求，擅自更换，除恢复原采购产品外，应承担更换部分价款50%的违约金。</w:t>
      </w:r>
    </w:p>
    <w:p w14:paraId="43D7CC6B">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5.乙方如对材料以次充好，除全部按要求恢复外，应承担此部分价款50%的违约金。</w:t>
      </w:r>
    </w:p>
    <w:p w14:paraId="5879154D">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6.如由于产品质量原因，不能通过验收，乙方除按规定无偿更换外，应承担所涉及产品总价款的50％违约金。</w:t>
      </w:r>
    </w:p>
    <w:p w14:paraId="2E54A17A">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7.乙方负责现场作业人员及其他人员安全。如因乙方原因造成人员伤亡或财产损失，由乙方负责并承担一切赔偿责任。甲方有权追究乙方的违约责任。</w:t>
      </w:r>
    </w:p>
    <w:p w14:paraId="4F8EF171">
      <w:pPr>
        <w:spacing w:line="360" w:lineRule="auto"/>
        <w:ind w:firstLine="480" w:firstLineChars="200"/>
        <w:rPr>
          <w:rFonts w:ascii="宋体" w:hAnsi="宋体" w:cs="宋体"/>
          <w:b/>
          <w:bCs/>
          <w:sz w:val="24"/>
          <w:szCs w:val="24"/>
          <w:lang w:eastAsia="zh-CN"/>
        </w:rPr>
      </w:pPr>
      <w:bookmarkStart w:id="81" w:name="_Toc476761663"/>
      <w:bookmarkStart w:id="82" w:name="_Toc468550432"/>
      <w:bookmarkStart w:id="83" w:name="_Toc466270660"/>
      <w:bookmarkStart w:id="84" w:name="_Toc465510868"/>
      <w:bookmarkStart w:id="85" w:name="_Toc465511171"/>
      <w:bookmarkStart w:id="86" w:name="_Toc465511126"/>
      <w:r>
        <w:rPr>
          <w:rFonts w:hint="eastAsia" w:ascii="宋体" w:hAnsi="宋体" w:cs="宋体"/>
          <w:b/>
          <w:bCs/>
          <w:sz w:val="24"/>
          <w:szCs w:val="24"/>
          <w:lang w:eastAsia="zh-CN"/>
        </w:rPr>
        <w:t>十三、争议解决</w:t>
      </w:r>
      <w:bookmarkEnd w:id="81"/>
      <w:bookmarkEnd w:id="82"/>
      <w:bookmarkEnd w:id="83"/>
      <w:bookmarkEnd w:id="84"/>
      <w:bookmarkEnd w:id="85"/>
      <w:bookmarkEnd w:id="86"/>
    </w:p>
    <w:p w14:paraId="114384B8">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合同各方应本着诚信的态度及共同合作的精神，通过协商及谈判来努力解决由本合同而产生的或</w:t>
      </w:r>
      <w:r>
        <w:rPr>
          <w:rFonts w:hint="eastAsia" w:ascii="宋体" w:hAnsi="宋体" w:cs="宋体"/>
          <w:kern w:val="28"/>
          <w:sz w:val="24"/>
          <w:szCs w:val="24"/>
          <w:lang w:eastAsia="zh-CN"/>
        </w:rPr>
        <w:t>与本合同有关（包括本合同项下某一特定货物买卖合同）的任何争议及不同意见。协商、谈判不能解决的，如任何一方通过诉讼解决由</w:t>
      </w:r>
      <w:r>
        <w:rPr>
          <w:rFonts w:hint="eastAsia" w:ascii="宋体" w:hAnsi="宋体" w:cs="宋体"/>
          <w:sz w:val="24"/>
          <w:szCs w:val="24"/>
          <w:lang w:eastAsia="zh-CN"/>
        </w:rPr>
        <w:t>甲方所在地人民法院管辖。</w:t>
      </w:r>
    </w:p>
    <w:p w14:paraId="15DEA02D">
      <w:pPr>
        <w:spacing w:line="360" w:lineRule="auto"/>
        <w:ind w:firstLine="480" w:firstLineChars="200"/>
        <w:rPr>
          <w:rFonts w:ascii="宋体" w:hAnsi="宋体" w:cs="宋体"/>
          <w:b/>
          <w:bCs/>
          <w:sz w:val="24"/>
          <w:szCs w:val="24"/>
          <w:lang w:eastAsia="zh-CN"/>
        </w:rPr>
      </w:pPr>
      <w:bookmarkStart w:id="87" w:name="_Toc465510869"/>
      <w:bookmarkStart w:id="88" w:name="_Toc468550433"/>
      <w:bookmarkStart w:id="89" w:name="_Toc465511172"/>
      <w:bookmarkStart w:id="90" w:name="_Toc465511127"/>
      <w:bookmarkStart w:id="91" w:name="_Toc476761664"/>
      <w:bookmarkStart w:id="92" w:name="_Toc466270661"/>
      <w:r>
        <w:rPr>
          <w:rFonts w:hint="eastAsia" w:ascii="宋体" w:hAnsi="宋体" w:cs="宋体"/>
          <w:b/>
          <w:bCs/>
          <w:sz w:val="24"/>
          <w:szCs w:val="24"/>
          <w:lang w:eastAsia="zh-CN"/>
        </w:rPr>
        <w:t>十三、协议期限</w:t>
      </w:r>
      <w:bookmarkEnd w:id="87"/>
      <w:bookmarkEnd w:id="88"/>
      <w:bookmarkEnd w:id="89"/>
      <w:bookmarkEnd w:id="90"/>
      <w:bookmarkEnd w:id="91"/>
      <w:bookmarkEnd w:id="92"/>
    </w:p>
    <w:p w14:paraId="7E2C9B1C">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1.</w:t>
      </w:r>
      <w:r>
        <w:rPr>
          <w:rFonts w:hint="eastAsia" w:ascii="宋体" w:hAnsi="宋体" w:cs="宋体"/>
          <w:spacing w:val="10"/>
          <w:sz w:val="24"/>
          <w:szCs w:val="24"/>
          <w:lang w:eastAsia="zh-CN"/>
        </w:rPr>
        <w:t>合同经</w:t>
      </w:r>
      <w:r>
        <w:rPr>
          <w:rFonts w:hint="eastAsia" w:ascii="宋体" w:hAnsi="宋体" w:cs="宋体"/>
          <w:sz w:val="24"/>
          <w:szCs w:val="24"/>
          <w:lang w:eastAsia="zh-CN"/>
        </w:rPr>
        <w:t>甲乙</w:t>
      </w:r>
      <w:r>
        <w:rPr>
          <w:rFonts w:hint="eastAsia" w:ascii="宋体" w:hAnsi="宋体" w:cs="宋体"/>
          <w:spacing w:val="10"/>
          <w:sz w:val="24"/>
          <w:szCs w:val="24"/>
          <w:lang w:eastAsia="zh-CN"/>
        </w:rPr>
        <w:t>双方法定代表人或者代表人签字并加盖公章（或合同章）即行生效。</w:t>
      </w:r>
    </w:p>
    <w:p w14:paraId="7950C755">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2.合同签订后双方即直接产生权利与义务的关系，合同执行过程中出现的问题应按照合同法等有关规定办理。</w:t>
      </w:r>
    </w:p>
    <w:p w14:paraId="73550F70">
      <w:pPr>
        <w:spacing w:line="360" w:lineRule="auto"/>
        <w:ind w:firstLine="480" w:firstLineChars="200"/>
        <w:rPr>
          <w:rFonts w:ascii="宋体" w:hAnsi="宋体" w:cs="宋体"/>
          <w:sz w:val="24"/>
          <w:szCs w:val="24"/>
          <w:lang w:eastAsia="zh-CN"/>
        </w:rPr>
      </w:pPr>
      <w:r>
        <w:rPr>
          <w:rFonts w:hint="eastAsia" w:ascii="宋体" w:hAnsi="宋体" w:cs="宋体"/>
          <w:sz w:val="24"/>
          <w:szCs w:val="24"/>
          <w:lang w:eastAsia="zh-CN"/>
        </w:rPr>
        <w:t>3.合同在执行过程中出现的未尽事宜，双方在不违背本合同和</w:t>
      </w:r>
      <w:r>
        <w:rPr>
          <w:rFonts w:hint="eastAsia" w:ascii="宋体" w:hAnsi="宋体" w:eastAsia="宋体" w:cs="宋体"/>
          <w:sz w:val="24"/>
          <w:szCs w:val="24"/>
          <w:lang w:eastAsia="zh-CN"/>
        </w:rPr>
        <w:t>招标</w:t>
      </w:r>
      <w:r>
        <w:rPr>
          <w:rFonts w:hint="eastAsia" w:ascii="宋体" w:hAnsi="宋体" w:cs="宋体"/>
          <w:sz w:val="24"/>
          <w:szCs w:val="24"/>
          <w:lang w:eastAsia="zh-CN"/>
        </w:rPr>
        <w:t>文件的原则下协商解决，协商结果以“纪要”形式盖章记录在案，作为本合同的附件。</w:t>
      </w:r>
    </w:p>
    <w:p w14:paraId="4F020658">
      <w:pPr>
        <w:spacing w:line="360" w:lineRule="auto"/>
        <w:ind w:firstLine="480" w:firstLineChars="200"/>
        <w:rPr>
          <w:rFonts w:ascii="宋体" w:hAnsi="宋体" w:cs="宋体"/>
          <w:b/>
          <w:bCs/>
          <w:sz w:val="24"/>
          <w:szCs w:val="24"/>
          <w:lang w:eastAsia="zh-CN"/>
        </w:rPr>
      </w:pPr>
      <w:bookmarkStart w:id="93" w:name="_Toc465511173"/>
      <w:bookmarkStart w:id="94" w:name="_Toc466270662"/>
      <w:bookmarkStart w:id="95" w:name="_Toc476761665"/>
      <w:bookmarkStart w:id="96" w:name="_Toc468550434"/>
      <w:bookmarkStart w:id="97" w:name="_Toc465511128"/>
      <w:bookmarkStart w:id="98" w:name="_Toc465510870"/>
      <w:r>
        <w:rPr>
          <w:rFonts w:hint="eastAsia" w:ascii="宋体" w:hAnsi="宋体" w:cs="宋体"/>
          <w:b/>
          <w:bCs/>
          <w:sz w:val="24"/>
          <w:szCs w:val="24"/>
          <w:lang w:eastAsia="zh-CN"/>
        </w:rPr>
        <w:t>十四、不可抗力</w:t>
      </w:r>
      <w:bookmarkEnd w:id="93"/>
      <w:bookmarkEnd w:id="94"/>
      <w:bookmarkEnd w:id="95"/>
      <w:bookmarkEnd w:id="96"/>
      <w:bookmarkEnd w:id="97"/>
      <w:bookmarkEnd w:id="98"/>
    </w:p>
    <w:p w14:paraId="627FC44B">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1.本合同项下的“不可抗力”是指不能预见，不能避免且、不能克服的客观情况，使得本合同一方当事人无法履行合同义务，如战争、严重火灾、水灾、风灾和地震属于不可抗力的事故，因乙方或第三方原因造成的火灾、水灾不属于不可抗力。</w:t>
      </w:r>
    </w:p>
    <w:p w14:paraId="41EC34EA">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35C76451">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3.如不可抗力时间延续120天以上的，各方通过协商达成在合理的时间内继续履行合同，或部分履行合同，或终止合同的履行。</w:t>
      </w:r>
    </w:p>
    <w:p w14:paraId="53CD712E">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4.一方迟延履行后发生不可抗力的，不能免除责任。</w:t>
      </w:r>
    </w:p>
    <w:p w14:paraId="747ADF6E">
      <w:pPr>
        <w:shd w:val="clear" w:color="auto" w:fill="FFFFFF"/>
        <w:spacing w:line="360" w:lineRule="auto"/>
        <w:ind w:firstLine="480" w:firstLineChars="200"/>
        <w:rPr>
          <w:rFonts w:ascii="宋体" w:hAnsi="宋体" w:cs="宋体"/>
          <w:b/>
          <w:bCs/>
          <w:kern w:val="28"/>
          <w:sz w:val="24"/>
          <w:szCs w:val="24"/>
          <w:lang w:eastAsia="zh-CN"/>
        </w:rPr>
      </w:pPr>
      <w:bookmarkStart w:id="99" w:name="_Toc465510871"/>
      <w:bookmarkStart w:id="100" w:name="_Toc468550435"/>
      <w:bookmarkStart w:id="101" w:name="_Toc476761666"/>
      <w:bookmarkStart w:id="102" w:name="_Toc465511129"/>
      <w:bookmarkStart w:id="103" w:name="_Toc465511174"/>
      <w:bookmarkStart w:id="104" w:name="_Toc466270663"/>
      <w:r>
        <w:rPr>
          <w:rFonts w:hint="eastAsia" w:ascii="宋体" w:hAnsi="宋体" w:cs="宋体"/>
          <w:b/>
          <w:bCs/>
          <w:kern w:val="28"/>
          <w:sz w:val="24"/>
          <w:szCs w:val="24"/>
          <w:lang w:eastAsia="zh-CN"/>
        </w:rPr>
        <w:t>十五、通知和合同修改</w:t>
      </w:r>
      <w:bookmarkEnd w:id="99"/>
      <w:bookmarkEnd w:id="100"/>
      <w:bookmarkEnd w:id="101"/>
      <w:bookmarkEnd w:id="102"/>
      <w:bookmarkEnd w:id="103"/>
      <w:bookmarkEnd w:id="104"/>
    </w:p>
    <w:p w14:paraId="671B4458">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本合同一方给另一方的通知，都应以书面的形式（信函、传真）发送至对方，对本合同条款进行任何改动，均须由甲乙双方签署书面合同修改签证，方为有效。</w:t>
      </w:r>
    </w:p>
    <w:p w14:paraId="0C03E3B7">
      <w:pPr>
        <w:shd w:val="clear" w:color="auto" w:fill="FFFFFF"/>
        <w:spacing w:line="360" w:lineRule="auto"/>
        <w:ind w:firstLine="480" w:firstLineChars="200"/>
        <w:rPr>
          <w:rFonts w:ascii="宋体" w:hAnsi="宋体" w:cs="宋体"/>
          <w:b/>
          <w:bCs/>
          <w:kern w:val="28"/>
          <w:sz w:val="24"/>
          <w:szCs w:val="24"/>
          <w:lang w:eastAsia="zh-CN"/>
        </w:rPr>
      </w:pPr>
      <w:bookmarkStart w:id="105" w:name="_Toc465510872"/>
      <w:bookmarkStart w:id="106" w:name="_Toc476761667"/>
      <w:bookmarkStart w:id="107" w:name="_Toc465511130"/>
      <w:bookmarkStart w:id="108" w:name="_Toc466270664"/>
      <w:bookmarkStart w:id="109" w:name="_Toc465511175"/>
      <w:bookmarkStart w:id="110" w:name="_Toc468550436"/>
      <w:r>
        <w:rPr>
          <w:rFonts w:hint="eastAsia" w:ascii="宋体" w:hAnsi="宋体" w:cs="宋体"/>
          <w:b/>
          <w:bCs/>
          <w:kern w:val="28"/>
          <w:sz w:val="24"/>
          <w:szCs w:val="24"/>
          <w:lang w:eastAsia="zh-CN"/>
        </w:rPr>
        <w:t>十六、其他规定</w:t>
      </w:r>
      <w:bookmarkEnd w:id="105"/>
      <w:bookmarkEnd w:id="106"/>
      <w:bookmarkEnd w:id="107"/>
      <w:bookmarkEnd w:id="108"/>
      <w:bookmarkEnd w:id="109"/>
      <w:bookmarkEnd w:id="110"/>
    </w:p>
    <w:p w14:paraId="01394AD3">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本协议的附件为本协议不可分割的部分，与本协议正文具有同等的法律效力。协议附件与本协议约定不一致的，以本协议的约定为准，除非双方一致同意并以书面形式表示以协议附件为准。</w:t>
      </w:r>
    </w:p>
    <w:p w14:paraId="261CA7E9">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本合同甲、乙双方均同意以上条款内容。</w:t>
      </w:r>
    </w:p>
    <w:p w14:paraId="6913999B">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本合同正本贰份，副本</w:t>
      </w:r>
      <w:r>
        <w:rPr>
          <w:rFonts w:hint="eastAsia" w:ascii="宋体" w:hAnsi="宋体" w:cs="宋体"/>
          <w:kern w:val="28"/>
          <w:sz w:val="24"/>
          <w:szCs w:val="24"/>
          <w:u w:val="single"/>
          <w:lang w:eastAsia="zh-CN"/>
        </w:rPr>
        <w:t xml:space="preserve">    </w:t>
      </w:r>
      <w:r>
        <w:rPr>
          <w:rFonts w:hint="eastAsia" w:ascii="宋体" w:hAnsi="宋体" w:cs="宋体"/>
          <w:kern w:val="28"/>
          <w:sz w:val="24"/>
          <w:szCs w:val="24"/>
          <w:lang w:eastAsia="zh-CN"/>
        </w:rPr>
        <w:t>份，具有同等效力。自双方法定代表人或授权代表人签字、并加盖单位公章之日起生效。甲乙双方各持一份正本，副本按照甲方要求执行，第三方代理机构留存一份副本。</w:t>
      </w:r>
    </w:p>
    <w:p w14:paraId="4BCA2E06">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本合同的订立、履行、变更、终止、解释等均适用中华人民共和国法律。</w:t>
      </w:r>
    </w:p>
    <w:p w14:paraId="740D1550">
      <w:pPr>
        <w:shd w:val="clear" w:color="auto" w:fill="FFFFFF"/>
        <w:spacing w:line="360" w:lineRule="auto"/>
        <w:ind w:firstLine="480" w:firstLineChars="200"/>
        <w:rPr>
          <w:rFonts w:ascii="宋体" w:hAnsi="宋体" w:cs="宋体"/>
          <w:kern w:val="28"/>
          <w:sz w:val="24"/>
          <w:szCs w:val="24"/>
          <w:lang w:eastAsia="zh-CN"/>
        </w:rPr>
      </w:pPr>
      <w:r>
        <w:rPr>
          <w:rFonts w:hint="eastAsia" w:ascii="宋体" w:hAnsi="宋体" w:cs="宋体"/>
          <w:kern w:val="28"/>
          <w:sz w:val="24"/>
          <w:szCs w:val="24"/>
          <w:lang w:eastAsia="zh-CN"/>
        </w:rPr>
        <w:t>本合同未尽事宜由双方协商，另行订立补充协议，补充协议与本协议具有同样的法律效力。如果本合同之附件与本合同规定不符，以本合同规定为准。</w:t>
      </w:r>
    </w:p>
    <w:p w14:paraId="70D6FB0D">
      <w:pPr>
        <w:shd w:val="clear" w:color="auto" w:fill="FFFFFF"/>
        <w:spacing w:line="360" w:lineRule="auto"/>
        <w:ind w:firstLine="480" w:firstLineChars="200"/>
        <w:rPr>
          <w:rFonts w:ascii="宋体" w:hAnsi="宋体" w:cs="宋体"/>
          <w:kern w:val="28"/>
          <w:sz w:val="24"/>
          <w:szCs w:val="24"/>
        </w:rPr>
      </w:pPr>
      <w:r>
        <w:rPr>
          <w:rFonts w:hint="eastAsia" w:ascii="宋体" w:hAnsi="宋体" w:cs="宋体"/>
          <w:sz w:val="24"/>
          <w:szCs w:val="24"/>
        </w:rPr>
        <w:t>（以下无正文）</w:t>
      </w:r>
    </w:p>
    <w:tbl>
      <w:tblPr>
        <w:tblStyle w:val="3"/>
        <w:tblW w:w="0" w:type="auto"/>
        <w:tblInd w:w="0" w:type="dxa"/>
        <w:tblLayout w:type="autofit"/>
        <w:tblCellMar>
          <w:top w:w="0" w:type="dxa"/>
          <w:left w:w="10" w:type="dxa"/>
          <w:bottom w:w="0" w:type="dxa"/>
          <w:right w:w="10" w:type="dxa"/>
        </w:tblCellMar>
      </w:tblPr>
      <w:tblGrid>
        <w:gridCol w:w="4549"/>
        <w:gridCol w:w="4550"/>
      </w:tblGrid>
      <w:tr w14:paraId="79C2A465">
        <w:tblPrEx>
          <w:tblCellMar>
            <w:top w:w="0" w:type="dxa"/>
            <w:left w:w="10" w:type="dxa"/>
            <w:bottom w:w="0" w:type="dxa"/>
            <w:right w:w="10" w:type="dxa"/>
          </w:tblCellMar>
        </w:tblPrEx>
        <w:trPr>
          <w:trHeight w:val="532" w:hRule="atLeast"/>
        </w:trPr>
        <w:tc>
          <w:tcPr>
            <w:tcW w:w="4549" w:type="dxa"/>
            <w:shd w:val="clear" w:color="000000" w:fill="FFFFFF"/>
            <w:tcMar>
              <w:left w:w="108" w:type="dxa"/>
              <w:right w:w="108" w:type="dxa"/>
            </w:tcMar>
            <w:vAlign w:val="center"/>
          </w:tcPr>
          <w:p w14:paraId="3E7E4416">
            <w:pPr>
              <w:shd w:val="clear" w:color="auto" w:fill="FFFFFF"/>
              <w:spacing w:line="360" w:lineRule="auto"/>
              <w:rPr>
                <w:rFonts w:ascii="宋体" w:hAnsi="宋体" w:cs="宋体"/>
                <w:kern w:val="28"/>
                <w:sz w:val="24"/>
                <w:szCs w:val="24"/>
              </w:rPr>
            </w:pPr>
            <w:r>
              <w:rPr>
                <w:rFonts w:hint="eastAsia" w:ascii="宋体" w:hAnsi="宋体" w:cs="宋体"/>
                <w:kern w:val="28"/>
                <w:sz w:val="24"/>
                <w:szCs w:val="24"/>
              </w:rPr>
              <w:t>甲方</w:t>
            </w:r>
            <w:r>
              <w:rPr>
                <w:rFonts w:hint="eastAsia" w:ascii="宋体" w:hAnsi="宋体" w:cs="宋体"/>
                <w:kern w:val="28"/>
                <w:sz w:val="24"/>
                <w:szCs w:val="24"/>
                <w:lang w:eastAsia="zh-CN"/>
              </w:rPr>
              <w:t>：</w:t>
            </w:r>
            <w:r>
              <w:rPr>
                <w:rFonts w:hint="eastAsia" w:ascii="宋体" w:hAnsi="宋体" w:cs="宋体"/>
                <w:kern w:val="28"/>
                <w:sz w:val="24"/>
                <w:szCs w:val="24"/>
              </w:rPr>
              <w:t xml:space="preserve">               （盖章）</w:t>
            </w:r>
          </w:p>
        </w:tc>
        <w:tc>
          <w:tcPr>
            <w:tcW w:w="4550" w:type="dxa"/>
            <w:shd w:val="clear" w:color="000000" w:fill="FFFFFF"/>
            <w:tcMar>
              <w:left w:w="108" w:type="dxa"/>
              <w:right w:w="108" w:type="dxa"/>
            </w:tcMar>
            <w:vAlign w:val="center"/>
          </w:tcPr>
          <w:p w14:paraId="6244D8F8">
            <w:pPr>
              <w:shd w:val="clear" w:color="auto" w:fill="FFFFFF"/>
              <w:spacing w:line="360" w:lineRule="auto"/>
              <w:rPr>
                <w:rFonts w:ascii="宋体" w:hAnsi="宋体" w:cs="宋体"/>
                <w:kern w:val="28"/>
                <w:sz w:val="24"/>
                <w:szCs w:val="24"/>
              </w:rPr>
            </w:pPr>
            <w:r>
              <w:rPr>
                <w:rFonts w:hint="eastAsia" w:ascii="宋体" w:hAnsi="宋体" w:cs="宋体"/>
                <w:kern w:val="28"/>
                <w:sz w:val="24"/>
                <w:szCs w:val="24"/>
              </w:rPr>
              <w:t>乙方</w:t>
            </w:r>
            <w:r>
              <w:rPr>
                <w:rFonts w:hint="eastAsia" w:ascii="宋体" w:hAnsi="宋体" w:cs="宋体"/>
                <w:kern w:val="28"/>
                <w:sz w:val="24"/>
                <w:szCs w:val="24"/>
                <w:lang w:eastAsia="zh-CN"/>
              </w:rPr>
              <w:t>：</w:t>
            </w:r>
            <w:r>
              <w:rPr>
                <w:rFonts w:hint="eastAsia" w:ascii="宋体" w:hAnsi="宋体" w:cs="宋体"/>
                <w:kern w:val="28"/>
                <w:sz w:val="24"/>
                <w:szCs w:val="24"/>
              </w:rPr>
              <w:t xml:space="preserve">               （盖章）</w:t>
            </w:r>
          </w:p>
        </w:tc>
      </w:tr>
      <w:tr w14:paraId="38E2BA7A">
        <w:tblPrEx>
          <w:tblCellMar>
            <w:top w:w="0" w:type="dxa"/>
            <w:left w:w="10" w:type="dxa"/>
            <w:bottom w:w="0" w:type="dxa"/>
            <w:right w:w="10" w:type="dxa"/>
          </w:tblCellMar>
        </w:tblPrEx>
        <w:trPr>
          <w:trHeight w:val="532" w:hRule="atLeast"/>
        </w:trPr>
        <w:tc>
          <w:tcPr>
            <w:tcW w:w="4549" w:type="dxa"/>
            <w:shd w:val="clear" w:color="000000" w:fill="FFFFFF"/>
            <w:tcMar>
              <w:left w:w="108" w:type="dxa"/>
              <w:right w:w="108" w:type="dxa"/>
            </w:tcMar>
            <w:vAlign w:val="center"/>
          </w:tcPr>
          <w:p w14:paraId="520DD8AD">
            <w:pPr>
              <w:shd w:val="clear" w:color="auto" w:fill="FFFFFF"/>
              <w:spacing w:line="360" w:lineRule="auto"/>
              <w:rPr>
                <w:rFonts w:ascii="宋体" w:hAnsi="宋体" w:cs="宋体"/>
                <w:kern w:val="28"/>
                <w:sz w:val="24"/>
                <w:szCs w:val="24"/>
              </w:rPr>
            </w:pPr>
            <w:r>
              <w:rPr>
                <w:rFonts w:hint="eastAsia" w:ascii="宋体" w:hAnsi="宋体" w:cs="宋体"/>
                <w:kern w:val="28"/>
                <w:sz w:val="24"/>
                <w:szCs w:val="24"/>
              </w:rPr>
              <w:t xml:space="preserve">地址： </w:t>
            </w:r>
          </w:p>
        </w:tc>
        <w:tc>
          <w:tcPr>
            <w:tcW w:w="4550" w:type="dxa"/>
            <w:shd w:val="clear" w:color="000000" w:fill="FFFFFF"/>
            <w:tcMar>
              <w:left w:w="108" w:type="dxa"/>
              <w:right w:w="108" w:type="dxa"/>
            </w:tcMar>
            <w:vAlign w:val="center"/>
          </w:tcPr>
          <w:p w14:paraId="2820B4CD">
            <w:pPr>
              <w:shd w:val="clear" w:color="auto" w:fill="FFFFFF"/>
              <w:spacing w:line="360" w:lineRule="auto"/>
              <w:rPr>
                <w:rFonts w:ascii="宋体" w:hAnsi="宋体" w:cs="宋体"/>
                <w:kern w:val="28"/>
                <w:sz w:val="24"/>
                <w:szCs w:val="24"/>
              </w:rPr>
            </w:pPr>
            <w:r>
              <w:rPr>
                <w:rFonts w:hint="eastAsia" w:ascii="宋体" w:hAnsi="宋体" w:cs="宋体"/>
                <w:kern w:val="28"/>
                <w:sz w:val="24"/>
                <w:szCs w:val="24"/>
              </w:rPr>
              <w:t>地址：</w:t>
            </w:r>
          </w:p>
        </w:tc>
      </w:tr>
      <w:tr w14:paraId="0AD09F60">
        <w:tblPrEx>
          <w:tblCellMar>
            <w:top w:w="0" w:type="dxa"/>
            <w:left w:w="10" w:type="dxa"/>
            <w:bottom w:w="0" w:type="dxa"/>
            <w:right w:w="10" w:type="dxa"/>
          </w:tblCellMar>
        </w:tblPrEx>
        <w:trPr>
          <w:trHeight w:val="532" w:hRule="atLeast"/>
        </w:trPr>
        <w:tc>
          <w:tcPr>
            <w:tcW w:w="4549" w:type="dxa"/>
            <w:shd w:val="clear" w:color="000000" w:fill="FFFFFF"/>
            <w:tcMar>
              <w:left w:w="108" w:type="dxa"/>
              <w:right w:w="108" w:type="dxa"/>
            </w:tcMar>
            <w:vAlign w:val="center"/>
          </w:tcPr>
          <w:p w14:paraId="64F3F2DE">
            <w:pPr>
              <w:shd w:val="clear" w:color="auto" w:fill="FFFFFF"/>
              <w:spacing w:line="360" w:lineRule="auto"/>
              <w:rPr>
                <w:rFonts w:ascii="宋体" w:hAnsi="宋体" w:cs="宋体"/>
                <w:kern w:val="28"/>
                <w:sz w:val="24"/>
                <w:szCs w:val="24"/>
              </w:rPr>
            </w:pPr>
            <w:r>
              <w:rPr>
                <w:rFonts w:hint="eastAsia" w:ascii="宋体" w:hAnsi="宋体" w:cs="宋体"/>
                <w:kern w:val="28"/>
                <w:sz w:val="24"/>
                <w:szCs w:val="24"/>
              </w:rPr>
              <w:t>邮编：</w:t>
            </w:r>
          </w:p>
        </w:tc>
        <w:tc>
          <w:tcPr>
            <w:tcW w:w="4550" w:type="dxa"/>
            <w:shd w:val="clear" w:color="000000" w:fill="FFFFFF"/>
            <w:tcMar>
              <w:left w:w="108" w:type="dxa"/>
              <w:right w:w="108" w:type="dxa"/>
            </w:tcMar>
            <w:vAlign w:val="center"/>
          </w:tcPr>
          <w:p w14:paraId="2F6389BC">
            <w:pPr>
              <w:shd w:val="clear" w:color="auto" w:fill="FFFFFF"/>
              <w:spacing w:line="360" w:lineRule="auto"/>
              <w:rPr>
                <w:rFonts w:ascii="宋体" w:hAnsi="宋体" w:cs="宋体"/>
                <w:kern w:val="28"/>
                <w:sz w:val="24"/>
                <w:szCs w:val="24"/>
              </w:rPr>
            </w:pPr>
            <w:r>
              <w:rPr>
                <w:rFonts w:hint="eastAsia" w:ascii="宋体" w:hAnsi="宋体" w:cs="宋体"/>
                <w:kern w:val="28"/>
                <w:sz w:val="24"/>
                <w:szCs w:val="24"/>
              </w:rPr>
              <w:t>邮编：</w:t>
            </w:r>
          </w:p>
        </w:tc>
      </w:tr>
      <w:tr w14:paraId="17D22D3A">
        <w:tblPrEx>
          <w:tblCellMar>
            <w:top w:w="0" w:type="dxa"/>
            <w:left w:w="10" w:type="dxa"/>
            <w:bottom w:w="0" w:type="dxa"/>
            <w:right w:w="10" w:type="dxa"/>
          </w:tblCellMar>
        </w:tblPrEx>
        <w:trPr>
          <w:trHeight w:val="532" w:hRule="atLeast"/>
        </w:trPr>
        <w:tc>
          <w:tcPr>
            <w:tcW w:w="4549" w:type="dxa"/>
            <w:shd w:val="clear" w:color="000000" w:fill="FFFFFF"/>
            <w:tcMar>
              <w:left w:w="108" w:type="dxa"/>
              <w:right w:w="108" w:type="dxa"/>
            </w:tcMar>
          </w:tcPr>
          <w:p w14:paraId="659F57BD">
            <w:pPr>
              <w:shd w:val="clear" w:color="auto" w:fill="FFFFFF"/>
              <w:spacing w:line="360" w:lineRule="auto"/>
              <w:rPr>
                <w:rFonts w:ascii="宋体" w:hAnsi="宋体" w:cs="宋体"/>
                <w:kern w:val="28"/>
                <w:sz w:val="24"/>
                <w:szCs w:val="24"/>
                <w:lang w:eastAsia="zh-CN"/>
              </w:rPr>
            </w:pPr>
            <w:r>
              <w:rPr>
                <w:rFonts w:hint="eastAsia" w:ascii="宋体" w:hAnsi="宋体" w:cs="宋体"/>
                <w:kern w:val="28"/>
                <w:sz w:val="24"/>
                <w:szCs w:val="24"/>
                <w:lang w:eastAsia="zh-CN"/>
              </w:rPr>
              <w:t>法定代表人（签字或盖章）：</w:t>
            </w:r>
          </w:p>
        </w:tc>
        <w:tc>
          <w:tcPr>
            <w:tcW w:w="4550" w:type="dxa"/>
            <w:shd w:val="clear" w:color="000000" w:fill="FFFFFF"/>
            <w:tcMar>
              <w:left w:w="108" w:type="dxa"/>
              <w:right w:w="108" w:type="dxa"/>
            </w:tcMar>
          </w:tcPr>
          <w:p w14:paraId="3B966E89">
            <w:pPr>
              <w:shd w:val="clear" w:color="auto" w:fill="FFFFFF"/>
              <w:spacing w:line="360" w:lineRule="auto"/>
              <w:rPr>
                <w:rFonts w:ascii="宋体" w:hAnsi="宋体" w:cs="宋体"/>
                <w:kern w:val="28"/>
                <w:sz w:val="24"/>
                <w:szCs w:val="24"/>
                <w:lang w:eastAsia="zh-CN"/>
              </w:rPr>
            </w:pPr>
            <w:r>
              <w:rPr>
                <w:rFonts w:hint="eastAsia" w:ascii="宋体" w:hAnsi="宋体" w:cs="宋体"/>
                <w:kern w:val="28"/>
                <w:sz w:val="24"/>
                <w:szCs w:val="24"/>
                <w:lang w:eastAsia="zh-CN"/>
              </w:rPr>
              <w:t>法定代表人（签字或盖章）：</w:t>
            </w:r>
          </w:p>
        </w:tc>
      </w:tr>
      <w:tr w14:paraId="56395651">
        <w:tblPrEx>
          <w:tblCellMar>
            <w:top w:w="0" w:type="dxa"/>
            <w:left w:w="10" w:type="dxa"/>
            <w:bottom w:w="0" w:type="dxa"/>
            <w:right w:w="10" w:type="dxa"/>
          </w:tblCellMar>
        </w:tblPrEx>
        <w:trPr>
          <w:trHeight w:val="532" w:hRule="atLeast"/>
        </w:trPr>
        <w:tc>
          <w:tcPr>
            <w:tcW w:w="4549" w:type="dxa"/>
            <w:shd w:val="clear" w:color="000000" w:fill="FFFFFF"/>
            <w:tcMar>
              <w:left w:w="108" w:type="dxa"/>
              <w:right w:w="108" w:type="dxa"/>
            </w:tcMar>
          </w:tcPr>
          <w:p w14:paraId="59BA22E8">
            <w:pPr>
              <w:shd w:val="clear" w:color="auto" w:fill="FFFFFF"/>
              <w:spacing w:line="360" w:lineRule="auto"/>
              <w:rPr>
                <w:rFonts w:ascii="宋体" w:hAnsi="宋体" w:cs="宋体"/>
                <w:kern w:val="28"/>
                <w:sz w:val="24"/>
                <w:szCs w:val="24"/>
                <w:lang w:eastAsia="zh-CN"/>
              </w:rPr>
            </w:pPr>
            <w:r>
              <w:rPr>
                <w:rFonts w:hint="eastAsia" w:ascii="宋体" w:hAnsi="宋体" w:cs="宋体"/>
                <w:kern w:val="28"/>
                <w:sz w:val="24"/>
                <w:szCs w:val="24"/>
                <w:lang w:eastAsia="zh-CN"/>
              </w:rPr>
              <w:t>被授权代表：（签字）</w:t>
            </w:r>
          </w:p>
        </w:tc>
        <w:tc>
          <w:tcPr>
            <w:tcW w:w="4550" w:type="dxa"/>
            <w:shd w:val="clear" w:color="000000" w:fill="FFFFFF"/>
            <w:tcMar>
              <w:left w:w="108" w:type="dxa"/>
              <w:right w:w="108" w:type="dxa"/>
            </w:tcMar>
          </w:tcPr>
          <w:p w14:paraId="37F77722">
            <w:pPr>
              <w:shd w:val="clear" w:color="auto" w:fill="FFFFFF"/>
              <w:spacing w:line="360" w:lineRule="auto"/>
              <w:rPr>
                <w:rFonts w:ascii="宋体" w:hAnsi="宋体" w:cs="宋体"/>
                <w:kern w:val="28"/>
                <w:sz w:val="24"/>
                <w:szCs w:val="24"/>
                <w:lang w:eastAsia="zh-CN"/>
              </w:rPr>
            </w:pPr>
            <w:r>
              <w:rPr>
                <w:rFonts w:hint="eastAsia" w:ascii="宋体" w:hAnsi="宋体" w:cs="宋体"/>
                <w:kern w:val="28"/>
                <w:sz w:val="24"/>
                <w:szCs w:val="24"/>
                <w:lang w:eastAsia="zh-CN"/>
              </w:rPr>
              <w:t>被授权代表：（签字）</w:t>
            </w:r>
          </w:p>
        </w:tc>
      </w:tr>
      <w:tr w14:paraId="1B0B0C13">
        <w:tblPrEx>
          <w:tblCellMar>
            <w:top w:w="0" w:type="dxa"/>
            <w:left w:w="10" w:type="dxa"/>
            <w:bottom w:w="0" w:type="dxa"/>
            <w:right w:w="10" w:type="dxa"/>
          </w:tblCellMar>
        </w:tblPrEx>
        <w:trPr>
          <w:trHeight w:val="532" w:hRule="atLeast"/>
        </w:trPr>
        <w:tc>
          <w:tcPr>
            <w:tcW w:w="4549" w:type="dxa"/>
            <w:shd w:val="clear" w:color="000000" w:fill="FFFFFF"/>
            <w:tcMar>
              <w:left w:w="108" w:type="dxa"/>
              <w:right w:w="108" w:type="dxa"/>
            </w:tcMar>
            <w:vAlign w:val="center"/>
          </w:tcPr>
          <w:p w14:paraId="735708A2">
            <w:pPr>
              <w:shd w:val="clear" w:color="auto" w:fill="FFFFFF"/>
              <w:spacing w:line="360" w:lineRule="auto"/>
              <w:rPr>
                <w:rFonts w:ascii="宋体" w:hAnsi="宋体" w:cs="宋体"/>
                <w:kern w:val="28"/>
                <w:sz w:val="24"/>
                <w:szCs w:val="24"/>
              </w:rPr>
            </w:pPr>
            <w:r>
              <w:rPr>
                <w:rFonts w:hint="eastAsia" w:ascii="宋体" w:hAnsi="宋体" w:cs="宋体"/>
                <w:kern w:val="28"/>
                <w:sz w:val="24"/>
                <w:szCs w:val="24"/>
              </w:rPr>
              <w:t>电话：</w:t>
            </w:r>
          </w:p>
        </w:tc>
        <w:tc>
          <w:tcPr>
            <w:tcW w:w="4550" w:type="dxa"/>
            <w:shd w:val="clear" w:color="000000" w:fill="FFFFFF"/>
            <w:tcMar>
              <w:left w:w="108" w:type="dxa"/>
              <w:right w:w="108" w:type="dxa"/>
            </w:tcMar>
            <w:vAlign w:val="center"/>
          </w:tcPr>
          <w:p w14:paraId="1758F99E">
            <w:pPr>
              <w:shd w:val="clear" w:color="auto" w:fill="FFFFFF"/>
              <w:spacing w:line="360" w:lineRule="auto"/>
              <w:rPr>
                <w:rFonts w:ascii="宋体" w:hAnsi="宋体" w:cs="宋体"/>
                <w:kern w:val="28"/>
                <w:sz w:val="24"/>
                <w:szCs w:val="24"/>
              </w:rPr>
            </w:pPr>
            <w:r>
              <w:rPr>
                <w:rFonts w:hint="eastAsia" w:ascii="宋体" w:hAnsi="宋体" w:cs="宋体"/>
                <w:kern w:val="28"/>
                <w:sz w:val="24"/>
                <w:szCs w:val="24"/>
              </w:rPr>
              <w:t>电话：</w:t>
            </w:r>
          </w:p>
        </w:tc>
      </w:tr>
      <w:tr w14:paraId="2FC51162">
        <w:tblPrEx>
          <w:tblCellMar>
            <w:top w:w="0" w:type="dxa"/>
            <w:left w:w="10" w:type="dxa"/>
            <w:bottom w:w="0" w:type="dxa"/>
            <w:right w:w="10" w:type="dxa"/>
          </w:tblCellMar>
        </w:tblPrEx>
        <w:trPr>
          <w:trHeight w:val="532" w:hRule="atLeast"/>
        </w:trPr>
        <w:tc>
          <w:tcPr>
            <w:tcW w:w="4549" w:type="dxa"/>
            <w:shd w:val="clear" w:color="000000" w:fill="FFFFFF"/>
            <w:tcMar>
              <w:left w:w="108" w:type="dxa"/>
              <w:right w:w="108" w:type="dxa"/>
            </w:tcMar>
            <w:vAlign w:val="center"/>
          </w:tcPr>
          <w:p w14:paraId="7144F9D9">
            <w:pPr>
              <w:shd w:val="clear" w:color="auto" w:fill="FFFFFF"/>
              <w:spacing w:line="360" w:lineRule="auto"/>
              <w:rPr>
                <w:rFonts w:ascii="宋体" w:hAnsi="宋体" w:cs="宋体"/>
                <w:kern w:val="28"/>
                <w:sz w:val="24"/>
                <w:szCs w:val="24"/>
              </w:rPr>
            </w:pPr>
            <w:r>
              <w:rPr>
                <w:rFonts w:hint="eastAsia" w:ascii="宋体" w:hAnsi="宋体" w:cs="宋体"/>
                <w:kern w:val="28"/>
                <w:sz w:val="24"/>
                <w:szCs w:val="24"/>
              </w:rPr>
              <w:t>传真：</w:t>
            </w:r>
          </w:p>
        </w:tc>
        <w:tc>
          <w:tcPr>
            <w:tcW w:w="4550" w:type="dxa"/>
            <w:shd w:val="clear" w:color="000000" w:fill="FFFFFF"/>
            <w:tcMar>
              <w:left w:w="108" w:type="dxa"/>
              <w:right w:w="108" w:type="dxa"/>
            </w:tcMar>
            <w:vAlign w:val="center"/>
          </w:tcPr>
          <w:p w14:paraId="23C0B440">
            <w:pPr>
              <w:shd w:val="clear" w:color="auto" w:fill="FFFFFF"/>
              <w:spacing w:line="360" w:lineRule="auto"/>
              <w:rPr>
                <w:rFonts w:ascii="宋体" w:hAnsi="宋体" w:cs="宋体"/>
                <w:kern w:val="28"/>
                <w:sz w:val="24"/>
                <w:szCs w:val="24"/>
              </w:rPr>
            </w:pPr>
            <w:r>
              <w:rPr>
                <w:rFonts w:hint="eastAsia" w:ascii="宋体" w:hAnsi="宋体" w:cs="宋体"/>
                <w:kern w:val="28"/>
                <w:sz w:val="24"/>
                <w:szCs w:val="24"/>
              </w:rPr>
              <w:t>传真：</w:t>
            </w:r>
          </w:p>
        </w:tc>
      </w:tr>
      <w:tr w14:paraId="3A2B7601">
        <w:tblPrEx>
          <w:tblCellMar>
            <w:top w:w="0" w:type="dxa"/>
            <w:left w:w="10" w:type="dxa"/>
            <w:bottom w:w="0" w:type="dxa"/>
            <w:right w:w="10" w:type="dxa"/>
          </w:tblCellMar>
        </w:tblPrEx>
        <w:trPr>
          <w:trHeight w:val="532" w:hRule="atLeast"/>
        </w:trPr>
        <w:tc>
          <w:tcPr>
            <w:tcW w:w="4549" w:type="dxa"/>
            <w:shd w:val="clear" w:color="000000" w:fill="FFFFFF"/>
            <w:tcMar>
              <w:left w:w="108" w:type="dxa"/>
              <w:right w:w="108" w:type="dxa"/>
            </w:tcMar>
            <w:vAlign w:val="center"/>
          </w:tcPr>
          <w:p w14:paraId="2549FD0D">
            <w:pPr>
              <w:shd w:val="clear" w:color="auto" w:fill="FFFFFF"/>
              <w:spacing w:line="360" w:lineRule="auto"/>
              <w:rPr>
                <w:rFonts w:ascii="宋体" w:hAnsi="宋体" w:cs="宋体"/>
                <w:kern w:val="28"/>
                <w:sz w:val="24"/>
                <w:szCs w:val="24"/>
              </w:rPr>
            </w:pPr>
            <w:r>
              <w:rPr>
                <w:rFonts w:hint="eastAsia" w:ascii="宋体" w:hAnsi="宋体" w:cs="宋体"/>
                <w:kern w:val="28"/>
                <w:sz w:val="24"/>
                <w:szCs w:val="24"/>
              </w:rPr>
              <w:t>开户银行：</w:t>
            </w:r>
          </w:p>
        </w:tc>
        <w:tc>
          <w:tcPr>
            <w:tcW w:w="4550" w:type="dxa"/>
            <w:shd w:val="clear" w:color="000000" w:fill="FFFFFF"/>
            <w:tcMar>
              <w:left w:w="108" w:type="dxa"/>
              <w:right w:w="108" w:type="dxa"/>
            </w:tcMar>
            <w:vAlign w:val="center"/>
          </w:tcPr>
          <w:p w14:paraId="764A6B64">
            <w:pPr>
              <w:shd w:val="clear" w:color="auto" w:fill="FFFFFF"/>
              <w:spacing w:line="360" w:lineRule="auto"/>
              <w:rPr>
                <w:rFonts w:ascii="宋体" w:hAnsi="宋体" w:cs="宋体"/>
                <w:kern w:val="28"/>
                <w:sz w:val="24"/>
                <w:szCs w:val="24"/>
              </w:rPr>
            </w:pPr>
            <w:r>
              <w:rPr>
                <w:rFonts w:hint="eastAsia" w:ascii="宋体" w:hAnsi="宋体" w:cs="宋体"/>
                <w:kern w:val="28"/>
                <w:sz w:val="24"/>
                <w:szCs w:val="24"/>
              </w:rPr>
              <w:t>开户银行：</w:t>
            </w:r>
          </w:p>
        </w:tc>
      </w:tr>
      <w:tr w14:paraId="32A6AECD">
        <w:tblPrEx>
          <w:tblCellMar>
            <w:top w:w="0" w:type="dxa"/>
            <w:left w:w="10" w:type="dxa"/>
            <w:bottom w:w="0" w:type="dxa"/>
            <w:right w:w="10" w:type="dxa"/>
          </w:tblCellMar>
        </w:tblPrEx>
        <w:trPr>
          <w:trHeight w:val="532" w:hRule="atLeast"/>
        </w:trPr>
        <w:tc>
          <w:tcPr>
            <w:tcW w:w="4549" w:type="dxa"/>
            <w:shd w:val="clear" w:color="000000" w:fill="FFFFFF"/>
            <w:tcMar>
              <w:left w:w="108" w:type="dxa"/>
              <w:right w:w="108" w:type="dxa"/>
            </w:tcMar>
            <w:vAlign w:val="center"/>
          </w:tcPr>
          <w:p w14:paraId="775BCE5E">
            <w:pPr>
              <w:shd w:val="clear" w:color="auto" w:fill="FFFFFF"/>
              <w:spacing w:line="360" w:lineRule="auto"/>
              <w:rPr>
                <w:rFonts w:ascii="宋体" w:hAnsi="宋体" w:cs="宋体"/>
                <w:kern w:val="28"/>
                <w:sz w:val="24"/>
                <w:szCs w:val="24"/>
              </w:rPr>
            </w:pPr>
            <w:r>
              <w:rPr>
                <w:rFonts w:hint="eastAsia" w:ascii="宋体" w:hAnsi="宋体" w:cs="宋体"/>
                <w:kern w:val="28"/>
                <w:sz w:val="24"/>
                <w:szCs w:val="24"/>
              </w:rPr>
              <w:t>账号</w:t>
            </w:r>
            <w:r>
              <w:rPr>
                <w:rFonts w:hint="eastAsia" w:ascii="宋体" w:hAnsi="宋体" w:cs="宋体"/>
                <w:kern w:val="28"/>
                <w:sz w:val="24"/>
                <w:szCs w:val="24"/>
                <w:lang w:eastAsia="zh-CN"/>
              </w:rPr>
              <w:t>：</w:t>
            </w:r>
          </w:p>
        </w:tc>
        <w:tc>
          <w:tcPr>
            <w:tcW w:w="4550" w:type="dxa"/>
            <w:shd w:val="clear" w:color="000000" w:fill="FFFFFF"/>
            <w:tcMar>
              <w:left w:w="108" w:type="dxa"/>
              <w:right w:w="108" w:type="dxa"/>
            </w:tcMar>
            <w:vAlign w:val="center"/>
          </w:tcPr>
          <w:p w14:paraId="79CE53C5">
            <w:pPr>
              <w:shd w:val="clear" w:color="auto" w:fill="FFFFFF"/>
              <w:spacing w:line="360" w:lineRule="auto"/>
              <w:rPr>
                <w:rFonts w:ascii="宋体" w:hAnsi="宋体" w:cs="宋体"/>
                <w:kern w:val="28"/>
                <w:sz w:val="24"/>
                <w:szCs w:val="24"/>
              </w:rPr>
            </w:pPr>
            <w:r>
              <w:rPr>
                <w:rFonts w:hint="eastAsia" w:ascii="宋体" w:hAnsi="宋体" w:cs="宋体"/>
                <w:kern w:val="28"/>
                <w:sz w:val="24"/>
                <w:szCs w:val="24"/>
              </w:rPr>
              <w:t>账号</w:t>
            </w:r>
            <w:r>
              <w:rPr>
                <w:rFonts w:hint="eastAsia" w:ascii="宋体" w:hAnsi="宋体" w:cs="宋体"/>
                <w:kern w:val="28"/>
                <w:sz w:val="24"/>
                <w:szCs w:val="24"/>
                <w:lang w:eastAsia="zh-CN"/>
              </w:rPr>
              <w:t>：</w:t>
            </w:r>
          </w:p>
        </w:tc>
      </w:tr>
      <w:tr w14:paraId="355D8028">
        <w:tblPrEx>
          <w:tblCellMar>
            <w:top w:w="0" w:type="dxa"/>
            <w:left w:w="10" w:type="dxa"/>
            <w:bottom w:w="0" w:type="dxa"/>
            <w:right w:w="10" w:type="dxa"/>
          </w:tblCellMar>
        </w:tblPrEx>
        <w:trPr>
          <w:trHeight w:val="544" w:hRule="atLeast"/>
        </w:trPr>
        <w:tc>
          <w:tcPr>
            <w:tcW w:w="4549" w:type="dxa"/>
            <w:shd w:val="clear" w:color="000000" w:fill="FFFFFF"/>
            <w:tcMar>
              <w:left w:w="108" w:type="dxa"/>
              <w:right w:w="108" w:type="dxa"/>
            </w:tcMar>
            <w:vAlign w:val="center"/>
          </w:tcPr>
          <w:p w14:paraId="75A953AE">
            <w:pPr>
              <w:shd w:val="clear" w:color="auto" w:fill="FFFFFF"/>
              <w:spacing w:line="360" w:lineRule="auto"/>
              <w:rPr>
                <w:rFonts w:ascii="宋体" w:hAnsi="宋体" w:cs="宋体"/>
                <w:kern w:val="28"/>
                <w:sz w:val="24"/>
                <w:szCs w:val="24"/>
              </w:rPr>
            </w:pPr>
            <w:r>
              <w:rPr>
                <w:rFonts w:hint="eastAsia" w:ascii="宋体" w:hAnsi="宋体" w:cs="宋体"/>
                <w:kern w:val="28"/>
                <w:sz w:val="24"/>
                <w:szCs w:val="24"/>
              </w:rPr>
              <w:t>日期：       年   月   日</w:t>
            </w:r>
          </w:p>
        </w:tc>
        <w:tc>
          <w:tcPr>
            <w:tcW w:w="4550" w:type="dxa"/>
            <w:shd w:val="clear" w:color="000000" w:fill="FFFFFF"/>
            <w:tcMar>
              <w:left w:w="108" w:type="dxa"/>
              <w:right w:w="108" w:type="dxa"/>
            </w:tcMar>
            <w:vAlign w:val="center"/>
          </w:tcPr>
          <w:p w14:paraId="46238FE4">
            <w:pPr>
              <w:shd w:val="clear" w:color="auto" w:fill="FFFFFF"/>
              <w:spacing w:line="360" w:lineRule="auto"/>
              <w:rPr>
                <w:rFonts w:ascii="宋体" w:hAnsi="宋体" w:cs="宋体"/>
                <w:kern w:val="28"/>
                <w:sz w:val="24"/>
                <w:szCs w:val="24"/>
              </w:rPr>
            </w:pPr>
            <w:r>
              <w:rPr>
                <w:rFonts w:hint="eastAsia" w:ascii="宋体" w:hAnsi="宋体" w:cs="宋体"/>
                <w:kern w:val="28"/>
                <w:sz w:val="24"/>
                <w:szCs w:val="24"/>
              </w:rPr>
              <w:t>日期：      年   月   日</w:t>
            </w:r>
          </w:p>
        </w:tc>
      </w:tr>
    </w:tbl>
    <w:p w14:paraId="6F338DA3">
      <w:pPr>
        <w:pStyle w:val="6"/>
        <w:rPr>
          <w:rFonts w:hint="default"/>
        </w:rPr>
      </w:pPr>
    </w:p>
    <w:p w14:paraId="1C19FB82">
      <w:pPr>
        <w:rPr>
          <w:lang w:eastAsia="zh-CN"/>
        </w:rPr>
      </w:pPr>
      <w:bookmarkStart w:id="111" w:name="_GoBack"/>
      <w:bookmarkEnd w:id="111"/>
    </w:p>
    <w:p w14:paraId="2A58C554">
      <w:pPr>
        <w:pStyle w:val="6"/>
        <w:rPr>
          <w:rFonts w:hint="default"/>
        </w:rPr>
      </w:pPr>
    </w:p>
    <w:p w14:paraId="0D800E5E"/>
    <w:sectPr>
      <w:footerReference r:id="rId3" w:type="default"/>
      <w:pgSz w:w="11906" w:h="16838"/>
      <w:pgMar w:top="1440" w:right="1304" w:bottom="1440" w:left="1304"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EC30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BDD2F3">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BBDD2F3">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3C68F4"/>
    <w:rsid w:val="6C691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paragraph" w:customStyle="1" w:styleId="5">
    <w:name w:val="列出段落1"/>
    <w:basedOn w:val="1"/>
    <w:qFormat/>
    <w:uiPriority w:val="34"/>
    <w:pPr>
      <w:ind w:firstLine="420" w:firstLineChars="200"/>
    </w:pPr>
    <w:rPr>
      <w:rFonts w:ascii="Calibri" w:hAnsi="Calibri"/>
      <w:szCs w:val="22"/>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2419</Words>
  <Characters>2467</Characters>
  <Lines>0</Lines>
  <Paragraphs>0</Paragraphs>
  <TotalTime>0</TotalTime>
  <ScaleCrop>false</ScaleCrop>
  <LinksUpToDate>false</LinksUpToDate>
  <CharactersWithSpaces>2919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2026-08-06T07:43:00Z</dcterms:created>
  <dc:creator>Administrator</dc:creator>
  <cp:lastModifiedBy>迭</cp:lastModifiedBy>
  <dcterms:modified xsi:type="dcterms:W3CDTF">2026-08-10T03:17:49Z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eyJoZGlkIjoiYjM2ZTE0MGYzYTg1ZDNkMzBiNjdkOTY5MzM3MDIyM2UiLCJ1c2VySWQiOiI5NTcxNjYzMDcifQ==</vt:lpwstr>
  </property>
  <property fmtid="{D5CDD505-2E9C-101B-9397-08002B2CF9AE}" pid="4" name="ICV">
    <vt:lpwstr>A06D7BC9E0604AD89C05F05ECE08DC30_12</vt:lpwstr>
  </property>
</Properties>
</file>