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版本号：LDZB-26019720260603001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外聘职工体检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LDZB-260197</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立德项目咨询集团（陕西）有限公司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立德项目咨询集团（陕西）有限公司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外聘职工体检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LDZB-260197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外聘职工体检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本项目为学院2026年外聘教职工体检，体检人数约330人，分40岁以下/以上两类套餐，按实际参检人数结算。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为合法注册的法人、其他组织或自然人，具有独立承担民事责任的能力，提供统一社会信用代码的营业执照（或事业法人证）等证明文件，供应商为自然人的提供身份证。</w:t>
      </w:r>
    </w:p>
    <w:p>
      <w:pPr>
        <w:pStyle w:val="null3"/>
      </w:pPr>
      <w:r>
        <w:rPr>
          <w:rFonts w:ascii="仿宋_GB2312" w:hAnsi="仿宋_GB2312" w:cs="仿宋_GB2312" w:eastAsia="仿宋_GB2312"/>
        </w:rPr>
        <w:t>2、供应商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p>
      <w:pPr>
        <w:pStyle w:val="null3"/>
      </w:pPr>
      <w:r>
        <w:rPr>
          <w:rFonts w:ascii="仿宋_GB2312" w:hAnsi="仿宋_GB2312" w:cs="仿宋_GB2312" w:eastAsia="仿宋_GB2312"/>
        </w:rPr>
        <w:t>3、供应商具有履行合同所必需的设备和专业技术能力：提供声明文件</w:t>
      </w:r>
    </w:p>
    <w:p>
      <w:pPr>
        <w:pStyle w:val="null3"/>
      </w:pPr>
      <w:r>
        <w:rPr>
          <w:rFonts w:ascii="仿宋_GB2312" w:hAnsi="仿宋_GB2312" w:cs="仿宋_GB2312" w:eastAsia="仿宋_GB2312"/>
        </w:rPr>
        <w:t>4、供应商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供应商具有依法缴纳社会保障资金的良好记录：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6、无重大违法记录：供应商参加政府采购活动前3年内在经营活动中没有重大违法记录的书面声明</w:t>
      </w:r>
    </w:p>
    <w:p>
      <w:pPr>
        <w:pStyle w:val="null3"/>
      </w:pPr>
      <w:r>
        <w:rPr>
          <w:rFonts w:ascii="仿宋_GB2312" w:hAnsi="仿宋_GB2312" w:cs="仿宋_GB2312" w:eastAsia="仿宋_GB2312"/>
        </w:rPr>
        <w:t>7、法定代表人证明或授权委托书：供应商应授权合法的人员参加投标全过程，其中法定代表人直接参加投标的，须出具身份证，并与营业执照上信息一致。法定代表人授权代表参加采购活动的，须出具法定代表人授权书及授权代表身份证。</w:t>
      </w:r>
    </w:p>
    <w:p>
      <w:pPr>
        <w:pStyle w:val="null3"/>
      </w:pPr>
      <w:r>
        <w:rPr>
          <w:rFonts w:ascii="仿宋_GB2312" w:hAnsi="仿宋_GB2312" w:cs="仿宋_GB2312" w:eastAsia="仿宋_GB2312"/>
        </w:rPr>
        <w:t>8、供应商未被列入信用中国失信被执行人、重大税收违法案件当事人名单及中国政府采购网政府采购严重违法失信行为记录名单。：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p>
      <w:pPr>
        <w:pStyle w:val="null3"/>
      </w:pPr>
      <w:r>
        <w:rPr>
          <w:rFonts w:ascii="仿宋_GB2312" w:hAnsi="仿宋_GB2312" w:cs="仿宋_GB2312" w:eastAsia="仿宋_GB2312"/>
        </w:rPr>
        <w:t>9、控股关系：单位负责人为同一人或者存在控股、管理关系的不同单位，不得同时参加本项目投标</w:t>
      </w:r>
    </w:p>
    <w:p>
      <w:pPr>
        <w:pStyle w:val="null3"/>
      </w:pPr>
      <w:r>
        <w:rPr>
          <w:rFonts w:ascii="仿宋_GB2312" w:hAnsi="仿宋_GB2312" w:cs="仿宋_GB2312" w:eastAsia="仿宋_GB2312"/>
        </w:rPr>
        <w:t>10、资质证明：供应商须具备《医疗机构执业许可证》（诊疗范围含健康体检服务内容）及《放射诊疗许可证》。</w:t>
      </w:r>
    </w:p>
    <w:p>
      <w:pPr>
        <w:pStyle w:val="null3"/>
      </w:pPr>
      <w:r>
        <w:rPr>
          <w:rFonts w:ascii="仿宋_GB2312" w:hAnsi="仿宋_GB2312" w:cs="仿宋_GB2312" w:eastAsia="仿宋_GB2312"/>
        </w:rPr>
        <w:t>11、本项目不接受联合体：本项目不接受联合体磋商（响应主体为单一供应商，无需提供证明材料）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崔广宇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立德项目咨询集团（陕西）有限公司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西安市浐灞生态区欧亚大道777号浐灞自贸中心E座803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刘思雨、陈旭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029-86615942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代理服务费收费标准：1.确定成交人后3日内，由成交人向代理机构一次付清采购代理服务费。 2.以采购预算为基数，招标代理服务费按照国家计委印发《招标代理服务收费管理暂行办法》的通知（计价格[2002]1980号）文件、发改价格[2011]534 号文件及国家发改委印发的《关于进一步放开建设项目专业服务价格的通知》[2015]299号文件的收取标准下浮20%计取。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立德项目咨询集团（陕西）有限公司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立德项目咨询集团（陕西）有限公司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立德项目咨询集团（陕西）有限公司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详见合同内容及服务要求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联系人：刘思雨、陈旭</w:t>
      </w:r>
    </w:p>
    <w:p>
      <w:pPr>
        <w:pStyle w:val="null3"/>
      </w:pPr>
      <w:r>
        <w:rPr>
          <w:rFonts w:ascii="仿宋_GB2312" w:hAnsi="仿宋_GB2312" w:cs="仿宋_GB2312" w:eastAsia="仿宋_GB2312"/>
        </w:rPr>
        <w:t>联系电话：029-86615942</w:t>
      </w:r>
    </w:p>
    <w:p>
      <w:pPr>
        <w:pStyle w:val="null3"/>
      </w:pPr>
      <w:r>
        <w:rPr>
          <w:rFonts w:ascii="仿宋_GB2312" w:hAnsi="仿宋_GB2312" w:cs="仿宋_GB2312" w:eastAsia="仿宋_GB2312"/>
        </w:rPr>
        <w:t>地址：西安市浐灞生态区欧亚大道777号浐灞自贸中心E座803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本项目为学院2026年外聘教职工体检，体检人数约330人，分40岁以下/以上两类套餐，按实际参检人数结算。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外聘职工体检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标的名称：外聘职工体检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FF"/>
              </w:rPr>
              <w:t>一、项目概况</w:t>
            </w:r>
          </w:p>
          <w:p>
            <w:pPr>
              <w:pStyle w:val="null3"/>
            </w:pPr>
            <w:r>
              <w:rPr>
                <w:rFonts w:ascii="仿宋_GB2312" w:hAnsi="仿宋_GB2312" w:cs="仿宋_GB2312" w:eastAsia="仿宋_GB2312"/>
                <w:color w:val="0000FF"/>
              </w:rPr>
              <w:t>西安铁路职业技术学院</w:t>
            </w:r>
            <w:r>
              <w:rPr>
                <w:rFonts w:ascii="仿宋_GB2312" w:hAnsi="仿宋_GB2312" w:cs="仿宋_GB2312" w:eastAsia="仿宋_GB2312"/>
                <w:color w:val="0000FF"/>
              </w:rPr>
              <w:t>2026年外聘教职工体检项目，体检人数约330人（各年龄段人数见服务内容）套餐形式，以实际体检人数结算。体检项目见服务内容。</w:t>
            </w:r>
          </w:p>
          <w:p>
            <w:pPr>
              <w:pStyle w:val="null3"/>
            </w:pPr>
            <w:r>
              <w:rPr>
                <w:rFonts w:ascii="仿宋_GB2312" w:hAnsi="仿宋_GB2312" w:cs="仿宋_GB2312" w:eastAsia="仿宋_GB2312"/>
                <w:color w:val="0000FF"/>
              </w:rPr>
              <w:t>二、服务内容</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737"/>
              <w:gridCol w:w="201"/>
              <w:gridCol w:w="259"/>
              <w:gridCol w:w="924"/>
              <w:gridCol w:w="226"/>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40岁以下</w:t>
                  </w:r>
                  <w:r>
                    <w:rPr>
                      <w:rFonts w:ascii="仿宋_GB2312" w:hAnsi="仿宋_GB2312" w:cs="仿宋_GB2312" w:eastAsia="仿宋_GB2312"/>
                      <w:sz w:val="21"/>
                      <w:color w:val="0000FF"/>
                    </w:rPr>
                    <w:t>体检项目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体检项目</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备注</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体检项目</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备注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身高、体重、血压</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腹部彩超</w:t>
                  </w:r>
                  <w:r>
                    <w:rPr>
                      <w:rFonts w:ascii="仿宋_GB2312" w:hAnsi="仿宋_GB2312" w:cs="仿宋_GB2312" w:eastAsia="仿宋_GB2312"/>
                      <w:sz w:val="21"/>
                      <w:color w:val="0000FF"/>
                    </w:rPr>
                    <w:t>(肝、胆、脾、双肾)</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内科</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r>
                    <w:rPr>
                      <w:rFonts w:ascii="仿宋_GB2312" w:hAnsi="仿宋_GB2312" w:cs="仿宋_GB2312" w:eastAsia="仿宋_GB2312"/>
                      <w:sz w:val="21"/>
                      <w:color w:val="0000FF"/>
                    </w:rPr>
                    <w:t>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十二导联心电图</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眼科</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r>
                    <w:rPr>
                      <w:rFonts w:ascii="仿宋_GB2312" w:hAnsi="仿宋_GB2312" w:cs="仿宋_GB2312" w:eastAsia="仿宋_GB2312"/>
                      <w:sz w:val="21"/>
                      <w:color w:val="0000FF"/>
                    </w:rPr>
                    <w:t>5</w:t>
                  </w:r>
                </w:p>
              </w:tc>
              <w:tc>
                <w:tcPr>
                  <w:tcW w:type="dxa" w:w="9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DR颈椎正侧位检查</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眼底检查</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r>
                    <w:rPr>
                      <w:rFonts w:ascii="仿宋_GB2312" w:hAnsi="仿宋_GB2312" w:cs="仿宋_GB2312" w:eastAsia="仿宋_GB2312"/>
                      <w:sz w:val="21"/>
                      <w:color w:val="0000FF"/>
                    </w:rPr>
                    <w:t>6</w:t>
                  </w:r>
                </w:p>
              </w:tc>
              <w:tc>
                <w:tcPr>
                  <w:tcW w:type="dxa" w:w="9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胸部螺旋</w:t>
                  </w:r>
                  <w:r>
                    <w:rPr>
                      <w:rFonts w:ascii="仿宋_GB2312" w:hAnsi="仿宋_GB2312" w:cs="仿宋_GB2312" w:eastAsia="仿宋_GB2312"/>
                      <w:sz w:val="21"/>
                      <w:color w:val="0000FF"/>
                    </w:rPr>
                    <w:t>CT</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裂隙灯检查</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r>
                    <w:rPr>
                      <w:rFonts w:ascii="仿宋_GB2312" w:hAnsi="仿宋_GB2312" w:cs="仿宋_GB2312" w:eastAsia="仿宋_GB2312"/>
                      <w:sz w:val="21"/>
                      <w:color w:val="0000FF"/>
                    </w:rPr>
                    <w:t>7</w:t>
                  </w:r>
                </w:p>
              </w:tc>
              <w:tc>
                <w:tcPr>
                  <w:tcW w:type="dxa" w:w="9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超声骨密度检测</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血常规</w:t>
                  </w:r>
                  <w:r>
                    <w:rPr>
                      <w:rFonts w:ascii="仿宋_GB2312" w:hAnsi="仿宋_GB2312" w:cs="仿宋_GB2312" w:eastAsia="仿宋_GB2312"/>
                      <w:sz w:val="21"/>
                      <w:color w:val="0000FF"/>
                    </w:rPr>
                    <w:t>(五分类）</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r>
                    <w:rPr>
                      <w:rFonts w:ascii="仿宋_GB2312" w:hAnsi="仿宋_GB2312" w:cs="仿宋_GB2312" w:eastAsia="仿宋_GB2312"/>
                      <w:sz w:val="21"/>
                      <w:color w:val="0000FF"/>
                    </w:rPr>
                    <w:t>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经颅多普勒检测</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尿常规</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甲状腺彩超</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肝功十项</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0</w:t>
                  </w:r>
                </w:p>
              </w:tc>
              <w:tc>
                <w:tcPr>
                  <w:tcW w:type="dxa" w:w="9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前列腺彩超（男）</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肾功检测（含血尿酸）</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子宫附件彩超（女）</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血脂四项</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2</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乳腺彩超（女）</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11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碳</w:t>
                  </w:r>
                  <w:r>
                    <w:rPr>
                      <w:rFonts w:ascii="仿宋_GB2312" w:hAnsi="仿宋_GB2312" w:cs="仿宋_GB2312" w:eastAsia="仿宋_GB2312"/>
                      <w:sz w:val="21"/>
                      <w:color w:val="0000FF"/>
                    </w:rPr>
                    <w:t>1</w:t>
                  </w:r>
                  <w:r>
                    <w:rPr>
                      <w:rFonts w:ascii="仿宋_GB2312" w:hAnsi="仿宋_GB2312" w:cs="仿宋_GB2312" w:eastAsia="仿宋_GB2312"/>
                      <w:sz w:val="21"/>
                      <w:color w:val="0000FF"/>
                    </w:rPr>
                    <w:t>4</w:t>
                  </w:r>
                  <w:r>
                    <w:rPr>
                      <w:rFonts w:ascii="仿宋_GB2312" w:hAnsi="仿宋_GB2312" w:cs="仿宋_GB2312" w:eastAsia="仿宋_GB2312"/>
                      <w:sz w:val="21"/>
                      <w:color w:val="0000FF"/>
                    </w:rPr>
                    <w:t>幽门螺杆菌检测</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妇科检查（已婚女）</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空腹血糖</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超薄液基细胞学检查（已婚女）</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40岁以上</w:t>
                  </w:r>
                  <w:r>
                    <w:rPr>
                      <w:rFonts w:ascii="仿宋_GB2312" w:hAnsi="仿宋_GB2312" w:cs="仿宋_GB2312" w:eastAsia="仿宋_GB2312"/>
                      <w:sz w:val="21"/>
                      <w:color w:val="0000FF"/>
                    </w:rPr>
                    <w:t>体检项目</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体检项目</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备注</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体检项目</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备注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身高、体重、血压</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r>
                    <w:rPr>
                      <w:rFonts w:ascii="仿宋_GB2312" w:hAnsi="仿宋_GB2312" w:cs="仿宋_GB2312" w:eastAsia="仿宋_GB2312"/>
                      <w:sz w:val="21"/>
                      <w:color w:val="0000FF"/>
                    </w:rPr>
                    <w:t>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十二导联心电图</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内科</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r>
                    <w:rPr>
                      <w:rFonts w:ascii="仿宋_GB2312" w:hAnsi="仿宋_GB2312" w:cs="仿宋_GB2312" w:eastAsia="仿宋_GB2312"/>
                      <w:sz w:val="21"/>
                      <w:color w:val="0000FF"/>
                    </w:rPr>
                    <w:t>5</w:t>
                  </w:r>
                </w:p>
              </w:tc>
              <w:tc>
                <w:tcPr>
                  <w:tcW w:type="dxa" w:w="9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DR颈椎正侧位检查</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眼科</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r>
                    <w:rPr>
                      <w:rFonts w:ascii="仿宋_GB2312" w:hAnsi="仿宋_GB2312" w:cs="仿宋_GB2312" w:eastAsia="仿宋_GB2312"/>
                      <w:sz w:val="21"/>
                      <w:color w:val="0000FF"/>
                    </w:rPr>
                    <w:t>6</w:t>
                  </w:r>
                </w:p>
              </w:tc>
              <w:tc>
                <w:tcPr>
                  <w:tcW w:type="dxa" w:w="9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胸部螺旋</w:t>
                  </w:r>
                  <w:r>
                    <w:rPr>
                      <w:rFonts w:ascii="仿宋_GB2312" w:hAnsi="仿宋_GB2312" w:cs="仿宋_GB2312" w:eastAsia="仿宋_GB2312"/>
                      <w:sz w:val="21"/>
                      <w:color w:val="0000FF"/>
                    </w:rPr>
                    <w:t>CT</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眼底检查</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r>
                    <w:rPr>
                      <w:rFonts w:ascii="仿宋_GB2312" w:hAnsi="仿宋_GB2312" w:cs="仿宋_GB2312" w:eastAsia="仿宋_GB2312"/>
                      <w:sz w:val="21"/>
                      <w:color w:val="0000FF"/>
                    </w:rPr>
                    <w:t>7</w:t>
                  </w:r>
                </w:p>
              </w:tc>
              <w:tc>
                <w:tcPr>
                  <w:tcW w:type="dxa" w:w="9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头颅螺旋</w:t>
                  </w:r>
                  <w:r>
                    <w:rPr>
                      <w:rFonts w:ascii="仿宋_GB2312" w:hAnsi="仿宋_GB2312" w:cs="仿宋_GB2312" w:eastAsia="仿宋_GB2312"/>
                      <w:sz w:val="21"/>
                      <w:color w:val="0000FF"/>
                    </w:rPr>
                    <w:t>CT</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裂隙灯检查</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r>
                    <w:rPr>
                      <w:rFonts w:ascii="仿宋_GB2312" w:hAnsi="仿宋_GB2312" w:cs="仿宋_GB2312" w:eastAsia="仿宋_GB2312"/>
                      <w:sz w:val="21"/>
                      <w:color w:val="0000FF"/>
                    </w:rPr>
                    <w:t>8</w:t>
                  </w:r>
                </w:p>
              </w:tc>
              <w:tc>
                <w:tcPr>
                  <w:tcW w:type="dxa" w:w="9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超声骨密度检测</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血常规</w:t>
                  </w:r>
                  <w:r>
                    <w:rPr>
                      <w:rFonts w:ascii="仿宋_GB2312" w:hAnsi="仿宋_GB2312" w:cs="仿宋_GB2312" w:eastAsia="仿宋_GB2312"/>
                      <w:sz w:val="21"/>
                      <w:color w:val="0000FF"/>
                    </w:rPr>
                    <w:t>(五分类）</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经颅多普勒检测</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尿常规</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甲状腺彩超</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肝功十项</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心脏彩超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肾功检测（含血尿酸）</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2</w:t>
                  </w:r>
                </w:p>
              </w:tc>
              <w:tc>
                <w:tcPr>
                  <w:tcW w:type="dxa" w:w="9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前列腺彩超（男）</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血脂四项</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3</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子宫附件彩超（女）</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碳</w:t>
                  </w:r>
                  <w:r>
                    <w:rPr>
                      <w:rFonts w:ascii="仿宋_GB2312" w:hAnsi="仿宋_GB2312" w:cs="仿宋_GB2312" w:eastAsia="仿宋_GB2312"/>
                      <w:sz w:val="21"/>
                      <w:color w:val="0000FF"/>
                    </w:rPr>
                    <w:t>14</w:t>
                  </w:r>
                  <w:r>
                    <w:rPr>
                      <w:rFonts w:ascii="仿宋_GB2312" w:hAnsi="仿宋_GB2312" w:cs="仿宋_GB2312" w:eastAsia="仿宋_GB2312"/>
                      <w:sz w:val="21"/>
                      <w:color w:val="0000FF"/>
                    </w:rPr>
                    <w:t>幽门螺杆菌检测</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乳腺彩超（女）</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空腹血糖</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妇科检查（已婚女）</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腹部彩超</w:t>
                  </w:r>
                  <w:r>
                    <w:rPr>
                      <w:rFonts w:ascii="仿宋_GB2312" w:hAnsi="仿宋_GB2312" w:cs="仿宋_GB2312" w:eastAsia="仿宋_GB2312"/>
                      <w:sz w:val="21"/>
                      <w:color w:val="0000FF"/>
                    </w:rPr>
                    <w:t>(肝、胆、脾、双肾)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r>
                    <w:rPr>
                      <w:rFonts w:ascii="仿宋_GB2312" w:hAnsi="仿宋_GB2312" w:cs="仿宋_GB2312" w:eastAsia="仿宋_GB2312"/>
                      <w:sz w:val="21"/>
                      <w:color w:val="0000FF"/>
                    </w:rPr>
                    <w:t>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超薄液基细胞学检查（已婚女）</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color w:val="0000FF"/>
              </w:rPr>
              <w:t>三、技术要求</w:t>
            </w:r>
          </w:p>
          <w:p>
            <w:pPr>
              <w:pStyle w:val="null3"/>
            </w:pPr>
            <w:r>
              <w:rPr>
                <w:rFonts w:ascii="仿宋_GB2312" w:hAnsi="仿宋_GB2312" w:cs="仿宋_GB2312" w:eastAsia="仿宋_GB2312"/>
                <w:color w:val="0000FF"/>
              </w:rPr>
              <w:t>1.供应商须具备《医疗机构执业许可证》（诊疗范围含健康体检服务内容）及《放射诊疗许可证》。按照《医疗质量管理办法》、《医学检验实验室质量管理规范》、《健康体检管理暂行规定》、《健康体检中心基本标准（试行）》和《健康体检中心管理规范（试行）》的要求开展健康体检服务。</w:t>
            </w:r>
          </w:p>
          <w:p>
            <w:pPr>
              <w:pStyle w:val="null3"/>
            </w:pPr>
            <w:r>
              <w:rPr>
                <w:rFonts w:ascii="仿宋_GB2312" w:hAnsi="仿宋_GB2312" w:cs="仿宋_GB2312" w:eastAsia="仿宋_GB2312"/>
                <w:color w:val="0000FF"/>
              </w:rPr>
              <w:t>2.体检机构医务人员需具备相应资质，具有较强的责任心，认真仔细的工作态度，杜绝漏诊、误诊。</w:t>
            </w:r>
          </w:p>
          <w:p>
            <w:pPr>
              <w:pStyle w:val="null3"/>
            </w:pPr>
            <w:r>
              <w:rPr>
                <w:rFonts w:ascii="仿宋_GB2312" w:hAnsi="仿宋_GB2312" w:cs="仿宋_GB2312" w:eastAsia="仿宋_GB2312"/>
                <w:color w:val="0000FF"/>
              </w:rPr>
              <w:t>四、服务要求</w:t>
            </w:r>
          </w:p>
          <w:p>
            <w:pPr>
              <w:pStyle w:val="null3"/>
            </w:pPr>
            <w:r>
              <w:rPr>
                <w:rFonts w:ascii="仿宋_GB2312" w:hAnsi="仿宋_GB2312" w:cs="仿宋_GB2312" w:eastAsia="仿宋_GB2312"/>
                <w:color w:val="0000FF"/>
              </w:rPr>
              <w:t>在合同执行过程中需要服务商应执行的相关服务标准和应当展行的相关义务。</w:t>
            </w:r>
          </w:p>
          <w:p>
            <w:pPr>
              <w:pStyle w:val="null3"/>
            </w:pPr>
            <w:r>
              <w:rPr>
                <w:rFonts w:ascii="仿宋_GB2312" w:hAnsi="仿宋_GB2312" w:cs="仿宋_GB2312" w:eastAsia="仿宋_GB2312"/>
                <w:color w:val="0000FF"/>
              </w:rPr>
              <w:t>1.体检机构需具备开展健康体检相应的人员资质、设备要求、服务流程规范。</w:t>
            </w:r>
          </w:p>
          <w:p>
            <w:pPr>
              <w:pStyle w:val="null3"/>
            </w:pPr>
            <w:r>
              <w:rPr>
                <w:rFonts w:ascii="仿宋_GB2312" w:hAnsi="仿宋_GB2312" w:cs="仿宋_GB2312" w:eastAsia="仿宋_GB2312"/>
                <w:color w:val="0000FF"/>
              </w:rPr>
              <w:t>人员资质：主检医师需具备副主任医师及以上职称，各科室医师需持有执业医师资格证书及执业证书。护士需持有效执业证书，且具备</w:t>
            </w:r>
            <w:r>
              <w:rPr>
                <w:rFonts w:ascii="仿宋_GB2312" w:hAnsi="仿宋_GB2312" w:cs="仿宋_GB2312" w:eastAsia="仿宋_GB2312"/>
                <w:color w:val="0000FF"/>
              </w:rPr>
              <w:t>2年以上体检岗位经验。</w:t>
            </w:r>
          </w:p>
          <w:p>
            <w:pPr>
              <w:pStyle w:val="null3"/>
            </w:pPr>
            <w:r>
              <w:rPr>
                <w:rFonts w:ascii="仿宋_GB2312" w:hAnsi="仿宋_GB2312" w:cs="仿宋_GB2312" w:eastAsia="仿宋_GB2312"/>
                <w:color w:val="0000FF"/>
              </w:rPr>
              <w:t>设备要求：所有体检设备具备合格检定证书，符合国家医疗器械检定标准。</w:t>
            </w:r>
          </w:p>
          <w:p>
            <w:pPr>
              <w:pStyle w:val="null3"/>
            </w:pPr>
            <w:r>
              <w:rPr>
                <w:rFonts w:ascii="仿宋_GB2312" w:hAnsi="仿宋_GB2312" w:cs="仿宋_GB2312" w:eastAsia="仿宋_GB2312"/>
                <w:color w:val="0000FF"/>
              </w:rPr>
              <w:t>流程规范：严格执行《健康体检管理暂行规定》，制定标准化体检流程。保护受检者隐私，体检报告密封发放，电子数据加密存储。</w:t>
            </w:r>
          </w:p>
          <w:p>
            <w:pPr>
              <w:pStyle w:val="null3"/>
            </w:pPr>
            <w:r>
              <w:rPr>
                <w:rFonts w:ascii="仿宋_GB2312" w:hAnsi="仿宋_GB2312" w:cs="仿宋_GB2312" w:eastAsia="仿宋_GB2312"/>
                <w:color w:val="0000FF"/>
              </w:rPr>
              <w:t>2.供应商针对本项目制定具体详实可行的组织实施方案。应为本单位此次体检提供快速通道服务或相应的便捷服务。</w:t>
            </w:r>
          </w:p>
          <w:p>
            <w:pPr>
              <w:pStyle w:val="null3"/>
            </w:pPr>
            <w:r>
              <w:rPr>
                <w:rFonts w:ascii="仿宋_GB2312" w:hAnsi="仿宋_GB2312" w:cs="仿宋_GB2312" w:eastAsia="仿宋_GB2312"/>
                <w:color w:val="0000FF"/>
              </w:rPr>
              <w:t>3.职工体检开始后，供应商应为体检人员提供快速、便捷的体检结果信息化查询方式，同时须以周为单位将当前阶段体检报告纸质版送达西安铁路职业技术学院工会；体检工作结束后，供应商需提供西安铁路职业技术学院本次体检结果汇总、分析报告的纸质版及电子版。</w:t>
            </w:r>
          </w:p>
          <w:p>
            <w:pPr>
              <w:pStyle w:val="null3"/>
            </w:pPr>
            <w:r>
              <w:rPr>
                <w:rFonts w:ascii="仿宋_GB2312" w:hAnsi="仿宋_GB2312" w:cs="仿宋_GB2312" w:eastAsia="仿宋_GB2312"/>
                <w:color w:val="0000FF"/>
              </w:rPr>
              <w:t>4.供应商不得以西安铁路职业技术学院实际参检人数多寡为由，提出变更套餐价格或其他要求。中标单位不得主动以任何形式向体检职工推荐、推销本次体检套餐以外的项目。职工要求增加体检项目者，给予最低优惠折扣。职工家属自愿参加本次体检者，享受与西安铁路职业技术学院职工相同的套餐价格折扣，费用由自己负担。</w:t>
            </w:r>
          </w:p>
          <w:p>
            <w:pPr>
              <w:pStyle w:val="null3"/>
            </w:pPr>
            <w:r>
              <w:rPr>
                <w:rFonts w:ascii="仿宋_GB2312" w:hAnsi="仿宋_GB2312" w:cs="仿宋_GB2312" w:eastAsia="仿宋_GB2312"/>
                <w:color w:val="0000FF"/>
              </w:rPr>
              <w:t>5.出具体检报告后，体检单位有义务向每一位体检者进行专业解析，提出健康指导意见，若有必要，可分次按照学院指定地点组织专家进行现场答疑，逐一深度解读体检报告。</w:t>
            </w:r>
          </w:p>
          <w:p>
            <w:pPr>
              <w:pStyle w:val="null3"/>
            </w:pPr>
            <w:r>
              <w:rPr>
                <w:rFonts w:ascii="仿宋_GB2312" w:hAnsi="仿宋_GB2312" w:cs="仿宋_GB2312" w:eastAsia="仿宋_GB2312"/>
                <w:color w:val="0000FF"/>
              </w:rPr>
              <w:t>6.体检机构中标后，在签订合同前要与甲方充分协商，各年龄段具体体检项目以甲方要求为准。</w:t>
            </w:r>
          </w:p>
          <w:p>
            <w:pPr>
              <w:pStyle w:val="null3"/>
            </w:pPr>
            <w:r>
              <w:rPr>
                <w:rFonts w:ascii="仿宋_GB2312" w:hAnsi="仿宋_GB2312" w:cs="仿宋_GB2312" w:eastAsia="仿宋_GB2312"/>
                <w:color w:val="0000FF"/>
              </w:rPr>
              <w:t>7.服务期内，经甲乙双方友好协商，在体检单人总价不变的前提下，甲方可以对体检项目进行微调。</w:t>
            </w:r>
          </w:p>
          <w:p>
            <w:pPr>
              <w:pStyle w:val="null3"/>
            </w:pPr>
            <w:r>
              <w:rPr>
                <w:rFonts w:ascii="仿宋_GB2312" w:hAnsi="仿宋_GB2312" w:cs="仿宋_GB2312" w:eastAsia="仿宋_GB2312"/>
                <w:color w:val="0000FF"/>
              </w:rPr>
              <w:t>五、商务要求</w:t>
            </w:r>
          </w:p>
          <w:p>
            <w:pPr>
              <w:pStyle w:val="null3"/>
            </w:pPr>
            <w:r>
              <w:rPr>
                <w:rFonts w:ascii="仿宋_GB2312" w:hAnsi="仿宋_GB2312" w:cs="仿宋_GB2312" w:eastAsia="仿宋_GB2312"/>
                <w:color w:val="0000FF"/>
              </w:rPr>
              <w:t>（一）服务期限</w:t>
            </w:r>
          </w:p>
          <w:p>
            <w:pPr>
              <w:pStyle w:val="null3"/>
            </w:pPr>
            <w:r>
              <w:rPr>
                <w:rFonts w:ascii="仿宋_GB2312" w:hAnsi="仿宋_GB2312" w:cs="仿宋_GB2312" w:eastAsia="仿宋_GB2312"/>
                <w:color w:val="0000FF"/>
              </w:rPr>
              <w:t>合同有效期为合同签订后一年。合同签订后一年内完成职工体检。</w:t>
            </w:r>
          </w:p>
          <w:p>
            <w:pPr>
              <w:pStyle w:val="null3"/>
            </w:pPr>
            <w:r>
              <w:rPr>
                <w:rFonts w:ascii="仿宋_GB2312" w:hAnsi="仿宋_GB2312" w:cs="仿宋_GB2312" w:eastAsia="仿宋_GB2312"/>
                <w:color w:val="0000FF"/>
              </w:rPr>
              <w:t>（二）款项结算</w:t>
            </w:r>
          </w:p>
          <w:p>
            <w:pPr>
              <w:pStyle w:val="null3"/>
            </w:pPr>
            <w:r>
              <w:rPr>
                <w:rFonts w:ascii="仿宋_GB2312" w:hAnsi="仿宋_GB2312" w:cs="仿宋_GB2312" w:eastAsia="仿宋_GB2312"/>
                <w:color w:val="0000FF"/>
              </w:rPr>
              <w:t>双方签订合同后，乙方在规定时间内完成所有职工的体检过程，并按要求提交体检汇总分析报告等资料后，开具全额发票及体检人数和详细名单。甲方按照实际体检人数及发票金额付款。</w:t>
            </w:r>
          </w:p>
          <w:p>
            <w:pPr>
              <w:pStyle w:val="null3"/>
            </w:pPr>
            <w:r>
              <w:rPr>
                <w:rFonts w:ascii="仿宋_GB2312" w:hAnsi="仿宋_GB2312" w:cs="仿宋_GB2312" w:eastAsia="仿宋_GB2312"/>
                <w:color w:val="0000FF"/>
              </w:rPr>
              <w:t>六、其他</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一</w:t>
            </w:r>
            <w:r>
              <w:rPr>
                <w:rFonts w:ascii="仿宋_GB2312" w:hAnsi="仿宋_GB2312" w:cs="仿宋_GB2312" w:eastAsia="仿宋_GB2312"/>
                <w:color w:val="0000FF"/>
              </w:rPr>
              <w:t>）进度要求</w:t>
            </w:r>
          </w:p>
          <w:p>
            <w:pPr>
              <w:pStyle w:val="null3"/>
            </w:pPr>
            <w:r>
              <w:rPr>
                <w:rFonts w:ascii="仿宋_GB2312" w:hAnsi="仿宋_GB2312" w:cs="仿宋_GB2312" w:eastAsia="仿宋_GB2312"/>
                <w:color w:val="0000FF"/>
              </w:rPr>
              <w:t>1.成交单位应在合同签订后接招标人通知之日起7个日历日内安排人员（项目组成人员简历表所列）与使用单位进行安排、部署、计划。</w:t>
            </w:r>
          </w:p>
          <w:p>
            <w:pPr>
              <w:pStyle w:val="null3"/>
            </w:pPr>
            <w:r>
              <w:rPr>
                <w:rFonts w:ascii="仿宋_GB2312" w:hAnsi="仿宋_GB2312" w:cs="仿宋_GB2312" w:eastAsia="仿宋_GB2312"/>
                <w:color w:val="0000FF"/>
              </w:rPr>
              <w:t>2.若未能在按照项目实际工作时间完成规定的义务，由此对招标人造成的延误和一切损失，由成交单位承担和赔偿。</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二</w:t>
            </w:r>
            <w:r>
              <w:rPr>
                <w:rFonts w:ascii="仿宋_GB2312" w:hAnsi="仿宋_GB2312" w:cs="仿宋_GB2312" w:eastAsia="仿宋_GB2312"/>
                <w:color w:val="0000FF"/>
              </w:rPr>
              <w:t>）成果交付要求</w:t>
            </w:r>
          </w:p>
          <w:p>
            <w:pPr>
              <w:pStyle w:val="null3"/>
            </w:pPr>
            <w:r>
              <w:rPr>
                <w:rFonts w:ascii="仿宋_GB2312" w:hAnsi="仿宋_GB2312" w:cs="仿宋_GB2312" w:eastAsia="仿宋_GB2312"/>
                <w:color w:val="0000FF"/>
              </w:rPr>
              <w:t>成交单位提供本次西安铁路职业技术学院体检分析报告纸质版和电子版。纸质版要求</w:t>
            </w:r>
            <w:r>
              <w:rPr>
                <w:rFonts w:ascii="仿宋_GB2312" w:hAnsi="仿宋_GB2312" w:cs="仿宋_GB2312" w:eastAsia="仿宋_GB2312"/>
                <w:color w:val="0000FF"/>
              </w:rPr>
              <w:t>A4纸胶印装订，封面标注单位名称及体检日期，按部门/人员分类整理。电子版报告要求PDF格式（加密传输），包含个人体检结果、异常指标解读、健康建议等。</w:t>
            </w:r>
          </w:p>
          <w:p>
            <w:pPr>
              <w:pStyle w:val="null3"/>
            </w:pPr>
            <w:r>
              <w:rPr>
                <w:rFonts w:ascii="仿宋_GB2312" w:hAnsi="仿宋_GB2312" w:cs="仿宋_GB2312" w:eastAsia="仿宋_GB2312"/>
                <w:color w:val="0000FF"/>
              </w:rPr>
              <w:t>体检结束后</w:t>
            </w:r>
            <w:r>
              <w:rPr>
                <w:rFonts w:ascii="仿宋_GB2312" w:hAnsi="仿宋_GB2312" w:cs="仿宋_GB2312" w:eastAsia="仿宋_GB2312"/>
                <w:color w:val="0000FF"/>
              </w:rPr>
              <w:t>15个工作日内完成全部报告交付。体检过程中发现重大阳性结果（如肿瘤标志物异常）需48小时内电话通知本人。</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三</w:t>
            </w:r>
            <w:r>
              <w:rPr>
                <w:rFonts w:ascii="仿宋_GB2312" w:hAnsi="仿宋_GB2312" w:cs="仿宋_GB2312" w:eastAsia="仿宋_GB2312"/>
                <w:color w:val="0000FF"/>
              </w:rPr>
              <w:t>）质量验收标准或规范</w:t>
            </w:r>
          </w:p>
          <w:p>
            <w:pPr>
              <w:pStyle w:val="null3"/>
            </w:pPr>
            <w:r>
              <w:rPr>
                <w:rFonts w:ascii="仿宋_GB2312" w:hAnsi="仿宋_GB2312" w:cs="仿宋_GB2312" w:eastAsia="仿宋_GB2312"/>
                <w:color w:val="0000FF"/>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color w:val="0000FF"/>
              </w:rPr>
              <w:t>1.依据《健康体检管理暂行规定》及合同约定内容验收；抽查10%的体检报告，核查完整性、准确性及隐私保护情况。</w:t>
            </w:r>
          </w:p>
          <w:p>
            <w:pPr>
              <w:pStyle w:val="null3"/>
            </w:pPr>
            <w:r>
              <w:rPr>
                <w:rFonts w:ascii="仿宋_GB2312" w:hAnsi="仿宋_GB2312" w:cs="仿宋_GB2312" w:eastAsia="仿宋_GB2312"/>
                <w:color w:val="0000FF"/>
              </w:rPr>
              <w:t>2.甲方对乙方体检工作进行满意度调查，服务质量综合评价等。（考核按百分制，考核满意率达到85%以上为服务达标，低于85%，为服务不达标；若当年体检服务不达标，甲方有权终止合同，若出现重大问题，甲方将依法追责，乙方予以相应赔偿。</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四</w:t>
            </w:r>
            <w:r>
              <w:rPr>
                <w:rFonts w:ascii="仿宋_GB2312" w:hAnsi="仿宋_GB2312" w:cs="仿宋_GB2312" w:eastAsia="仿宋_GB2312"/>
                <w:color w:val="0000FF"/>
              </w:rPr>
              <w:t>）违约责任</w:t>
            </w:r>
          </w:p>
          <w:p>
            <w:pPr>
              <w:pStyle w:val="null3"/>
            </w:pPr>
            <w:r>
              <w:rPr>
                <w:rFonts w:ascii="仿宋_GB2312" w:hAnsi="仿宋_GB2312" w:cs="仿宋_GB2312" w:eastAsia="仿宋_GB2312"/>
                <w:color w:val="0000FF"/>
              </w:rPr>
              <w:t>1.按《中华人民共和国民法典》中的相关条款执行。</w:t>
            </w:r>
          </w:p>
          <w:p>
            <w:pPr>
              <w:pStyle w:val="null3"/>
            </w:pPr>
            <w:r>
              <w:rPr>
                <w:rFonts w:ascii="仿宋_GB2312" w:hAnsi="仿宋_GB2312" w:cs="仿宋_GB2312" w:eastAsia="仿宋_GB2312"/>
                <w:sz w:val="21"/>
                <w:color w:val="0000FF"/>
              </w:rPr>
              <w:t>2.未按合同要求提供服务或服务质量不能满足技术要求，招标人有权终止合同，并对供方违约行为进行追究，同时按《中华人民共和国招投标法》的有关规定进行处罚。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西安铁路职业技术学院指定地点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以现行的国家标准或国家行政部门颁布的法律法规、规章制度等，是项目验收的另一个重要依据。没有国家标准的，可以参考行业标准。 1.依据《健康体检管理暂行规定》及合同约定内容验收；抽查10%的体检报告，核查完整性、准确性及隐私保护情况。 2.甲方对乙方体检工作进行满意度调查，服务质量综合评价等。（考核按百分制，考核满意率达到85%以上为服务达标，低于85%，为服务不达标；若当年体检服务不达标，甲方有权终止合同，若出现重大问题，甲方将依法追责，乙方予以相应赔偿。</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乙方在规定时间内完成所有职工的体检过程，并按要求提交体检汇总分析报告等资料后，开具全额发票及体检人数和详细名单。甲方按照实际体检人数及发票金额付款，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1.向西安仲裁委员会提请仲裁 2.按《中华人民共和国民法典》中的相关条款执行。 3.未按合同要求提供服务或服务质量不能满足技术要求，招标人有权终止合同，并对供方违约行为进行追究，同时按《中华人民共和国招投标法》的有关规定进行处罚。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（1）供应商应自响应文件递交截止时间起至评标结束保持在线状态、如因自身原因导致未及时在系统中响应相关内容，供应商自行承担责任。 （2）成交人在领取成交通知书前将纸质版响应文件正本1份、副本1份、电子版2份（U盘）打印后提交至采购代理公司处，成交人应保持响应文件纸质版内容与线上提交的响应文件保持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对符合《政府采购促进中小企业发展管理办法》规定的小微企业（监狱企业视同小型、微型企业）的报价给予10%的扣除，用扣除后的价格参加评审。</w:t>
            </w:r>
          </w:p>
        </w:tc>
        <w:tc>
          <w:tcPr>
            <w:tcW w:type="dxa" w:w="1661"/>
          </w:tcPr>
          <w:p>
            <w:pPr>
              <w:pStyle w:val="null3"/>
            </w:pPr>
            <w:r>
              <w:rPr>
                <w:rFonts w:ascii="仿宋_GB2312" w:hAnsi="仿宋_GB2312" w:cs="仿宋_GB2312" w:eastAsia="仿宋_GB2312"/>
              </w:rPr>
              <w:t>分项报价表.docx 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供应商为合法注册的法人、其他组织或自然人，具有独立承担民事责任的能力，提供统一社会信用代码的营业执照（或事业法人证）等证明文件，供应商为自然人的提供身份证。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提供声明文件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供应商具有依法缴纳税收的良好记录</w:t>
            </w:r>
          </w:p>
        </w:tc>
        <w:tc>
          <w:tcPr>
            <w:tcW w:type="dxa" w:w="3322"/>
          </w:tcPr>
          <w:p>
            <w:pPr>
              <w:pStyle w:val="null3"/>
            </w:pPr>
            <w:r>
              <w:rPr>
                <w:rFonts w:ascii="仿宋_GB2312" w:hAnsi="仿宋_GB2312" w:cs="仿宋_GB2312" w:eastAsia="仿宋_GB2312"/>
              </w:rPr>
              <w:t>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供应商具有依法缴纳社会保障资金的良好记录</w:t>
            </w:r>
          </w:p>
        </w:tc>
        <w:tc>
          <w:tcPr>
            <w:tcW w:type="dxa" w:w="3322"/>
          </w:tcPr>
          <w:p>
            <w:pPr>
              <w:pStyle w:val="null3"/>
            </w:pPr>
            <w:r>
              <w:rPr>
                <w:rFonts w:ascii="仿宋_GB2312" w:hAnsi="仿宋_GB2312" w:cs="仿宋_GB2312" w:eastAsia="仿宋_GB2312"/>
              </w:rPr>
              <w:t>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供应商应授权合法的人员参加投标全过程，其中法定代表人直接参加投标的，须出具身份证，并与营业执照上信息一致。法定代表人授权代表参加采购活动的，须出具法定代表人授权书及授权代表身份证。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供应商未被列入信用中国失信被执行人、重大税收违法案件当事人名单及中国政府采购网政府采购严重违法失信行为记录名单。</w:t>
            </w:r>
          </w:p>
        </w:tc>
        <w:tc>
          <w:tcPr>
            <w:tcW w:type="dxa" w:w="3322"/>
          </w:tcPr>
          <w:p>
            <w:pPr>
              <w:pStyle w:val="null3"/>
            </w:pPr>
            <w:r>
              <w:rPr>
                <w:rFonts w:ascii="仿宋_GB2312" w:hAnsi="仿宋_GB2312" w:cs="仿宋_GB2312" w:eastAsia="仿宋_GB2312"/>
              </w:rPr>
              <w:t>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供应商须具备《医疗机构执业许可证》（诊疗范围含健康体检服务内容）及《放射诊疗许可证》。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本项目不接受联合体磋商（响应主体为单一供应商，无需提供证明材料）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报价表 商务及技术偏离表.docx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90个日历天</w:t>
            </w:r>
          </w:p>
        </w:tc>
        <w:tc>
          <w:tcPr>
            <w:tcW w:type="dxa" w:w="1661"/>
          </w:tcPr>
          <w:p>
            <w:pPr>
              <w:pStyle w:val="null3"/>
            </w:pPr>
            <w:r>
              <w:rPr>
                <w:rFonts w:ascii="仿宋_GB2312" w:hAnsi="仿宋_GB2312" w:cs="仿宋_GB2312" w:eastAsia="仿宋_GB2312"/>
              </w:rPr>
              <w:t>商务及技术偏离表.docx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2023年1月1日起至本项目响应文件递交截止时间止，承接过类似业绩（同类项目指：团体体检服务，个人体检业务不予计分），每提供一个得2分，最高得10分。未提供不得分。 注： ①类似业绩以合同为准； ②时间以合同签订日期为准。 ③合同需提供关键页（必须含封面、内容、签订时间、盖章签字页等信息）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体检服务方案（定制化流程与服务承诺）</w:t>
            </w:r>
          </w:p>
        </w:tc>
        <w:tc>
          <w:tcPr>
            <w:tcW w:type="dxa" w:w="2492"/>
          </w:tcPr>
          <w:p>
            <w:pPr>
              <w:pStyle w:val="null3"/>
            </w:pPr>
            <w:r>
              <w:rPr>
                <w:rFonts w:ascii="仿宋_GB2312" w:hAnsi="仿宋_GB2312" w:cs="仿宋_GB2312" w:eastAsia="仿宋_GB2312"/>
              </w:rPr>
              <w:t>定制化流程与服务承诺（4分） ①承诺提供分年龄段定制化体检流程的，得1分，有实质性内容加1分； ③承诺对空腹项目优先安排、为高龄或特殊需求者提供陪检服务的，得1分，有实质性内容加1分；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体检服务方案（专场及快速通道安排承诺）</w:t>
            </w:r>
          </w:p>
        </w:tc>
        <w:tc>
          <w:tcPr>
            <w:tcW w:type="dxa" w:w="2492"/>
          </w:tcPr>
          <w:p>
            <w:pPr>
              <w:pStyle w:val="null3"/>
            </w:pPr>
            <w:r>
              <w:rPr>
                <w:rFonts w:ascii="仿宋_GB2312" w:hAnsi="仿宋_GB2312" w:cs="仿宋_GB2312" w:eastAsia="仿宋_GB2312"/>
              </w:rPr>
              <w:t>专场及快速通道安排承诺（4分） ①针对330人体检规模，承诺提供专场服务或专属快速通道的，得1分，有实质性内容加1分； ②承诺分时段、分批次的详细排期计划，将参检职工合理分流，避免长时间排队等候的，得1分，有实质性内容加1分。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体检服务方案（质量保障与操作规程）</w:t>
            </w:r>
          </w:p>
        </w:tc>
        <w:tc>
          <w:tcPr>
            <w:tcW w:type="dxa" w:w="2492"/>
          </w:tcPr>
          <w:p>
            <w:pPr>
              <w:pStyle w:val="null3"/>
            </w:pPr>
            <w:r>
              <w:rPr>
                <w:rFonts w:ascii="仿宋_GB2312" w:hAnsi="仿宋_GB2312" w:cs="仿宋_GB2312" w:eastAsia="仿宋_GB2312"/>
              </w:rPr>
              <w:t>质量保障与操作规程（3分） ①承诺建立覆盖检前、检中、检后各阶段的体检质量保障制度的，得1分； ②承诺各检查科室有标准操作规程相关文件的，得1分； ③承诺有质控检查记录制度、双人核对及复核机制的，加1分。 满分3分。 注：未承诺不得分。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体检服务方案（应急处置预案）</w:t>
            </w:r>
          </w:p>
        </w:tc>
        <w:tc>
          <w:tcPr>
            <w:tcW w:type="dxa" w:w="2492"/>
          </w:tcPr>
          <w:p>
            <w:pPr>
              <w:pStyle w:val="null3"/>
            </w:pPr>
            <w:r>
              <w:rPr>
                <w:rFonts w:ascii="仿宋_GB2312" w:hAnsi="仿宋_GB2312" w:cs="仿宋_GB2312" w:eastAsia="仿宋_GB2312"/>
              </w:rPr>
              <w:t>应急处置预案（8） 提供详细的应急处置预案，预案至少需覆盖以下场景，每覆盖一项且内容具体可行的得1分，本项最高8分： ①受检者突发晕针、晕血； ②受检者出现低血糖反应； ③体检中突发心脑血管等急症； ④主要检查设备临时故障； ⑤信息系统瘫痪或数据异常； ⑥体检信息泄露或隐私安全事件； ⑦火灾、停电等突发公共安全事件； ⑧其他（如疫情等公共卫生相关突发情况）。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检后服务方案（报告交付时效与规范）</w:t>
            </w:r>
          </w:p>
        </w:tc>
        <w:tc>
          <w:tcPr>
            <w:tcW w:type="dxa" w:w="2492"/>
          </w:tcPr>
          <w:p>
            <w:pPr>
              <w:pStyle w:val="null3"/>
            </w:pPr>
            <w:r>
              <w:rPr>
                <w:rFonts w:ascii="仿宋_GB2312" w:hAnsi="仿宋_GB2312" w:cs="仿宋_GB2312" w:eastAsia="仿宋_GB2312"/>
              </w:rPr>
              <w:t>报告交付时效与规范（4分） ①承诺体检结束后15个工作日内完成全部报告交付的，得1分； ②承诺以周为单位将当前阶段纸质版体检报告送达采购人指定地点，并附本周完成人员清单的，得2分； ③承诺纸质报告送达时同步提供交付签收表及未检人员提醒清单的，加1分。 注：未承诺不得分。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检后服务方案（信息化查询与数据管理）</w:t>
            </w:r>
          </w:p>
        </w:tc>
        <w:tc>
          <w:tcPr>
            <w:tcW w:type="dxa" w:w="2492"/>
          </w:tcPr>
          <w:p>
            <w:pPr>
              <w:pStyle w:val="null3"/>
            </w:pPr>
            <w:r>
              <w:rPr>
                <w:rFonts w:ascii="仿宋_GB2312" w:hAnsi="仿宋_GB2312" w:cs="仿宋_GB2312" w:eastAsia="仿宋_GB2312"/>
              </w:rPr>
              <w:t>信息化查询与数据管理（3分） ①支持体检结果线上查询（提供公众号、APP或网站等）的，得1分； ②线上查询功能具备历史体检数据对比、异常指标标注及解读的，得1分； ③线上平台可提供个人健康风险评估报告或健康趋势分析的，加1分。 满分3分。 注：无线上查询功能的，本项不得分。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检后服务方案（重点人群健康管理）</w:t>
            </w:r>
          </w:p>
        </w:tc>
        <w:tc>
          <w:tcPr>
            <w:tcW w:type="dxa" w:w="2492"/>
          </w:tcPr>
          <w:p>
            <w:pPr>
              <w:pStyle w:val="null3"/>
            </w:pPr>
            <w:r>
              <w:rPr>
                <w:rFonts w:ascii="仿宋_GB2312" w:hAnsi="仿宋_GB2312" w:cs="仿宋_GB2312" w:eastAsia="仿宋_GB2312"/>
              </w:rPr>
              <w:t>重点人群健康管理（4分） ①承诺对体检异常结果的重点人群开展健康风险评估，并出具专项评估报告的，得1分，有实质性内容加1分； ②承诺提供连续性监测及有效干预方案，包括复查提醒、生活方式指导、专科就诊建议等，得1分，有实质性内容加1分；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检后服务方案（健康跟踪服务）</w:t>
            </w:r>
          </w:p>
        </w:tc>
        <w:tc>
          <w:tcPr>
            <w:tcW w:type="dxa" w:w="2492"/>
          </w:tcPr>
          <w:p>
            <w:pPr>
              <w:pStyle w:val="null3"/>
            </w:pPr>
            <w:r>
              <w:rPr>
                <w:rFonts w:ascii="仿宋_GB2312" w:hAnsi="仿宋_GB2312" w:cs="仿宋_GB2312" w:eastAsia="仿宋_GB2312"/>
              </w:rPr>
              <w:t>健康跟踪服务（3分） ①承诺为本项目采购人职工在体检结果出现异常时，提供免费复查服务，且复查范围涵盖异常指标对应的检查项目（不额外收取任何费用）的，得1分，有实质性内容加1分； ②指定专人负责复查预约及对接工作，提供联系方式并承诺在工作时间内即时响应的，加1分。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体检报告质量及成果交付（报告完整性）</w:t>
            </w:r>
          </w:p>
        </w:tc>
        <w:tc>
          <w:tcPr>
            <w:tcW w:type="dxa" w:w="2492"/>
          </w:tcPr>
          <w:p>
            <w:pPr>
              <w:pStyle w:val="null3"/>
            </w:pPr>
            <w:r>
              <w:rPr>
                <w:rFonts w:ascii="仿宋_GB2312" w:hAnsi="仿宋_GB2312" w:cs="仿宋_GB2312" w:eastAsia="仿宋_GB2312"/>
              </w:rPr>
              <w:t>报告完整性（2分） ①承诺体检报告包含个人体检结果、异常指标解读、健康建议，且额外提供历年数据对比分析或专科就诊建议的，得2分； ②承诺完全包含个人体检结果、异常指标解读、健康建议的，得1.5分； ③仅承诺包含体检结果和简单建议的，得1分； ④未作相关承诺的，得0分。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体检报告质量及成果交付（成果交付规范）</w:t>
            </w:r>
          </w:p>
        </w:tc>
        <w:tc>
          <w:tcPr>
            <w:tcW w:type="dxa" w:w="2492"/>
          </w:tcPr>
          <w:p>
            <w:pPr>
              <w:pStyle w:val="null3"/>
            </w:pPr>
            <w:r>
              <w:rPr>
                <w:rFonts w:ascii="仿宋_GB2312" w:hAnsi="仿宋_GB2312" w:cs="仿宋_GB2312" w:eastAsia="仿宋_GB2312"/>
              </w:rPr>
              <w:t>成果交付规范（2分） ①承诺纸质版A4纸胶印装订、封面标注单位名称及体检日期、按部门/人员分类整理，且能提供交付样本样式或具体排版说明的，得2分； ②完全承诺上述装订、封面、分类要求，但未提供样本样式的，得1.5分； ③仅承诺部分规范要求（如仅装订但不按部门分类），得1分； ④未作相关承诺的，得0分。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体检报告质量及成果交付（电子版交付）</w:t>
            </w:r>
          </w:p>
        </w:tc>
        <w:tc>
          <w:tcPr>
            <w:tcW w:type="dxa" w:w="2492"/>
          </w:tcPr>
          <w:p>
            <w:pPr>
              <w:pStyle w:val="null3"/>
            </w:pPr>
            <w:r>
              <w:rPr>
                <w:rFonts w:ascii="仿宋_GB2312" w:hAnsi="仿宋_GB2312" w:cs="仿宋_GB2312" w:eastAsia="仿宋_GB2312"/>
              </w:rPr>
              <w:t>电子版交付（2分） ①承诺电子版报告为PDF格式且加密传输，同时支持安全下载或脱敏后的数据导出，得2分； ②仅承诺PDF格式加密传输的，得1.5分； ③承诺提供电子版但格式非PDF或未明确加密的，得1分； ④未作相关承诺的，得0分。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体检报告质量及成果交付（重大阳性反馈）</w:t>
            </w:r>
          </w:p>
        </w:tc>
        <w:tc>
          <w:tcPr>
            <w:tcW w:type="dxa" w:w="2492"/>
          </w:tcPr>
          <w:p>
            <w:pPr>
              <w:pStyle w:val="null3"/>
            </w:pPr>
            <w:r>
              <w:rPr>
                <w:rFonts w:ascii="仿宋_GB2312" w:hAnsi="仿宋_GB2312" w:cs="仿宋_GB2312" w:eastAsia="仿宋_GB2312"/>
              </w:rPr>
              <w:t>重大阳性反馈（2分） ①承诺发现重大阳性结果（如肿瘤标志物异常）在48小时内电话通知本人，并建立重大阳性告知与追踪记录制度，有书面记录及回访流程，得2分； ②仅承诺48小时内电话通知本人，得1.5分； ③承诺通知但时限超过48小时，得1分； ④未作相关承诺的，得0分。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体检人员配置</w:t>
            </w:r>
          </w:p>
        </w:tc>
        <w:tc>
          <w:tcPr>
            <w:tcW w:type="dxa" w:w="2492"/>
          </w:tcPr>
          <w:p>
            <w:pPr>
              <w:pStyle w:val="null3"/>
            </w:pPr>
            <w:r>
              <w:rPr>
                <w:rFonts w:ascii="仿宋_GB2312" w:hAnsi="仿宋_GB2312" w:cs="仿宋_GB2312" w:eastAsia="仿宋_GB2312"/>
              </w:rPr>
              <w:t>①主检医师：主检医师具备副主任医师及以上职称的，得4分；具备主治医师职称的，得2分；其他不得分。需提供职称证书复印件及在供应商单位任职的有效证明。 ②各科室医师：各科室医师持有执业医师资格证书及执业证书，每提供1名符合要求的医师得0.5分，最高3分。需提供执业医师资格证书及执业证书复印件。 ③护理人员配置：护士持有有效执业证书且具备2年以上体检岗位经验，每提供1名符合要求的护士得0.5分，最高3分。需提供护士执业证书复印件及体检岗位经验证明材料。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体检设备配置</w:t>
            </w:r>
          </w:p>
        </w:tc>
        <w:tc>
          <w:tcPr>
            <w:tcW w:type="dxa" w:w="2492"/>
          </w:tcPr>
          <w:p>
            <w:pPr>
              <w:pStyle w:val="null3"/>
            </w:pPr>
            <w:r>
              <w:rPr>
                <w:rFonts w:ascii="仿宋_GB2312" w:hAnsi="仿宋_GB2312" w:cs="仿宋_GB2312" w:eastAsia="仿宋_GB2312"/>
              </w:rPr>
              <w:t>①CT影像设备：能提供CT影像设备的得3分。须提供设备购置发票或租赁合同。 ②彩色超声诊断设备：能提供彩色超声诊断设备的得2分。须提供设备购置发票或租赁合同。 ③全自动生化分析仪：能提供全自动生化分析仪的得2分。须提供设备购置发票或租赁合同。 ④其他核心设备能提供经颅多普勒检测设备得0.5分，超声骨密度检测设备得0.5分，碳14幽门螺杆菌检测设备得0.5分，裂隙灯得0.5分，眼底检查设备得0.5分，DR检查设备得0.5分。须提供设备购置发票或租赁合同。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体检流程规范及隐私保护</w:t>
            </w:r>
          </w:p>
        </w:tc>
        <w:tc>
          <w:tcPr>
            <w:tcW w:type="dxa" w:w="2492"/>
          </w:tcPr>
          <w:p>
            <w:pPr>
              <w:pStyle w:val="null3"/>
            </w:pPr>
            <w:r>
              <w:rPr>
                <w:rFonts w:ascii="仿宋_GB2312" w:hAnsi="仿宋_GB2312" w:cs="仿宋_GB2312" w:eastAsia="仿宋_GB2312"/>
              </w:rPr>
              <w:t>①标准化体检流程：具有标准化体检流程操作规范的，得1分；严格执行《健康体检管理暂行规定》《健康体检中心基本标准（试行）》《健康体检中心管理规范（试行）》并有明确制度文件的，加1分；有体检质量控制制度及措施的，加1分。满分3分。 ②承诺体检报告密封发放的，得1分；承诺电子数据加密存储的，得1分；有详细的受检者隐私保护制度及措施的，得1分。满分3分。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服务承诺及便捷服务（套餐外优惠承诺）</w:t>
            </w:r>
          </w:p>
        </w:tc>
        <w:tc>
          <w:tcPr>
            <w:tcW w:type="dxa" w:w="2492"/>
          </w:tcPr>
          <w:p>
            <w:pPr>
              <w:pStyle w:val="null3"/>
            </w:pPr>
            <w:r>
              <w:rPr>
                <w:rFonts w:ascii="仿宋_GB2312" w:hAnsi="仿宋_GB2312" w:cs="仿宋_GB2312" w:eastAsia="仿宋_GB2312"/>
              </w:rPr>
              <w:t>套餐外优惠承诺（3分） ①承诺职工要求增加套餐外项目时，给予最低优惠折扣，且明确具体折扣标准，并有书面优惠政策的，得3分； ②承诺给予最低优惠折扣，但未明确具体折扣标准或书面证明的，得2分； ③承诺给予折扣但未明确为最低折扣的，得1分； ④未作相关承诺的，得0分。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服务承诺及便捷服务（家属优惠承诺）</w:t>
            </w:r>
          </w:p>
        </w:tc>
        <w:tc>
          <w:tcPr>
            <w:tcW w:type="dxa" w:w="2492"/>
          </w:tcPr>
          <w:p>
            <w:pPr>
              <w:pStyle w:val="null3"/>
            </w:pPr>
            <w:r>
              <w:rPr>
                <w:rFonts w:ascii="仿宋_GB2312" w:hAnsi="仿宋_GB2312" w:cs="仿宋_GB2312" w:eastAsia="仿宋_GB2312"/>
              </w:rPr>
              <w:t>家属优惠承诺（2分） ①承诺职工家属自愿参加体检，享受与职工完全相同的套餐价格折扣，且适用所有体检项目的，得2分； ②承诺家属享受折扣，但未明确与职工套餐价格完全一致，或仅部分项目享受折扣的，得1分； ③未作相关承诺的，得0分。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服务承诺及便捷服务（报告解读服务）</w:t>
            </w:r>
          </w:p>
        </w:tc>
        <w:tc>
          <w:tcPr>
            <w:tcW w:type="dxa" w:w="2492"/>
          </w:tcPr>
          <w:p>
            <w:pPr>
              <w:pStyle w:val="null3"/>
            </w:pPr>
            <w:r>
              <w:rPr>
                <w:rFonts w:ascii="仿宋_GB2312" w:hAnsi="仿宋_GB2312" w:cs="仿宋_GB2312" w:eastAsia="仿宋_GB2312"/>
              </w:rPr>
              <w:t>报告解读服务（3分） ①承诺向每一位体检者进行专业解析，提出健康指导意见；且承诺分次按学院指定地点组织专家现场答疑，逐一深度解读体检报告，并明确现场答疑次数不少于2次的，得3分； ②承诺专业解析和现场答疑，但未明确次数或仅承诺一次集中解读的，得2分； ③仅承诺提供体检者专业解析，未承诺组织现场专家答疑的，得1分； ④未作相关承诺的，得0分。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服务承诺及便捷服务（合同条款响应）</w:t>
            </w:r>
          </w:p>
        </w:tc>
        <w:tc>
          <w:tcPr>
            <w:tcW w:type="dxa" w:w="2492"/>
          </w:tcPr>
          <w:p>
            <w:pPr>
              <w:pStyle w:val="null3"/>
            </w:pPr>
            <w:r>
              <w:rPr>
                <w:rFonts w:ascii="仿宋_GB2312" w:hAnsi="仿宋_GB2312" w:cs="仿宋_GB2312" w:eastAsia="仿宋_GB2312"/>
              </w:rPr>
              <w:t>合同条款响应（2分） ①同时承诺：不以实际参检人数多寡变更套餐价格或提出其他要求；不主动以任何形式向职工推荐、推销套餐外项目；同意在单人总价不变前提下配合甲方微调体检项目的，得2分； ②仅承诺其中任意两项的，得1分； ③仅承诺其中一项或未作承诺的，得0分。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①服务响应时效：承诺合同签订后接采购人通知之日起7个日历日内安排人员与采购人进行安排、部署、计划的，得1分；承诺时间超过7日的不得分。 ②体检场所条件：供应商体检场所设有独立体检中心的，得1分；体检场所交通便利、设施完善的，加1分。满分2分。须提供体检场所介绍及相关证明材料。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响应报价为评标基准价，其价格分为满分。其他供应商的价格分统一按照下列公式计算：响应报价得分=(评标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详见附件：外聘职工体检合同.docx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