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版本号：SXSJ-202602220260611001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2026年临潼法院安检辅助服务项目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SXSJ-2026022</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陕西昇杰项目管理有限公司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陕西昇杰项目管理有限公司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2026年临潼法院安检辅助服务项目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SXSJ-2026022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2026年临潼法院安检辅助服务项目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辅助西安市临潼区人民法院法警开展来访人员安全值守工作，负责案件当事人、执业律师、外来办事人员的出入安检、身份信息登记，统筹全院各服务点位门禁管控，维护审判及办公区域日常秩序。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采购包1（2026年临潼法院安检辅助服务项目）：属于专门面向中小企业采购。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pPr>
      <w:r>
        <w:rPr>
          <w:rFonts w:ascii="仿宋_GB2312" w:hAnsi="仿宋_GB2312" w:cs="仿宋_GB2312" w:eastAsia="仿宋_GB2312"/>
        </w:rPr>
        <w:t>10、企业资质：供应商应具有公安机关颁发的《保安服务许可证》；外省企业还须出具承诺书（承诺书形式不限），承诺自承接本项目之日起在规定时间内向项目所在地公安机关备案。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陕西昇杰项目管理有限公司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陕西省西安市高新区高新四路创业小区B座12层1203-B36号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18209213563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 理服务收费管理暂行办法》（计价格[2002]1980号）和（发改办价格[2003]857号）文收费 标准计取，2.单位名称：陕西昇杰项目管理有限公司 开户银行：中国建设银行股份有限公司西安徐家湾支行银行账户：61050175580000000622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陕西昇杰项目管理有限公司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西安市临潼区人民法院[161]</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陕西昇杰项目管理有限公司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陕西昇杰项目管理有限公司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联系人：付工</w:t>
      </w:r>
    </w:p>
    <w:p>
      <w:pPr>
        <w:pStyle w:val="null3"/>
      </w:pPr>
      <w:r>
        <w:rPr>
          <w:rFonts w:ascii="仿宋_GB2312" w:hAnsi="仿宋_GB2312" w:cs="仿宋_GB2312" w:eastAsia="仿宋_GB2312"/>
        </w:rPr>
        <w:t>联系电话： 18209213563</w:t>
      </w:r>
    </w:p>
    <w:p>
      <w:pPr>
        <w:pStyle w:val="null3"/>
      </w:pPr>
      <w:r>
        <w:rPr>
          <w:rFonts w:ascii="仿宋_GB2312" w:hAnsi="仿宋_GB2312" w:cs="仿宋_GB2312" w:eastAsia="仿宋_GB2312"/>
        </w:rPr>
        <w:t>地址：陕西省西安市高新区高新四路创业小区B座12层1203-B36号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辅助西安市临潼区人民法院法警开展来访人员安全值守工作，负责案件当事人、执业律师、外来办事人员的出入安检、身份信息登记，统筹全院各服务点位门禁管控，维护审判及办公区域日常秩序。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2026年临潼法院安检辅助服务项目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标的名称：2026年临潼法院安检辅助服务项目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一、核心工作内容</w:t>
            </w:r>
          </w:p>
          <w:p>
            <w:pPr>
              <w:pStyle w:val="null3"/>
            </w:pPr>
            <w:r>
              <w:rPr>
                <w:rFonts w:ascii="仿宋_GB2312" w:hAnsi="仿宋_GB2312" w:cs="仿宋_GB2312" w:eastAsia="仿宋_GB2312"/>
              </w:rPr>
              <w:t xml:space="preserve">1. </w:t>
            </w:r>
            <w:r>
              <w:rPr>
                <w:rFonts w:ascii="仿宋_GB2312" w:hAnsi="仿宋_GB2312" w:cs="仿宋_GB2312" w:eastAsia="仿宋_GB2312"/>
              </w:rPr>
              <w:t>人员进出安检值守：配合西安市临潼区人民法院在编法警，对案件当事人、执业律师、诉讼代理人、外来办事访客、施工人员等所有进出法院人员开展常态化安全检查，严格落实人身、随身物品查验流程，排查管制刀具、易燃易爆品、腐蚀性物品、违禁电子设备等危险物品，严防违禁品带入办公、审判区域。</w:t>
            </w:r>
          </w:p>
          <w:p>
            <w:pPr>
              <w:pStyle w:val="null3"/>
            </w:pPr>
            <w:r>
              <w:rPr>
                <w:rFonts w:ascii="仿宋_GB2312" w:hAnsi="仿宋_GB2312" w:cs="仿宋_GB2312" w:eastAsia="仿宋_GB2312"/>
              </w:rPr>
              <w:t xml:space="preserve">2. </w:t>
            </w:r>
            <w:r>
              <w:rPr>
                <w:rFonts w:ascii="仿宋_GB2312" w:hAnsi="仿宋_GB2312" w:cs="仿宋_GB2312" w:eastAsia="仿宋_GB2312"/>
              </w:rPr>
              <w:t>来访信息登记管理：规范完成来访人员身份核验、信息登记工作，核实来访事由、对接科室，承办法官信息，留存有效身份证件信息，按法院台账要求录入来访登记系统，做到一人一登、有据可查。</w:t>
            </w:r>
          </w:p>
          <w:p>
            <w:pPr>
              <w:pStyle w:val="null3"/>
            </w:pPr>
            <w:r>
              <w:rPr>
                <w:rFonts w:ascii="仿宋_GB2312" w:hAnsi="仿宋_GB2312" w:cs="仿宋_GB2312" w:eastAsia="仿宋_GB2312"/>
              </w:rPr>
              <w:t xml:space="preserve">3. </w:t>
            </w:r>
            <w:r>
              <w:rPr>
                <w:rFonts w:ascii="仿宋_GB2312" w:hAnsi="仿宋_GB2312" w:cs="仿宋_GB2312" w:eastAsia="仿宋_GB2312"/>
              </w:rPr>
              <w:t>全域门禁统筹管控：负责法院诉讼服务中心、审判庭、办公主楼、信访接待区等全院各服务点位门禁值守与通行管控，区分工作人员、律师、当事人、临时访客通行权限，引导人员分流进出，杜绝无关人员擅自进入办案、办公私密区域。</w:t>
            </w:r>
          </w:p>
          <w:p>
            <w:pPr>
              <w:pStyle w:val="null3"/>
            </w:pPr>
            <w:r>
              <w:rPr>
                <w:rFonts w:ascii="仿宋_GB2312" w:hAnsi="仿宋_GB2312" w:cs="仿宋_GB2312" w:eastAsia="仿宋_GB2312"/>
              </w:rPr>
              <w:t xml:space="preserve">4. </w:t>
            </w:r>
            <w:r>
              <w:rPr>
                <w:rFonts w:ascii="仿宋_GB2312" w:hAnsi="仿宋_GB2312" w:cs="仿宋_GB2312" w:eastAsia="仿宋_GB2312"/>
              </w:rPr>
              <w:t>现场秩序维护处置：维护安检通道、门禁入口、等候区域排队秩序，引导来访人员有序安检、排队等候；及时劝阻喧哗、插队、无理纠缠等扰乱办公秩序行为，发现情绪激动、涉访过激人员第一时间上报带队法警，配合做好稳控疏导。</w:t>
            </w:r>
          </w:p>
          <w:p>
            <w:pPr>
              <w:pStyle w:val="null3"/>
            </w:pPr>
            <w:r>
              <w:rPr>
                <w:rFonts w:ascii="仿宋_GB2312" w:hAnsi="仿宋_GB2312" w:cs="仿宋_GB2312" w:eastAsia="仿宋_GB2312"/>
                <w:b/>
              </w:rPr>
              <w:t>二、协作与应急职责</w:t>
            </w:r>
          </w:p>
          <w:p>
            <w:pPr>
              <w:pStyle w:val="null3"/>
            </w:pPr>
            <w:r>
              <w:rPr>
                <w:rFonts w:ascii="仿宋_GB2312" w:hAnsi="仿宋_GB2312" w:cs="仿宋_GB2312" w:eastAsia="仿宋_GB2312"/>
              </w:rPr>
              <w:t xml:space="preserve">1. </w:t>
            </w:r>
            <w:r>
              <w:rPr>
                <w:rFonts w:ascii="仿宋_GB2312" w:hAnsi="仿宋_GB2312" w:cs="仿宋_GB2312" w:eastAsia="仿宋_GB2312"/>
              </w:rPr>
              <w:t>服从法警大队统一调度，完成轮岗值守、高峰期增派支援、重大庭审，专项安保任务配合等工作；</w:t>
            </w:r>
          </w:p>
          <w:p>
            <w:pPr>
              <w:pStyle w:val="null3"/>
            </w:pPr>
            <w:r>
              <w:rPr>
                <w:rFonts w:ascii="仿宋_GB2312" w:hAnsi="仿宋_GB2312" w:cs="仿宋_GB2312" w:eastAsia="仿宋_GB2312"/>
              </w:rPr>
              <w:t xml:space="preserve">2. </w:t>
            </w:r>
            <w:r>
              <w:rPr>
                <w:rFonts w:ascii="仿宋_GB2312" w:hAnsi="仿宋_GB2312" w:cs="仿宋_GB2312" w:eastAsia="仿宋_GB2312"/>
              </w:rPr>
              <w:t>安检中发现可疑人员、违禁物品、安全隐患，立即停止通行并移交在编法警处置，不擅自处理涉风险问题；</w:t>
            </w:r>
          </w:p>
          <w:p>
            <w:pPr>
              <w:pStyle w:val="null3"/>
            </w:pPr>
            <w:r>
              <w:rPr>
                <w:rFonts w:ascii="仿宋_GB2312" w:hAnsi="仿宋_GB2312" w:cs="仿宋_GB2312" w:eastAsia="仿宋_GB2312"/>
              </w:rPr>
              <w:t xml:space="preserve">3. </w:t>
            </w:r>
            <w:r>
              <w:rPr>
                <w:rFonts w:ascii="仿宋_GB2312" w:hAnsi="仿宋_GB2312" w:cs="仿宋_GB2312" w:eastAsia="仿宋_GB2312"/>
              </w:rPr>
              <w:t>熟练使用安检仪、金属探测仪、门禁系统、登记终端等设备，做好日常设备简单保养，故障及时上报报修；</w:t>
            </w:r>
          </w:p>
          <w:p>
            <w:pPr>
              <w:pStyle w:val="null3"/>
            </w:pPr>
            <w:r>
              <w:rPr>
                <w:rFonts w:ascii="仿宋_GB2312" w:hAnsi="仿宋_GB2312" w:cs="仿宋_GB2312" w:eastAsia="仿宋_GB2312"/>
              </w:rPr>
              <w:t xml:space="preserve">4. </w:t>
            </w:r>
            <w:r>
              <w:rPr>
                <w:rFonts w:ascii="仿宋_GB2312" w:hAnsi="仿宋_GB2312" w:cs="仿宋_GB2312" w:eastAsia="仿宋_GB2312"/>
              </w:rPr>
              <w:t>严守法院工作保密规定，不泄露案件信息、法官信息、来访人员隐私信息，不私自放行无手续人员进出；</w:t>
            </w:r>
          </w:p>
          <w:p>
            <w:pPr>
              <w:pStyle w:val="null3"/>
            </w:pPr>
            <w:r>
              <w:rPr>
                <w:rFonts w:ascii="仿宋_GB2312" w:hAnsi="仿宋_GB2312" w:cs="仿宋_GB2312" w:eastAsia="仿宋_GB2312"/>
              </w:rPr>
              <w:t xml:space="preserve">5. </w:t>
            </w:r>
            <w:r>
              <w:rPr>
                <w:rFonts w:ascii="仿宋_GB2312" w:hAnsi="仿宋_GB2312" w:cs="仿宋_GB2312" w:eastAsia="仿宋_GB2312"/>
              </w:rPr>
              <w:t>遇突发冲突、安全险情、群众突发疾病等紧急情况，第一时间上报并配合法警开展应急处置。</w:t>
            </w:r>
          </w:p>
          <w:p>
            <w:pPr>
              <w:pStyle w:val="null3"/>
            </w:pPr>
            <w:r>
              <w:rPr>
                <w:rFonts w:ascii="仿宋_GB2312" w:hAnsi="仿宋_GB2312" w:cs="仿宋_GB2312" w:eastAsia="仿宋_GB2312"/>
                <w:b/>
              </w:rPr>
              <w:t>三、岗位工作要求</w:t>
            </w:r>
          </w:p>
          <w:p>
            <w:pPr>
              <w:pStyle w:val="null3"/>
            </w:pPr>
            <w:r>
              <w:rPr>
                <w:rFonts w:ascii="仿宋_GB2312" w:hAnsi="仿宋_GB2312" w:cs="仿宋_GB2312" w:eastAsia="仿宋_GB2312"/>
              </w:rPr>
              <w:t>严格遵守法院警务规章制度、着装规范、文明服务准则，礼貌接待各类来访人员，兼顾安检严谨性与服务规范性，筑牢法院入口第一道安全防线，保障审判执行、日常办公环境安全有序。</w:t>
            </w:r>
          </w:p>
          <w:p>
            <w:pPr>
              <w:pStyle w:val="null3"/>
            </w:pPr>
            <w:r>
              <w:rPr>
                <w:rFonts w:ascii="仿宋_GB2312" w:hAnsi="仿宋_GB2312" w:cs="仿宋_GB2312" w:eastAsia="仿宋_GB2312"/>
                <w:b/>
              </w:rPr>
              <w:t>四、技术要求</w:t>
            </w:r>
          </w:p>
          <w:p>
            <w:pPr>
              <w:pStyle w:val="null3"/>
            </w:pPr>
            <w:r>
              <w:rPr>
                <w:rFonts w:ascii="仿宋_GB2312" w:hAnsi="仿宋_GB2312" w:cs="仿宋_GB2312" w:eastAsia="仿宋_GB2312"/>
              </w:rPr>
              <w:t>安检工作要按照周密组织、严密措施、分区管理、确保重点、安全有序的原则，安检工作必须严格规范，严格按照相关法律法规和安检程序对所有进出的当事人查验有效证件、登记、例行安全检查，确保不漏一人，无违禁物品进入工作区内，发现特殊情况及时上报，及时处理。</w:t>
            </w:r>
          </w:p>
          <w:p>
            <w:pPr>
              <w:pStyle w:val="null3"/>
            </w:pPr>
            <w:r>
              <w:rPr>
                <w:rFonts w:ascii="仿宋_GB2312" w:hAnsi="仿宋_GB2312" w:cs="仿宋_GB2312" w:eastAsia="仿宋_GB2312"/>
                <w:b/>
              </w:rPr>
              <w:t>五、服务要求</w:t>
            </w:r>
          </w:p>
          <w:p>
            <w:pPr>
              <w:pStyle w:val="null3"/>
            </w:pPr>
            <w:r>
              <w:rPr>
                <w:rFonts w:ascii="仿宋_GB2312" w:hAnsi="仿宋_GB2312" w:cs="仿宋_GB2312" w:eastAsia="仿宋_GB2312"/>
              </w:rPr>
              <w:t>配置安检人员不少于</w:t>
            </w:r>
            <w:r>
              <w:rPr>
                <w:rFonts w:ascii="仿宋_GB2312" w:hAnsi="仿宋_GB2312" w:cs="仿宋_GB2312" w:eastAsia="仿宋_GB2312"/>
              </w:rPr>
              <w:t>8</w:t>
            </w:r>
            <w:r>
              <w:rPr>
                <w:rFonts w:ascii="仿宋_GB2312" w:hAnsi="仿宋_GB2312" w:cs="仿宋_GB2312" w:eastAsia="仿宋_GB2312"/>
              </w:rPr>
              <w:t>名：由采购人分配具体岗位。</w:t>
            </w:r>
          </w:p>
          <w:p>
            <w:pPr>
              <w:pStyle w:val="null3"/>
            </w:pPr>
            <w:r>
              <w:rPr>
                <w:rFonts w:ascii="仿宋_GB2312" w:hAnsi="仿宋_GB2312" w:cs="仿宋_GB2312" w:eastAsia="仿宋_GB2312"/>
              </w:rPr>
              <w:t>岗位招录</w:t>
            </w:r>
            <w:r>
              <w:rPr>
                <w:rFonts w:ascii="仿宋_GB2312" w:hAnsi="仿宋_GB2312" w:cs="仿宋_GB2312" w:eastAsia="仿宋_GB2312"/>
              </w:rPr>
              <w:t>/</w:t>
            </w:r>
            <w:r>
              <w:rPr>
                <w:rFonts w:ascii="仿宋_GB2312" w:hAnsi="仿宋_GB2312" w:cs="仿宋_GB2312" w:eastAsia="仿宋_GB2312"/>
              </w:rPr>
              <w:t>上岗人员要求</w:t>
            </w:r>
          </w:p>
          <w:p>
            <w:pPr>
              <w:pStyle w:val="null3"/>
            </w:pPr>
            <w:r>
              <w:rPr>
                <w:rFonts w:ascii="仿宋_GB2312" w:hAnsi="仿宋_GB2312" w:cs="仿宋_GB2312" w:eastAsia="仿宋_GB2312"/>
              </w:rPr>
              <w:t xml:space="preserve">1. </w:t>
            </w:r>
            <w:r>
              <w:rPr>
                <w:rFonts w:ascii="仿宋_GB2312" w:hAnsi="仿宋_GB2312" w:cs="仿宋_GB2312" w:eastAsia="仿宋_GB2312"/>
              </w:rPr>
              <w:t>思想与职业素养：热爱安保安检岗位，恪守岗位职责，敬业尽责，能够严格服从管理调度、听从工作指令；身体健康无重大疾病，个人品行端正，无不良社会记录。</w:t>
            </w:r>
          </w:p>
          <w:p>
            <w:pPr>
              <w:pStyle w:val="null3"/>
            </w:pPr>
            <w:r>
              <w:rPr>
                <w:rFonts w:ascii="仿宋_GB2312" w:hAnsi="仿宋_GB2312" w:cs="仿宋_GB2312" w:eastAsia="仿宋_GB2312"/>
              </w:rPr>
              <w:t xml:space="preserve">2. </w:t>
            </w:r>
            <w:r>
              <w:rPr>
                <w:rFonts w:ascii="仿宋_GB2312" w:hAnsi="仿宋_GB2312" w:cs="仿宋_GB2312" w:eastAsia="仿宋_GB2312"/>
              </w:rPr>
              <w:t>年龄条件：年龄在</w:t>
            </w:r>
            <w:r>
              <w:rPr>
                <w:rFonts w:ascii="仿宋_GB2312" w:hAnsi="仿宋_GB2312" w:cs="仿宋_GB2312" w:eastAsia="仿宋_GB2312"/>
              </w:rPr>
              <w:t>18</w:t>
            </w:r>
            <w:r>
              <w:rPr>
                <w:rFonts w:ascii="仿宋_GB2312" w:hAnsi="仿宋_GB2312" w:cs="仿宋_GB2312" w:eastAsia="仿宋_GB2312"/>
              </w:rPr>
              <w:t>周岁至</w:t>
            </w:r>
            <w:r>
              <w:rPr>
                <w:rFonts w:ascii="仿宋_GB2312" w:hAnsi="仿宋_GB2312" w:cs="仿宋_GB2312" w:eastAsia="仿宋_GB2312"/>
              </w:rPr>
              <w:t>55</w:t>
            </w:r>
            <w:r>
              <w:rPr>
                <w:rFonts w:ascii="仿宋_GB2312" w:hAnsi="仿宋_GB2312" w:cs="仿宋_GB2312" w:eastAsia="仿宋_GB2312"/>
              </w:rPr>
              <w:t>周岁区间内。</w:t>
            </w:r>
          </w:p>
          <w:p>
            <w:pPr>
              <w:pStyle w:val="null3"/>
            </w:pPr>
            <w:r>
              <w:rPr>
                <w:rFonts w:ascii="仿宋_GB2312" w:hAnsi="仿宋_GB2312" w:cs="仿宋_GB2312" w:eastAsia="仿宋_GB2312"/>
              </w:rPr>
              <w:t xml:space="preserve">3. </w:t>
            </w:r>
            <w:r>
              <w:rPr>
                <w:rFonts w:ascii="仿宋_GB2312" w:hAnsi="仿宋_GB2312" w:cs="仿宋_GB2312" w:eastAsia="仿宋_GB2312"/>
              </w:rPr>
              <w:t>身形条件：男性身高不低于</w:t>
            </w:r>
            <w:r>
              <w:rPr>
                <w:rFonts w:ascii="仿宋_GB2312" w:hAnsi="仿宋_GB2312" w:cs="仿宋_GB2312" w:eastAsia="仿宋_GB2312"/>
              </w:rPr>
              <w:t>170cm</w:t>
            </w:r>
            <w:r>
              <w:rPr>
                <w:rFonts w:ascii="仿宋_GB2312" w:hAnsi="仿宋_GB2312" w:cs="仿宋_GB2312" w:eastAsia="仿宋_GB2312"/>
              </w:rPr>
              <w:t>，女性身高不低于</w:t>
            </w:r>
            <w:r>
              <w:rPr>
                <w:rFonts w:ascii="仿宋_GB2312" w:hAnsi="仿宋_GB2312" w:cs="仿宋_GB2312" w:eastAsia="仿宋_GB2312"/>
              </w:rPr>
              <w:t>160cm</w:t>
            </w:r>
            <w:r>
              <w:rPr>
                <w:rFonts w:ascii="仿宋_GB2312" w:hAnsi="仿宋_GB2312" w:cs="仿宋_GB2312" w:eastAsia="仿宋_GB2312"/>
              </w:rPr>
              <w:t>。</w:t>
            </w:r>
          </w:p>
          <w:p>
            <w:pPr>
              <w:pStyle w:val="null3"/>
            </w:pPr>
            <w:r>
              <w:rPr>
                <w:rFonts w:ascii="仿宋_GB2312" w:hAnsi="仿宋_GB2312" w:cs="仿宋_GB2312" w:eastAsia="仿宋_GB2312"/>
              </w:rPr>
              <w:t xml:space="preserve">4. </w:t>
            </w:r>
            <w:r>
              <w:rPr>
                <w:rFonts w:ascii="仿宋_GB2312" w:hAnsi="仿宋_GB2312" w:cs="仿宋_GB2312" w:eastAsia="仿宋_GB2312"/>
              </w:rPr>
              <w:t>执勤规范要求：在岗执勤须身着统一制式服装，按规定佩戴专属安检标识，随身携带手持金属探测仪，熟练掌握设备实操方法与检查流程。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预付款，自合同签订后，达到付款条件起15个工作日内，支付合同总金额的55.0%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进度款，合同执行五个月后甲方启动第二笔付款手续，达到付款条件起15个工作日内，支付合同总金额的45.0%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3.线下递交响应文件地点：陕西省西安市高新区高新四路创业小区B座12层1203-B36号。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供应商应具有公安机关颁发的《保安服务许可证》；外省企业还须出具承诺书（承诺书形式不限），承诺自承接本项目之日起在规定时间内向项目所在地公安机关备案。</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项目人员管理承诺函.docx 业绩一览表.docx 中小企业声明函 报价表 首次分项报价表.docx 响应文件封面 最后分项报价表.docx 残疾人福利性单位声明函 供应商应提交的相关资格证明材料.pdf 标的清单 偏离表.pdf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投标方案.docx 偏离表.pdf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投标方案.docx 标的清单 偏离表.pdf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项目人员管理承诺函.docx 业绩一览表.docx 投标方案.docx 供应商应提交的相关资格证明材料.pdf 标的清单 偏离表.pdf 响应函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供应商提出针对于本项目的安保服务总体方案，方案内容包含： ①服务目标②服务计划③服务理念及特色④重难点分析及解决措施。 二、评审标准 1.完整性：方案须全面，对评审内容中的各项要求有详细描述； 2.可实施性：切合本项目实际情况，实施步骤清晰、合理； 3.针对性：方案能够紧扣项目实际情况，内容科学合理。 三、赋分标准（满分12分） ①服务目标：每完全满足一个评审标准得1分，满分3分； ②服务计划:每完全满足一个评审标准得1分，满分3分； ③服务理念及特色:每完全满足一个评审标准得1分，满分3分； ④重难点分析及解决措施：每完全满足一个评审标准得1分，满分3分。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门岗执勤服务方案</w:t>
            </w:r>
          </w:p>
        </w:tc>
        <w:tc>
          <w:tcPr>
            <w:tcW w:type="dxa" w:w="2492"/>
          </w:tcPr>
          <w:p>
            <w:pPr>
              <w:pStyle w:val="null3"/>
            </w:pPr>
            <w:r>
              <w:rPr>
                <w:rFonts w:ascii="仿宋_GB2312" w:hAnsi="仿宋_GB2312" w:cs="仿宋_GB2312" w:eastAsia="仿宋_GB2312"/>
              </w:rPr>
              <w:t>一、评审内容 针对本项目提出门岗执勤服务方案，内容包含：①门卫管理：包含服务范围内的门卫值守、人员登记、车辆登记、来访通报、证件检验、门禁交通疏导②门岗紧急情况处理③各类门禁设备监管。 二、评审标准 1、完整性：方案必须全面，对评审内容中的各项要求有详细描述； 2、可实施性：切合本项目实际情况，实施步骤清晰、合理； 3、针对性：方案能够紧扣项目实际情况，内容科学合理。 三、赋分标准（满分9分） ①门卫管理：每完全满足一个评审标准得1分，满分3分； ②门岗紧急情况处理:每完全满足一个评审标准得1分，满分3分； ③各类门禁设备监管:每完全满足一个评审标准得1分，满分3分。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巡逻巡查及秩序维护服务方案</w:t>
            </w:r>
          </w:p>
        </w:tc>
        <w:tc>
          <w:tcPr>
            <w:tcW w:type="dxa" w:w="2492"/>
          </w:tcPr>
          <w:p>
            <w:pPr>
              <w:pStyle w:val="null3"/>
            </w:pPr>
            <w:r>
              <w:rPr>
                <w:rFonts w:ascii="仿宋_GB2312" w:hAnsi="仿宋_GB2312" w:cs="仿宋_GB2312" w:eastAsia="仿宋_GB2312"/>
              </w:rPr>
              <w:t>评审内容针对本项目提出治安巡逻巡查及秩序维护服务方案，内容包含：①服务区域巡逻巡查：包含服务范围内的公共区域、建筑物及重点区域、要害部位②紧急情况处置：包含巡逻巡查过程对不安全因素、安全隐患及不文明行为具有紧急情况的处置能力③各类安保设施监管及维护④车辆停放及交通安全管理。 二、评审标准 1、完整性：方案必须全面，对评审内容中的各项要求有详细描述； 2、可实施性：切合本项目实际情况，实施步骤清晰、合理； 3、针对性：方案能够紧扣项目实际情况，内容科学合理。 三、赋分标准（满分12分） ①服务区域巡逻巡查：每完全满足一个评审标准得1 分，满分3分； ②紧急情况处置:每完全满足一个评审标准得1分，满分3分； ③各类安保设施监管及维护:每完全满足一个评审标准得1分，满分3分； ④车辆停放及交通安全管理：每完全满足一个评审标准得1分，满分3分。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方案包含：①岗位职责：具有岗位工作标准、服务质量标准、现场质量控制体系②内控制度：具有保密制度、问责机制、监督机制、自查制度等方面③人员管理制度：具有员工日常管理办法、请销假制度、奖惩措施、激励机制、仪容仪表制度。 二、评审标准 1.完整性：方案须全面，对评审内容中的各项要求有详细描述； 2.可实施性：切合本项目实际情况，实施步骤清晰、合理； 3.针对性：方案能够紧扣项目实际情况，内容科学合理。 三、赋分标准（满分9分） ①岗位职责：每完全满足一个评审标准得1分，满分3分； ②内控制度:每完全满足一个评审标准得1分，满分3分；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根据本项目服务工作特点制定应急预案，内容包含：①自然灾害：极端天气、停电、停水、火灾消防②公共安全事件：重大突发公共卫生危机事件、打架斗殴、寻衅滋事、意外伤亡、踩踏事件等安全事件的预防及处置措施③违法事件：如盗窃、暴恐、爆炸、破坏的预防及处置措施。 二、评审标准 1、完整性：方案须全面，对评审内容中的各项要求有详细描述； 2、可实施性：切合本项目实际情况，实施步骤清晰、合理； 3、针对性：方案能够紧扣项目实际情况，内容科学合理。 三、赋分标准（满分9分） ①自然灾害：每完全满足一个评审标准得1分，满分3分； ②公共安全事件:每完全满足一个评审标准得1分，满分3分； ③违法事件：每完全满足一个评审标准得1分，满分3分。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针对本项目制定培训考核方案，内容包含：①培训：针对不同的岗位职责、行为规范、服务礼仪及心理辅导等方面制定培训方案 ②考核：针对不同的岗位、制度及工作程序制定考核方案。 二、评审标准 1.完整性：方案须全面，对评审内容中的各项要求有详细描述； 2.可实施性：切合本项目实际情况，实施步骤清晰、合理； 3.针对性：方案能够紧扣项目实际情况，内容科学合理。 三、赋分标准（满分6分） ①培训：每完全满足一个评审标准得1分，满分3分； ②考核:每完全满足一个评审标准得1分，满分3分。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针对本项目特点有明确的组织架构，内容包含：①组织机构运行配备方案②专业服务团队的职能分工方案。 二、评审标准 1.完整性：方案须全面，对评审内容中的各项要求有详细描述； 2.可实施性：切合本项目实际情况，实施步骤清晰、合理； 3.针对性：方案能够紧扣项目实际情况，内容科学合理。 三、赋分标准（满分6分） ①组织机构运行配备方案：每完全满足一个评审标准得1分，满分3分； ②专业服务团队的职能分工方案:每完全满足一个评审标准得1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设备工具配置清单</w:t>
            </w:r>
          </w:p>
        </w:tc>
        <w:tc>
          <w:tcPr>
            <w:tcW w:type="dxa" w:w="2492"/>
          </w:tcPr>
          <w:p>
            <w:pPr>
              <w:pStyle w:val="null3"/>
            </w:pPr>
            <w:r>
              <w:rPr>
                <w:rFonts w:ascii="仿宋_GB2312" w:hAnsi="仿宋_GB2312" w:cs="仿宋_GB2312" w:eastAsia="仿宋_GB2312"/>
              </w:rPr>
              <w:t>一、评审内容 供应商针对本项目特点提供设备工具配置清单，内容包含：①人员服装：春夏秋冬制式常服、短袖、大衣、鞋. 二、评审标准 1、完整性：配置清单齐全完整，能完全满足并提供评审内容中的各项要求； 2、实用性：设备工具质量有保障、使用率高、安全性能强、服装统一； 3、针对性：设备工具能紧扣项目实际情况，配置合理科学。 三、赋分标准（满分3分） ①人员服装：每完全满足一个评审标准得1分，满分3分；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1、承诺：接受采购人对服务的考核、监督及管理，并对服务质量加以改进，确保服务工作的优质高效，得1分。无承诺不得分。 2、承诺：若人员因事、病不能及时上岗时，请调其他服务人员补充，确保各项服务工作正常进行，得1分。无承诺不得分。 承诺：具有足够的可调度人员储备，以应对重大活动、突发事件等工作任务，得1分。无承诺不得分。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保安队长</w:t>
            </w:r>
          </w:p>
        </w:tc>
        <w:tc>
          <w:tcPr>
            <w:tcW w:type="dxa" w:w="2492"/>
          </w:tcPr>
          <w:p>
            <w:pPr>
              <w:pStyle w:val="null3"/>
            </w:pPr>
            <w:r>
              <w:rPr>
                <w:rFonts w:ascii="仿宋_GB2312" w:hAnsi="仿宋_GB2312" w:cs="仿宋_GB2312" w:eastAsia="仿宋_GB2312"/>
              </w:rPr>
              <w:t>1、证书要求（1分） 保安队长具有退伍证，得1分。 赋分依据：（如拟任人员为复转退伍军人，可提供地方/ 部队院校的证明材料），不提供不得分。 2、经验要求（3分） 保安队长具有三年保安管理经验得1分，每增加一年管理经验额外增加1分，最多增加2分。满分3分。 赋分依据：需提供被服务单位加盖公章的管理经验证明材料，不提供不得分。 3、年龄要求（1分） 保安队长年龄25-45周岁，符合条件得1分。 赋分依据：需提供身份证复印件，不提供不得分。 备注：除上述赋分依据外，还须同时提供供应商为保安队长缴纳的截止开标前三个月任意一个月的社保缴纳证明材料（成立时间至提交响应文件截止时间不足半年的供应商，可提供成立后任意一个月的社保缴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1、提供2023年5月1日以来保安服务项目业绩（以合同签订日期为准），每份合格业绩合同计2分，满分6分； 备注：须提供完整合同业绩及对应发票复印件（发票可提供服务期内任意一张），并加盖供应商公章，以上两种证明材料同时提供方可得分，否则不得分.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 得20分，其他各供应商的最后磋商报价得分按下列公式计算: (磋商基准价/最后磋商报价)×20％×100。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详见附件：项目人员管理承诺函.docx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详见附件：偏离表.pdf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