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spacing w:before="240" w:after="60" w:line="360" w:lineRule="auto"/>
        <w:ind w:firstLine="3962" w:firstLineChars="1100"/>
        <w:jc w:val="both"/>
        <w:outlineLvl w:val="0"/>
        <w:rPr>
          <w:rFonts w:hint="eastAsia" w:ascii="微软雅黑" w:hAnsi="微软雅黑" w:eastAsia="微软雅黑" w:cs="微软雅黑"/>
          <w:b/>
          <w:bCs/>
          <w:kern w:val="2"/>
          <w:sz w:val="36"/>
          <w:szCs w:val="36"/>
          <w:highlight w:val="none"/>
          <w:lang w:val="en-US" w:eastAsia="zh-CN" w:bidi="ar-SA"/>
        </w:rPr>
      </w:pPr>
      <w:bookmarkStart w:id="2" w:name="_GoBack"/>
      <w:r>
        <w:rPr>
          <w:rFonts w:hint="eastAsia" w:ascii="微软雅黑" w:hAnsi="微软雅黑" w:eastAsia="微软雅黑" w:cs="微软雅黑"/>
          <w:b/>
          <w:bCs/>
          <w:kern w:val="2"/>
          <w:sz w:val="36"/>
          <w:szCs w:val="36"/>
          <w:highlight w:val="none"/>
          <w:lang w:val="en-US" w:eastAsia="zh-CN" w:bidi="ar-SA"/>
        </w:rPr>
        <w:t>合同草案条款</w:t>
      </w:r>
    </w:p>
    <w:p>
      <w:pPr>
        <w:tabs>
          <w:tab w:val="left" w:pos="6228"/>
        </w:tabs>
        <w:spacing w:before="54"/>
        <w:jc w:val="left"/>
        <w:rPr>
          <w:rFonts w:hint="eastAsia" w:ascii="微软雅黑" w:hAnsi="微软雅黑" w:eastAsia="微软雅黑" w:cs="微软雅黑"/>
          <w:b/>
          <w:sz w:val="32"/>
        </w:rPr>
      </w:pPr>
    </w:p>
    <w:p>
      <w:pPr>
        <w:tabs>
          <w:tab w:val="left" w:pos="6228"/>
        </w:tabs>
        <w:spacing w:before="54"/>
        <w:jc w:val="left"/>
        <w:rPr>
          <w:rFonts w:hint="eastAsia" w:ascii="微软雅黑" w:hAnsi="微软雅黑" w:eastAsia="微软雅黑" w:cs="微软雅黑"/>
          <w:b/>
          <w:sz w:val="32"/>
        </w:rPr>
      </w:pPr>
      <w:r>
        <w:rPr>
          <w:rFonts w:hint="eastAsia" w:ascii="微软雅黑" w:hAnsi="微软雅黑" w:eastAsia="微软雅黑" w:cs="微软雅黑"/>
          <w:b/>
          <w:sz w:val="32"/>
        </w:rPr>
        <w:t>政府采购合同</w:t>
      </w:r>
      <w:r>
        <w:rPr>
          <w:rFonts w:hint="eastAsia" w:ascii="微软雅黑" w:hAnsi="微软雅黑" w:eastAsia="微软雅黑" w:cs="微软雅黑"/>
          <w:b/>
          <w:sz w:val="32"/>
        </w:rPr>
        <w:tab/>
      </w:r>
    </w:p>
    <w:p>
      <w:pPr>
        <w:tabs>
          <w:tab w:val="left" w:pos="6228"/>
        </w:tabs>
        <w:spacing w:before="54"/>
        <w:jc w:val="left"/>
        <w:rPr>
          <w:rFonts w:hint="eastAsia" w:ascii="微软雅黑" w:hAnsi="微软雅黑" w:eastAsia="微软雅黑" w:cs="微软雅黑"/>
          <w:b/>
          <w:sz w:val="32"/>
        </w:rPr>
      </w:pPr>
      <w:r>
        <w:rPr>
          <w:rFonts w:hint="eastAsia" w:ascii="微软雅黑" w:hAnsi="微软雅黑" w:eastAsia="微软雅黑" w:cs="微软雅黑"/>
          <w:b/>
          <w:w w:val="95"/>
          <w:sz w:val="32"/>
        </w:rPr>
        <w:t>合同编号：</w:t>
      </w:r>
    </w:p>
    <w:p>
      <w:pPr>
        <w:keepNext/>
        <w:keepLines w:val="0"/>
        <w:widowControl/>
        <w:adjustRightInd w:val="0"/>
        <w:spacing w:before="240" w:after="0" w:line="256" w:lineRule="auto"/>
        <w:jc w:val="left"/>
        <w:textAlignment w:val="baseline"/>
        <w:outlineLvl w:val="0"/>
        <w:rPr>
          <w:rFonts w:hint="eastAsia" w:ascii="微软雅黑" w:hAnsi="微软雅黑" w:eastAsia="微软雅黑" w:cs="微软雅黑"/>
          <w:b/>
          <w:bCs/>
          <w:color w:val="2E74B5"/>
          <w:kern w:val="0"/>
          <w:sz w:val="32"/>
          <w:szCs w:val="32"/>
          <w:lang w:val="en-US" w:eastAsia="zh-CN" w:bidi="ar-SA"/>
        </w:rPr>
      </w:pPr>
      <w:r>
        <w:rPr>
          <w:rFonts w:hint="eastAsia" w:ascii="微软雅黑" w:hAnsi="微软雅黑" w:eastAsia="微软雅黑" w:cs="微软雅黑"/>
          <w:b/>
          <w:sz w:val="32"/>
        </w:rPr>
        <w:tab/>
      </w:r>
    </w:p>
    <w:p>
      <w:pPr>
        <w:pStyle w:val="5"/>
        <w:ind w:left="840" w:hanging="420"/>
        <w:rPr>
          <w:rFonts w:hint="eastAsia" w:ascii="微软雅黑" w:hAnsi="微软雅黑" w:eastAsia="微软雅黑" w:cs="微软雅黑"/>
        </w:rPr>
      </w:pPr>
    </w:p>
    <w:p>
      <w:pPr>
        <w:tabs>
          <w:tab w:val="left" w:pos="6228"/>
        </w:tabs>
        <w:spacing w:before="54"/>
        <w:ind w:left="447"/>
        <w:jc w:val="left"/>
        <w:rPr>
          <w:rFonts w:hint="eastAsia" w:ascii="微软雅黑" w:hAnsi="微软雅黑" w:eastAsia="微软雅黑" w:cs="微软雅黑"/>
          <w:b/>
          <w:sz w:val="32"/>
        </w:rPr>
      </w:pPr>
      <w:r>
        <w:rPr>
          <w:rFonts w:hint="eastAsia" w:ascii="微软雅黑" w:hAnsi="微软雅黑" w:eastAsia="微软雅黑" w:cs="微软雅黑"/>
          <w:b/>
          <w:sz w:val="32"/>
        </w:rPr>
        <w:tab/>
      </w:r>
    </w:p>
    <w:p>
      <w:pPr>
        <w:tabs>
          <w:tab w:val="left" w:pos="6228"/>
        </w:tabs>
        <w:spacing w:before="54"/>
        <w:jc w:val="left"/>
        <w:rPr>
          <w:rFonts w:hint="eastAsia" w:ascii="微软雅黑" w:hAnsi="微软雅黑" w:eastAsia="微软雅黑" w:cs="微软雅黑"/>
          <w:b/>
          <w:bCs/>
          <w:sz w:val="40"/>
          <w:szCs w:val="40"/>
          <w:highlight w:val="none"/>
        </w:rPr>
      </w:pPr>
    </w:p>
    <w:p>
      <w:pPr>
        <w:tabs>
          <w:tab w:val="left" w:pos="6228"/>
        </w:tabs>
        <w:spacing w:before="54"/>
        <w:ind w:left="447" w:firstLine="2401" w:firstLineChars="600"/>
        <w:jc w:val="left"/>
        <w:rPr>
          <w:rFonts w:hint="eastAsia" w:ascii="微软雅黑" w:hAnsi="微软雅黑" w:eastAsia="微软雅黑" w:cs="微软雅黑"/>
          <w:b/>
          <w:bCs/>
          <w:sz w:val="40"/>
          <w:szCs w:val="40"/>
          <w:highlight w:val="none"/>
        </w:rPr>
      </w:pPr>
      <w:r>
        <w:rPr>
          <w:rFonts w:hint="eastAsia" w:ascii="微软雅黑" w:hAnsi="微软雅黑" w:eastAsia="微软雅黑" w:cs="微软雅黑"/>
          <w:b/>
          <w:bCs/>
          <w:sz w:val="40"/>
          <w:szCs w:val="40"/>
          <w:highlight w:val="none"/>
        </w:rPr>
        <w:t>西安市临潼区人民法院</w:t>
      </w:r>
    </w:p>
    <w:p>
      <w:pPr>
        <w:pStyle w:val="2"/>
        <w:rPr>
          <w:rFonts w:hint="eastAsia" w:ascii="微软雅黑" w:hAnsi="微软雅黑" w:eastAsia="微软雅黑" w:cs="微软雅黑"/>
        </w:rPr>
      </w:pPr>
    </w:p>
    <w:p>
      <w:pPr>
        <w:tabs>
          <w:tab w:val="left" w:pos="6228"/>
        </w:tabs>
        <w:spacing w:before="54"/>
        <w:jc w:val="center"/>
        <w:rPr>
          <w:rFonts w:hint="eastAsia" w:ascii="微软雅黑" w:hAnsi="微软雅黑" w:eastAsia="微软雅黑" w:cs="微软雅黑"/>
          <w:b/>
          <w:bCs/>
          <w:sz w:val="40"/>
          <w:szCs w:val="40"/>
          <w:highlight w:val="none"/>
        </w:rPr>
      </w:pPr>
      <w:r>
        <w:rPr>
          <w:rFonts w:hint="eastAsia" w:ascii="微软雅黑" w:hAnsi="微软雅黑" w:eastAsia="微软雅黑" w:cs="微软雅黑"/>
          <w:b/>
          <w:bCs/>
          <w:sz w:val="40"/>
          <w:szCs w:val="40"/>
          <w:highlight w:val="none"/>
        </w:rPr>
        <w:t>2026年临潼法院安检辅助服务项目</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u w:val="single"/>
          <w14:textFill>
            <w14:solidFill>
              <w14:schemeClr w14:val="tx1"/>
            </w14:solidFill>
          </w14:textFill>
        </w:rPr>
      </w:pPr>
    </w:p>
    <w:p>
      <w:pPr>
        <w:pStyle w:val="3"/>
        <w:tabs>
          <w:tab w:val="left" w:pos="5316"/>
        </w:tabs>
        <w:spacing w:before="0"/>
        <w:ind w:right="425" w:firstLine="2433" w:firstLineChars="800"/>
        <w:rPr>
          <w:rFonts w:hint="eastAsia" w:ascii="微软雅黑" w:hAnsi="微软雅黑" w:eastAsia="微软雅黑" w:cs="微软雅黑"/>
          <w:b/>
          <w:bCs/>
          <w:w w:val="95"/>
        </w:rPr>
      </w:pPr>
      <w:bookmarkStart w:id="0" w:name="_Toc5027"/>
    </w:p>
    <w:p>
      <w:pPr>
        <w:pStyle w:val="3"/>
        <w:tabs>
          <w:tab w:val="left" w:pos="5316"/>
        </w:tabs>
        <w:spacing w:before="0"/>
        <w:ind w:right="425" w:firstLine="2433" w:firstLineChars="800"/>
        <w:rPr>
          <w:rFonts w:hint="eastAsia" w:ascii="微软雅黑" w:hAnsi="微软雅黑" w:eastAsia="微软雅黑" w:cs="微软雅黑"/>
          <w:b/>
          <w:bCs/>
          <w:w w:val="95"/>
        </w:rPr>
      </w:pPr>
    </w:p>
    <w:p>
      <w:pPr>
        <w:pStyle w:val="3"/>
        <w:tabs>
          <w:tab w:val="left" w:pos="5316"/>
        </w:tabs>
        <w:spacing w:before="0"/>
        <w:ind w:right="425" w:firstLine="2433" w:firstLineChars="800"/>
        <w:rPr>
          <w:rFonts w:hint="eastAsia" w:ascii="微软雅黑" w:hAnsi="微软雅黑" w:eastAsia="微软雅黑" w:cs="微软雅黑"/>
          <w:b/>
          <w:bCs/>
        </w:rPr>
      </w:pPr>
      <w:r>
        <w:rPr>
          <w:rFonts w:hint="eastAsia" w:ascii="微软雅黑" w:hAnsi="微软雅黑" w:eastAsia="微软雅黑" w:cs="微软雅黑"/>
          <w:b/>
          <w:bCs/>
          <w:w w:val="95"/>
        </w:rPr>
        <w:t>采购人：</w:t>
      </w:r>
      <w:bookmarkEnd w:id="0"/>
      <w:r>
        <w:rPr>
          <w:rFonts w:hint="eastAsia" w:ascii="微软雅黑" w:hAnsi="微软雅黑" w:eastAsia="微软雅黑" w:cs="微软雅黑"/>
          <w:b/>
          <w:bCs/>
          <w:u w:val="single"/>
        </w:rPr>
        <w:t xml:space="preserve"> </w:t>
      </w:r>
      <w:r>
        <w:rPr>
          <w:rFonts w:hint="eastAsia" w:ascii="微软雅黑" w:hAnsi="微软雅黑" w:eastAsia="微软雅黑" w:cs="微软雅黑"/>
          <w:b/>
          <w:bCs/>
          <w:u w:val="single"/>
          <w:lang w:val="en-US" w:eastAsia="zh-CN"/>
        </w:rPr>
        <w:t>西安市临潼区人民法院</w:t>
      </w:r>
      <w:r>
        <w:rPr>
          <w:rFonts w:hint="eastAsia" w:ascii="微软雅黑" w:hAnsi="微软雅黑" w:eastAsia="微软雅黑" w:cs="微软雅黑"/>
          <w:b/>
          <w:bCs/>
          <w:u w:val="single"/>
        </w:rPr>
        <w:tab/>
      </w:r>
      <w:r>
        <w:rPr>
          <w:rFonts w:hint="eastAsia" w:ascii="微软雅黑" w:hAnsi="微软雅黑" w:eastAsia="微软雅黑" w:cs="微软雅黑"/>
          <w:b/>
          <w:bCs/>
          <w:u w:val="single"/>
        </w:rPr>
        <w:t xml:space="preserve">       </w:t>
      </w:r>
    </w:p>
    <w:p>
      <w:pPr>
        <w:pStyle w:val="4"/>
        <w:spacing w:before="5"/>
        <w:rPr>
          <w:rFonts w:hint="eastAsia" w:ascii="微软雅黑" w:hAnsi="微软雅黑" w:eastAsia="微软雅黑" w:cs="微软雅黑"/>
          <w:b/>
          <w:bCs/>
        </w:rPr>
      </w:pPr>
    </w:p>
    <w:p>
      <w:pPr>
        <w:pStyle w:val="3"/>
        <w:tabs>
          <w:tab w:val="left" w:pos="5316"/>
        </w:tabs>
        <w:spacing w:before="0"/>
        <w:ind w:right="425" w:firstLine="2433" w:firstLineChars="800"/>
        <w:rPr>
          <w:rFonts w:hint="eastAsia" w:ascii="微软雅黑" w:hAnsi="微软雅黑" w:eastAsia="微软雅黑" w:cs="微软雅黑"/>
          <w:b/>
          <w:bCs/>
        </w:rPr>
        <w:sectPr>
          <w:headerReference r:id="rId3" w:type="default"/>
          <w:footerReference r:id="rId4" w:type="default"/>
          <w:pgSz w:w="11910" w:h="16840"/>
          <w:pgMar w:top="1380" w:right="780" w:bottom="1380" w:left="940" w:header="882" w:footer="1181" w:gutter="0"/>
          <w:cols w:space="720" w:num="1"/>
        </w:sectPr>
      </w:pPr>
      <w:bookmarkStart w:id="1" w:name="_Toc4907"/>
      <w:r>
        <w:rPr>
          <w:rFonts w:hint="eastAsia" w:ascii="微软雅黑" w:hAnsi="微软雅黑" w:eastAsia="微软雅黑" w:cs="微软雅黑"/>
          <w:b/>
          <w:bCs/>
          <w:w w:val="95"/>
        </w:rPr>
        <w:t>供应商：</w:t>
      </w:r>
      <w:bookmarkEnd w:id="1"/>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w w:val="95"/>
          <w:u w:val="single"/>
        </w:rPr>
        <w:tab/>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u w:val="single"/>
        </w:rPr>
      </w:pPr>
      <w:r>
        <w:rPr>
          <w:rFonts w:hint="eastAsia" w:ascii="微软雅黑" w:hAnsi="微软雅黑" w:eastAsia="微软雅黑" w:cs="微软雅黑"/>
          <w:b/>
          <w:bCs/>
          <w:color w:val="000000" w:themeColor="text1"/>
          <w:kern w:val="0"/>
          <w:sz w:val="24"/>
          <w:szCs w:val="24"/>
          <w:u w:val="none"/>
          <w14:textFill>
            <w14:solidFill>
              <w14:schemeClr w14:val="tx1"/>
            </w14:solidFill>
          </w14:textFill>
        </w:rPr>
        <w:t>甲方：</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u w:val="single"/>
          <w14:textFill>
            <w14:solidFill>
              <w14:schemeClr w14:val="tx1"/>
            </w14:solidFill>
          </w14:textFill>
        </w:rPr>
      </w:pPr>
      <w:r>
        <w:rPr>
          <w:rFonts w:hint="eastAsia" w:ascii="微软雅黑" w:hAnsi="微软雅黑" w:eastAsia="微软雅黑" w:cs="微软雅黑"/>
          <w:b/>
          <w:bCs/>
          <w:color w:val="000000" w:themeColor="text1"/>
          <w:kern w:val="0"/>
          <w:sz w:val="24"/>
          <w:szCs w:val="24"/>
          <w:u w:val="none"/>
          <w14:textFill>
            <w14:solidFill>
              <w14:schemeClr w14:val="tx1"/>
            </w14:solidFill>
          </w14:textFill>
        </w:rPr>
        <w:t>统一社会信用代码：</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u w:val="single"/>
          <w14:textFill>
            <w14:solidFill>
              <w14:schemeClr w14:val="tx1"/>
            </w14:solidFill>
          </w14:textFill>
        </w:rPr>
      </w:pPr>
      <w:r>
        <w:rPr>
          <w:rFonts w:hint="eastAsia" w:ascii="微软雅黑" w:hAnsi="微软雅黑" w:eastAsia="微软雅黑" w:cs="微软雅黑"/>
          <w:b/>
          <w:bCs/>
          <w:color w:val="000000" w:themeColor="text1"/>
          <w:kern w:val="0"/>
          <w:sz w:val="24"/>
          <w:szCs w:val="24"/>
          <w:u w:val="none"/>
          <w14:textFill>
            <w14:solidFill>
              <w14:schemeClr w14:val="tx1"/>
            </w14:solidFill>
          </w14:textFill>
        </w:rPr>
        <w:t>地址：</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u w:val="single"/>
          <w14:textFill>
            <w14:solidFill>
              <w14:schemeClr w14:val="tx1"/>
            </w14:solidFill>
          </w14:textFill>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u w:val="single"/>
          <w14:textFill>
            <w14:solidFill>
              <w14:schemeClr w14:val="tx1"/>
            </w14:solidFill>
          </w14:textFill>
        </w:rPr>
      </w:pPr>
      <w:r>
        <w:rPr>
          <w:rFonts w:hint="eastAsia" w:ascii="微软雅黑" w:hAnsi="微软雅黑" w:eastAsia="微软雅黑" w:cs="微软雅黑"/>
          <w:b/>
          <w:bCs/>
          <w:color w:val="000000" w:themeColor="text1"/>
          <w:kern w:val="0"/>
          <w:sz w:val="24"/>
          <w:szCs w:val="24"/>
          <w:u w:val="none"/>
          <w14:textFill>
            <w14:solidFill>
              <w14:schemeClr w14:val="tx1"/>
            </w14:solidFill>
          </w14:textFill>
        </w:rPr>
        <w:t>乙方：</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u w:val="single"/>
          <w14:textFill>
            <w14:solidFill>
              <w14:schemeClr w14:val="tx1"/>
            </w14:solidFill>
          </w14:textFill>
        </w:rPr>
      </w:pPr>
      <w:r>
        <w:rPr>
          <w:rFonts w:hint="eastAsia" w:ascii="微软雅黑" w:hAnsi="微软雅黑" w:eastAsia="微软雅黑" w:cs="微软雅黑"/>
          <w:b/>
          <w:bCs/>
          <w:color w:val="000000" w:themeColor="text1"/>
          <w:kern w:val="0"/>
          <w:sz w:val="24"/>
          <w:szCs w:val="24"/>
          <w:u w:val="none"/>
          <w14:textFill>
            <w14:solidFill>
              <w14:schemeClr w14:val="tx1"/>
            </w14:solidFill>
          </w14:textFill>
        </w:rPr>
        <w:t>统一社会信用代码：</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u w:val="single"/>
          <w14:textFill>
            <w14:solidFill>
              <w14:schemeClr w14:val="tx1"/>
            </w14:solidFill>
          </w14:textFill>
        </w:rPr>
      </w:pPr>
      <w:r>
        <w:rPr>
          <w:rFonts w:hint="eastAsia" w:ascii="微软雅黑" w:hAnsi="微软雅黑" w:eastAsia="微软雅黑" w:cs="微软雅黑"/>
          <w:b/>
          <w:bCs/>
          <w:color w:val="000000" w:themeColor="text1"/>
          <w:kern w:val="0"/>
          <w:sz w:val="24"/>
          <w:szCs w:val="24"/>
          <w:u w:val="none"/>
          <w14:textFill>
            <w14:solidFill>
              <w14:schemeClr w14:val="tx1"/>
            </w14:solidFill>
          </w14:textFill>
        </w:rPr>
        <w:t>地址：</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r>
        <w:rPr>
          <w:rFonts w:hint="eastAsia" w:ascii="微软雅黑" w:hAnsi="微软雅黑" w:eastAsia="微软雅黑" w:cs="微软雅黑"/>
          <w:b/>
          <w:bCs/>
          <w:u w:val="single"/>
        </w:rPr>
        <w:t xml:space="preserve">          </w:t>
      </w:r>
      <w:r>
        <w:rPr>
          <w:rFonts w:hint="eastAsia" w:ascii="微软雅黑" w:hAnsi="微软雅黑" w:eastAsia="微软雅黑" w:cs="微软雅黑"/>
          <w:b/>
          <w:bCs/>
          <w:w w:val="95"/>
          <w:u w:val="single"/>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根据《中华人民共和国民法典》和《保安服务管理条例》及其他法律法规的有关规定，为了维护甲乙双方在合同约定范围内的权利义务关系，使保安服务法制化、规范化、科学化，甲乙双方本着合法、公平、平等、自愿的原则，在协商一致的基础上，订立本合同，并保证共同遵守执行。</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一、保安服务范围</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1、负责项目红线内区域的全体24小时安全保卫工作，在安保服务范围内实施安全管理。包括但不限于：</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项目服务人员</w:t>
      </w:r>
      <w:r>
        <w:rPr>
          <w:rFonts w:hint="eastAsia" w:ascii="微软雅黑" w:hAnsi="微软雅黑" w:eastAsia="微软雅黑" w:cs="微软雅黑"/>
          <w:color w:val="000000" w:themeColor="text1"/>
          <w:kern w:val="0"/>
          <w:sz w:val="24"/>
          <w:szCs w:val="24"/>
          <w14:textFill>
            <w14:solidFill>
              <w14:schemeClr w14:val="tx1"/>
            </w14:solidFill>
          </w14:textFill>
        </w:rPr>
        <w:t>的人身及财产安全、本物业财产安全、人员秩序管理、突发事件处理、各类禁止行为的管理、各类推广宣传活动的安全管理配合、物品摆放与场地形象管理等。</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在安保服务范围内执行防火、防盗、防破坏工作，预防和制止侵害甲方安全的行为发生，并依据物业不同区域的不同特点以及甲方要求依法在本范围内执行安全管理、服务等任务，维护本物业的整体安全，防范在本物业范围内发生偷盗、抢劫、火灾、水浸等隐患及其他意外事故的发生、制止犯罪，保持良好的生产、生活和工作秩序。</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3、对物业区域内的不安全隐患及时提出整改建议，并积极配合甲方改进、解决。按计划检查本物业各项安全指标，严格服从本物业甲方的各项工作安排，认真履行岗位职责。</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二、保安人员岗位职责及人员要求</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1、保安岗位职责</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(1)保安人员发现或应当发现有任何安全隐患的，应立即向甲方负责人员报告：</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(2)保安人员发现安全事故、可能涉及治安、刑事案件或其他应当报告的情况时，应立即报警并向甲方负责人员报告，并采取适当措施保留证据、减小损失、保护现场。</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(3)保安人员应保障项目安全，防止人身、财产的各类事故发生。如甲方的工作指示存在事故风险，乙方保安人员应提出相关建议，不得仅以甲方指示作为乙方免责事由。</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(4)为满足本项目目的，甲方在履行过程中提出的要求且乙方能够达到的，乙方保安人员应予执行。</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(5)保安人员依法应当承担的保障安全责任与其他义务。</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2、保安人员的具体要求</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(1)保安人数及工作时间：</w:t>
      </w:r>
    </w:p>
    <w:p>
      <w:pPr>
        <w:spacing w:line="360" w:lineRule="auto"/>
        <w:ind w:firstLine="480" w:firstLineChars="200"/>
        <w:jc w:val="left"/>
        <w:rPr>
          <w:rFonts w:hint="eastAsia" w:ascii="微软雅黑" w:hAnsi="微软雅黑" w:eastAsia="微软雅黑" w:cs="微软雅黑"/>
          <w:color w:val="000000" w:themeColor="text1"/>
          <w:kern w:val="0"/>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 长保人员：乙方</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派驻</w:t>
      </w:r>
      <w:r>
        <w:rPr>
          <w:rFonts w:hint="eastAsia" w:ascii="微软雅黑" w:hAnsi="微软雅黑" w:eastAsia="微软雅黑" w:cs="微软雅黑"/>
          <w:color w:val="000000" w:themeColor="text1"/>
          <w:kern w:val="0"/>
          <w:sz w:val="24"/>
          <w:szCs w:val="24"/>
          <w14:textFill>
            <w14:solidFill>
              <w14:schemeClr w14:val="tx1"/>
            </w14:solidFill>
          </w14:textFill>
        </w:rPr>
        <w:t>的</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长期</w:t>
      </w:r>
      <w:r>
        <w:rPr>
          <w:rFonts w:hint="eastAsia" w:ascii="微软雅黑" w:hAnsi="微软雅黑" w:eastAsia="微软雅黑" w:cs="微软雅黑"/>
          <w:color w:val="000000" w:themeColor="text1"/>
          <w:kern w:val="0"/>
          <w:sz w:val="24"/>
          <w:szCs w:val="24"/>
          <w14:textFill>
            <w14:solidFill>
              <w14:schemeClr w14:val="tx1"/>
            </w14:solidFill>
          </w14:textFill>
        </w:rPr>
        <w:t>保安</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员为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人。</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具体值班人数安排以甲方要求为准，</w:t>
      </w:r>
      <w:r>
        <w:rPr>
          <w:rFonts w:hint="eastAsia" w:ascii="微软雅黑" w:hAnsi="微软雅黑" w:eastAsia="微软雅黑" w:cs="微软雅黑"/>
          <w:color w:val="000000" w:themeColor="text1"/>
          <w:kern w:val="0"/>
          <w:sz w:val="24"/>
          <w:szCs w:val="24"/>
          <w14:textFill>
            <w14:solidFill>
              <w14:schemeClr w14:val="tx1"/>
            </w14:solidFill>
          </w14:textFill>
        </w:rPr>
        <w:t>实行24小时昼夜轮换值班制，每班次员工工作时长为12小时。合同履行期间，如甲方要求乙方增加或减少保安服务人数，</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可提前向乙方提出用工需求，</w:t>
      </w:r>
      <w:r>
        <w:rPr>
          <w:rFonts w:hint="eastAsia" w:ascii="微软雅黑" w:hAnsi="微软雅黑" w:eastAsia="微软雅黑" w:cs="微软雅黑"/>
          <w:color w:val="000000" w:themeColor="text1"/>
          <w:kern w:val="0"/>
          <w:sz w:val="24"/>
          <w:szCs w:val="24"/>
          <w14:textFill>
            <w14:solidFill>
              <w14:schemeClr w14:val="tx1"/>
            </w14:solidFill>
          </w14:textFill>
        </w:rPr>
        <w:t>并签订补充协议，保安服务费金额按本合同第三条第五款约定的标准进行调整</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 临勤人员：如特殊日期需增设临勤人员，甲方须提前7个自然日以书面形式向乙方提出用工需求，具体人数则以甲乙双方签字确认的人员出勤表进行核算。</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(2)乙方指派的保安人员应为年龄在18至</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5</w:t>
      </w:r>
      <w:r>
        <w:rPr>
          <w:rFonts w:hint="eastAsia" w:ascii="微软雅黑" w:hAnsi="微软雅黑" w:eastAsia="微软雅黑" w:cs="微软雅黑"/>
          <w:color w:val="000000" w:themeColor="text1"/>
          <w:kern w:val="0"/>
          <w:sz w:val="24"/>
          <w:szCs w:val="24"/>
          <w14:textFill>
            <w14:solidFill>
              <w14:schemeClr w14:val="tx1"/>
            </w14:solidFill>
          </w14:textFill>
        </w:rPr>
        <w:t>5周岁间的男性公民，无违法犯罪记录，具备保安基本素质，着装及携带的执勤装备规范，工作认真负责，遵守甲乙双方的相关制度，服从甲方的正常工作安排和合理要求。</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(3)乙方应于本合同生效后3日内将拟指派的保安人员的基本信息资料、身份证复印件、保安员证复印件交甲方备案，经甲方书面认可后，指派保安人员向甲方提供保安服务。</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3、保安人员的更换</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若乙方指派的保安人员不符合甲方要求，甲方有权书面或口头要求乙方更换；乙方应在接到甲方要求更换保安人员通知后3日内指派经甲方认可的保安人员到岗工作，同时提供更换后的保安人员的基本信息资料、身份证复印件及保安员证复印件。</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(2)若因乙方原因或因该保安人员主动离职需要更换保安人员的，乙方应在该保安离岗前7个工作日书面通知甲方。</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4、保安人员的培训</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乙方负责保安人员的岗前培训（包括但不限于保安基本素质的培训、收费设备操作的培训)、在职培训及安全教育等工作，制定落实培训计划，并做好相关记录，作为甲方考核的依据。</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5、保安人员的食宿和执勤装备</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保安人员食宿、执勤所需的器械、设备等，由乙方配备（包括但不限于统一的保安服、武装带、橡胶棒、对讲机等)，并在保安人员上岗服务时已配发到位且需经甲方确认。</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6、保安人员的劳动关系、工资和社会保险</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乙方保证与所指派的保安人员之间的劳动关系符合我国现行的劳动法规定，并承担其社会保险、工资福利等的一切费用，因此产生的任何问题由乙方承担责任。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7、乙方保证对上岗人员进行安全、管理等各项培训，现场人员遵守甲方广场各项规章管理制度。保安人员在工作中应自觉维护甲方的企业形象和良好的声誉，保守甲方的商业机密。乙方对其派遣人员的违法、违规、违约等不当行为向甲方承担赔偿责任。</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三、服务方式及费用</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(一) 乙方派驻</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名长期保安员。如遇特殊时期须临时</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进行人员调整</w:t>
      </w:r>
      <w:r>
        <w:rPr>
          <w:rFonts w:hint="eastAsia" w:ascii="微软雅黑" w:hAnsi="微软雅黑" w:eastAsia="微软雅黑" w:cs="微软雅黑"/>
          <w:color w:val="000000" w:themeColor="text1"/>
          <w:kern w:val="0"/>
          <w:sz w:val="24"/>
          <w:szCs w:val="24"/>
          <w14:textFill>
            <w14:solidFill>
              <w14:schemeClr w14:val="tx1"/>
            </w14:solidFill>
          </w14:textFill>
        </w:rPr>
        <w:t>，乙方根据甲方实际需求</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进行服务</w:t>
      </w:r>
      <w:r>
        <w:rPr>
          <w:rFonts w:hint="eastAsia" w:ascii="微软雅黑" w:hAnsi="微软雅黑" w:eastAsia="微软雅黑" w:cs="微软雅黑"/>
          <w:color w:val="000000" w:themeColor="text1"/>
          <w:kern w:val="0"/>
          <w:sz w:val="24"/>
          <w:szCs w:val="24"/>
          <w14:textFill>
            <w14:solidFill>
              <w14:schemeClr w14:val="tx1"/>
            </w14:solidFill>
          </w14:textFill>
        </w:rPr>
        <w:t>人员</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的调整</w:t>
      </w:r>
      <w:r>
        <w:rPr>
          <w:rFonts w:hint="eastAsia" w:ascii="微软雅黑" w:hAnsi="微软雅黑" w:eastAsia="微软雅黑" w:cs="微软雅黑"/>
          <w:color w:val="000000" w:themeColor="text1"/>
          <w:kern w:val="0"/>
          <w:sz w:val="24"/>
          <w:szCs w:val="24"/>
          <w14:textFill>
            <w14:solidFill>
              <w14:schemeClr w14:val="tx1"/>
            </w14:solidFill>
          </w14:textFill>
        </w:rPr>
        <w:t>。</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(二)工作时间：根据甲方时间排班制（</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小时制）</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(三)乙方需遵守甲方公司各项规章制度，服从安排、调配，听从指挥（甲方的规章制度应当向乙方公示并抄送一份），配合完成甲方安排的其它工作。</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(四)服务期限：自</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日起至</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日止。</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(五)服务费用：</w:t>
      </w:r>
    </w:p>
    <w:p>
      <w:pPr>
        <w:spacing w:line="360" w:lineRule="auto"/>
        <w:ind w:firstLine="480" w:firstLineChars="200"/>
        <w:jc w:val="left"/>
        <w:rPr>
          <w:rFonts w:hint="eastAsia" w:ascii="微软雅黑" w:hAnsi="微软雅黑" w:eastAsia="微软雅黑" w:cs="微软雅黑"/>
          <w:color w:val="000000" w:themeColor="text1"/>
          <w:kern w:val="0"/>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长期保安人员</w:t>
      </w:r>
      <w:r>
        <w:rPr>
          <w:rFonts w:hint="eastAsia" w:ascii="微软雅黑" w:hAnsi="微软雅黑" w:eastAsia="微软雅黑" w:cs="微软雅黑"/>
          <w:color w:val="000000" w:themeColor="text1"/>
          <w:kern w:val="0"/>
          <w:sz w:val="24"/>
          <w:szCs w:val="24"/>
          <w14:textFill>
            <w14:solidFill>
              <w14:schemeClr w14:val="tx1"/>
            </w14:solidFill>
          </w14:textFill>
        </w:rPr>
        <w:t>服务费用单价为</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元/人/月，月服务费为</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元整</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2、临勤人员服务费用为</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节假</w:t>
      </w:r>
      <w:r>
        <w:rPr>
          <w:rFonts w:hint="eastAsia" w:ascii="微软雅黑" w:hAnsi="微软雅黑" w:eastAsia="微软雅黑" w:cs="微软雅黑"/>
          <w:color w:val="000000" w:themeColor="text1"/>
          <w:kern w:val="0"/>
          <w:sz w:val="24"/>
          <w:szCs w:val="24"/>
          <w14:textFill>
            <w14:solidFill>
              <w14:schemeClr w14:val="tx1"/>
            </w14:solidFill>
          </w14:textFill>
        </w:rPr>
        <w:t>日</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期间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8</w:t>
      </w:r>
      <w:r>
        <w:rPr>
          <w:rFonts w:hint="eastAsia" w:ascii="微软雅黑" w:hAnsi="微软雅黑" w:eastAsia="微软雅黑" w:cs="微软雅黑"/>
          <w:color w:val="000000" w:themeColor="text1"/>
          <w:kern w:val="0"/>
          <w:sz w:val="24"/>
          <w:szCs w:val="24"/>
          <w14:textFill>
            <w14:solidFill>
              <w14:schemeClr w14:val="tx1"/>
            </w14:solidFill>
          </w14:textFill>
        </w:rPr>
        <w:t>小时，非节</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假</w:t>
      </w:r>
      <w:r>
        <w:rPr>
          <w:rFonts w:hint="eastAsia" w:ascii="微软雅黑" w:hAnsi="微软雅黑" w:eastAsia="微软雅黑" w:cs="微软雅黑"/>
          <w:color w:val="000000" w:themeColor="text1"/>
          <w:kern w:val="0"/>
          <w:sz w:val="24"/>
          <w:szCs w:val="24"/>
          <w14:textFill>
            <w14:solidFill>
              <w14:schemeClr w14:val="tx1"/>
            </w14:solidFill>
          </w14:textFill>
        </w:rPr>
        <w:t>日</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期间 </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8</w:t>
      </w:r>
      <w:r>
        <w:rPr>
          <w:rFonts w:hint="eastAsia" w:ascii="微软雅黑" w:hAnsi="微软雅黑" w:eastAsia="微软雅黑" w:cs="微软雅黑"/>
          <w:color w:val="000000" w:themeColor="text1"/>
          <w:kern w:val="0"/>
          <w:sz w:val="24"/>
          <w:szCs w:val="24"/>
          <w14:textFill>
            <w14:solidFill>
              <w14:schemeClr w14:val="tx1"/>
            </w14:solidFill>
          </w14:textFill>
        </w:rPr>
        <w:t>小时。</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3、如遇特殊情况，在甲方要求下，当乙方员工（含临勤）的工作时长超出规定的</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排班时间的</w:t>
      </w: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经甲方确认后，</w:t>
      </w:r>
      <w:r>
        <w:rPr>
          <w:rFonts w:hint="eastAsia" w:ascii="微软雅黑" w:hAnsi="微软雅黑" w:eastAsia="微软雅黑" w:cs="微软雅黑"/>
          <w:color w:val="000000" w:themeColor="text1"/>
          <w:kern w:val="0"/>
          <w:sz w:val="24"/>
          <w:szCs w:val="24"/>
          <w14:textFill>
            <w14:solidFill>
              <w14:schemeClr w14:val="tx1"/>
            </w14:solidFill>
          </w14:textFill>
        </w:rPr>
        <w:t>甲方应按</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相应人员的</w:t>
      </w:r>
      <w:r>
        <w:rPr>
          <w:rFonts w:hint="eastAsia" w:ascii="微软雅黑" w:hAnsi="微软雅黑" w:eastAsia="微软雅黑" w:cs="微软雅黑"/>
          <w:color w:val="000000" w:themeColor="text1"/>
          <w:kern w:val="0"/>
          <w:sz w:val="24"/>
          <w:szCs w:val="24"/>
          <w14:textFill>
            <w14:solidFill>
              <w14:schemeClr w14:val="tx1"/>
            </w14:solidFill>
          </w14:textFill>
        </w:rPr>
        <w:t>超时时数支付乙方加班</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服务</w:t>
      </w:r>
      <w:r>
        <w:rPr>
          <w:rFonts w:hint="eastAsia" w:ascii="微软雅黑" w:hAnsi="微软雅黑" w:eastAsia="微软雅黑" w:cs="微软雅黑"/>
          <w:color w:val="000000" w:themeColor="text1"/>
          <w:kern w:val="0"/>
          <w:sz w:val="24"/>
          <w:szCs w:val="24"/>
          <w14:textFill>
            <w14:solidFill>
              <w14:schemeClr w14:val="tx1"/>
            </w14:solidFill>
          </w14:textFill>
        </w:rPr>
        <w:t>费用。（加班</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服务</w:t>
      </w:r>
      <w:r>
        <w:rPr>
          <w:rFonts w:hint="eastAsia" w:ascii="微软雅黑" w:hAnsi="微软雅黑" w:eastAsia="微软雅黑" w:cs="微软雅黑"/>
          <w:color w:val="000000" w:themeColor="text1"/>
          <w:kern w:val="0"/>
          <w:sz w:val="24"/>
          <w:szCs w:val="24"/>
          <w14:textFill>
            <w14:solidFill>
              <w14:schemeClr w14:val="tx1"/>
            </w14:solidFill>
          </w14:textFill>
        </w:rPr>
        <w:t>费金额分别以长保人员、临勤人员各自的服务费基数进行核算）。</w:t>
      </w:r>
    </w:p>
    <w:p>
      <w:pPr>
        <w:spacing w:line="360" w:lineRule="auto"/>
        <w:jc w:val="left"/>
        <w:rPr>
          <w:rFonts w:hint="eastAsia" w:ascii="微软雅黑" w:hAnsi="微软雅黑" w:eastAsia="微软雅黑" w:cs="微软雅黑"/>
          <w:b/>
          <w:bCs/>
          <w:color w:val="000000" w:themeColor="text1"/>
          <w:kern w:val="0"/>
          <w:sz w:val="24"/>
          <w:szCs w:val="24"/>
          <w:lang w:eastAsia="zh-CN"/>
          <w14:textFill>
            <w14:solidFill>
              <w14:schemeClr w14:val="tx1"/>
            </w14:solidFill>
          </w14:textFill>
        </w:rPr>
      </w:pPr>
      <w:r>
        <w:rPr>
          <w:rFonts w:hint="eastAsia" w:ascii="微软雅黑" w:hAnsi="微软雅黑" w:eastAsia="微软雅黑" w:cs="微软雅黑"/>
          <w:b/>
          <w:bCs/>
          <w:color w:val="000000" w:themeColor="text1"/>
          <w:kern w:val="0"/>
          <w:sz w:val="24"/>
          <w:szCs w:val="24"/>
          <w:lang w:eastAsia="zh-CN"/>
          <w14:textFill>
            <w14:solidFill>
              <w14:schemeClr w14:val="tx1"/>
            </w14:solidFill>
          </w14:textFill>
        </w:rPr>
        <w:t>四</w:t>
      </w:r>
      <w:r>
        <w:rPr>
          <w:rFonts w:hint="eastAsia" w:ascii="微软雅黑" w:hAnsi="微软雅黑" w:eastAsia="微软雅黑" w:cs="微软雅黑"/>
          <w:b/>
          <w:bCs/>
          <w:color w:val="000000" w:themeColor="text1"/>
          <w:kern w:val="0"/>
          <w:sz w:val="24"/>
          <w:szCs w:val="24"/>
          <w14:textFill>
            <w14:solidFill>
              <w14:schemeClr w14:val="tx1"/>
            </w14:solidFill>
          </w14:textFill>
        </w:rPr>
        <w:t>、</w:t>
      </w:r>
      <w:r>
        <w:rPr>
          <w:rFonts w:hint="eastAsia" w:ascii="微软雅黑" w:hAnsi="微软雅黑" w:eastAsia="微软雅黑" w:cs="微软雅黑"/>
          <w:b/>
          <w:bCs/>
          <w:color w:val="000000" w:themeColor="text1"/>
          <w:kern w:val="0"/>
          <w:sz w:val="24"/>
          <w:szCs w:val="24"/>
          <w:lang w:eastAsia="zh-CN"/>
          <w14:textFill>
            <w14:solidFill>
              <w14:schemeClr w14:val="tx1"/>
            </w14:solidFill>
          </w14:textFill>
        </w:rPr>
        <w:t>结算方式</w:t>
      </w:r>
    </w:p>
    <w:p>
      <w:pPr>
        <w:pStyle w:val="2"/>
        <w:ind w:firstLine="480" w:firstLineChars="200"/>
        <w:rPr>
          <w:rFonts w:hint="eastAsia" w:ascii="微软雅黑" w:hAnsi="微软雅黑" w:eastAsia="微软雅黑" w:cs="微软雅黑"/>
          <w:b w:val="0"/>
          <w:bCs w:val="0"/>
          <w:highlight w:val="none"/>
        </w:rPr>
      </w:pPr>
      <w:r>
        <w:rPr>
          <w:rFonts w:hint="eastAsia" w:ascii="微软雅黑" w:hAnsi="微软雅黑" w:eastAsia="微软雅黑" w:cs="微软雅黑"/>
          <w:b w:val="0"/>
          <w:bCs w:val="0"/>
          <w:highlight w:val="none"/>
        </w:rPr>
        <w:t>1、预付款，自合同签订后，达到付款条件起15个工作日内，支付合同总金额的55.0%;</w:t>
      </w:r>
    </w:p>
    <w:p>
      <w:pPr>
        <w:pStyle w:val="2"/>
        <w:ind w:firstLine="480" w:firstLineChars="200"/>
        <w:rPr>
          <w:rFonts w:hint="eastAsia" w:ascii="微软雅黑" w:hAnsi="微软雅黑" w:eastAsia="微软雅黑" w:cs="微软雅黑"/>
          <w:b w:val="0"/>
          <w:bCs w:val="0"/>
          <w:highlight w:val="none"/>
        </w:rPr>
      </w:pPr>
      <w:r>
        <w:rPr>
          <w:rFonts w:hint="eastAsia" w:ascii="微软雅黑" w:hAnsi="微软雅黑" w:eastAsia="微软雅黑" w:cs="微软雅黑"/>
          <w:b w:val="0"/>
          <w:bCs w:val="0"/>
          <w:highlight w:val="none"/>
        </w:rPr>
        <w:t>2、进度款，合同执行五个月后甲方启动第二笔付款手续，达到付款条件起15个工作日内，支付合同总金额的45.0%；</w:t>
      </w:r>
    </w:p>
    <w:p>
      <w:pPr>
        <w:pStyle w:val="2"/>
        <w:ind w:firstLine="480" w:firstLineChars="200"/>
        <w:rPr>
          <w:rFonts w:hint="eastAsia" w:ascii="微软雅黑" w:hAnsi="微软雅黑" w:eastAsia="微软雅黑" w:cs="微软雅黑"/>
          <w:b w:val="0"/>
          <w:bCs w:val="0"/>
          <w:highlight w:val="none"/>
        </w:rPr>
      </w:pPr>
      <w:r>
        <w:rPr>
          <w:rFonts w:hint="eastAsia" w:ascii="微软雅黑" w:hAnsi="微软雅黑" w:eastAsia="微软雅黑" w:cs="微软雅黑"/>
          <w:b w:val="0"/>
          <w:bCs w:val="0"/>
          <w:highlight w:val="none"/>
        </w:rPr>
        <w:t>3.结算方式：银行转账。</w:t>
      </w:r>
    </w:p>
    <w:p>
      <w:pPr>
        <w:pStyle w:val="2"/>
        <w:ind w:firstLine="480" w:firstLineChars="200"/>
        <w:rPr>
          <w:rFonts w:hint="eastAsia" w:ascii="微软雅黑" w:hAnsi="微软雅黑" w:eastAsia="微软雅黑" w:cs="微软雅黑"/>
          <w:b w:val="0"/>
          <w:bCs w:val="0"/>
          <w:highlight w:val="none"/>
        </w:rPr>
      </w:pPr>
      <w:r>
        <w:rPr>
          <w:rFonts w:hint="eastAsia" w:ascii="微软雅黑" w:hAnsi="微软雅黑" w:eastAsia="微软雅黑" w:cs="微软雅黑"/>
          <w:b w:val="0"/>
          <w:bCs w:val="0"/>
          <w:highlight w:val="none"/>
        </w:rPr>
        <w:t>4.结算单位：由采购人负责结算，供应商开具结算金额的全额发票交采购人。</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甲方开票信息如下：</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公司名称：</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税    号：</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地    址：</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电    话：</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账    号：</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开户行：</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乙方账户信息如下：</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账户名称：</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账    号：</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开 户 行：</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四、甲方权利义务</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1、有权对合同执行的全过程进行监督管理。</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2、有权定期成不定期考核乙方保安人员的出勤、在岗、仪容仪表、执勤装备携带及工作职责履行情况，并制作书面记录，作为考核乙方工作的依据。</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3、有权根据实际需要安排或调整乙方保安人员的工作岗位和工作内容，但不得要求乙方保安队员从事与保安服务工作无关或违法违纪的事情。</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4、甲方应按合同约定向乙方支付保安服务费，遇重大节假日可以顺延，但不得无故拖欠。</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5、负责协调甲方内部各部门，为乙方的保安服务工作提供便利条件。</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6、每月安保人员需固定，离职率不得超过人数百分之十。</w:t>
      </w:r>
    </w:p>
    <w:p>
      <w:pPr>
        <w:spacing w:line="360" w:lineRule="auto"/>
        <w:ind w:firstLine="480" w:firstLineChars="200"/>
        <w:jc w:val="left"/>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7、</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乙方委派人员需保证人证合一，不得有违法犯罪记录。合作期间，甲方有权要求乙方更换不符合甲方服务要求的人员，乙方应按甲方要求予以调整。</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五、乙方权利义务</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1、乙方的工作目标：零发案、无事故、秩序良好，提供服务现场安全保障，符合甲方需求。</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kern w:val="0"/>
          <w:sz w:val="24"/>
          <w:szCs w:val="24"/>
          <w14:textFill>
            <w14:solidFill>
              <w14:schemeClr w14:val="tx1"/>
            </w14:solidFill>
          </w14:textFill>
        </w:rPr>
        <w:t>、乙方在合法履行约定的情况下有权要求甲方按合同约定按时支付保安服务费。未经甲方事前书面同意，乙方不得以任何方式将其承接工作分包、转包给第三方。否则甲方有权单方解约，并要求乙方承担合同价款30%的违约金；违约金不足以弥补甲方损失的，乙方应另行赔付：且乙方应对第三方的工作内容承担连带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3</w:t>
      </w:r>
      <w:r>
        <w:rPr>
          <w:rFonts w:hint="eastAsia" w:ascii="微软雅黑" w:hAnsi="微软雅黑" w:eastAsia="微软雅黑" w:cs="微软雅黑"/>
          <w:color w:val="000000" w:themeColor="text1"/>
          <w:kern w:val="0"/>
          <w:sz w:val="24"/>
          <w:szCs w:val="24"/>
          <w14:textFill>
            <w14:solidFill>
              <w14:schemeClr w14:val="tx1"/>
            </w14:solidFill>
          </w14:textFill>
        </w:rPr>
        <w:t>、乙方人员不得迟到、早退、脱岗或缺岗，每发生一次，甲方扣除涉及人次当日保安费作为违约金，且视为考核不合格一次。</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4</w:t>
      </w:r>
      <w:r>
        <w:rPr>
          <w:rFonts w:hint="eastAsia" w:ascii="微软雅黑" w:hAnsi="微软雅黑" w:eastAsia="微软雅黑" w:cs="微软雅黑"/>
          <w:color w:val="000000" w:themeColor="text1"/>
          <w:kern w:val="0"/>
          <w:sz w:val="24"/>
          <w:szCs w:val="24"/>
          <w14:textFill>
            <w14:solidFill>
              <w14:schemeClr w14:val="tx1"/>
            </w14:solidFill>
          </w14:textFill>
        </w:rPr>
        <w:t>、乙方保证合法、合规履行合同约定，不侵犯任何第三方合法权益。为维护甲方合法权益，超出乙方权限范畴的，乙方有权要求甲方在其能力范围内为乙方协调解决遇到的困难及问题。</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5</w:t>
      </w:r>
      <w:r>
        <w:rPr>
          <w:rFonts w:hint="eastAsia" w:ascii="微软雅黑" w:hAnsi="微软雅黑" w:eastAsia="微软雅黑" w:cs="微软雅黑"/>
          <w:color w:val="000000" w:themeColor="text1"/>
          <w:kern w:val="0"/>
          <w:sz w:val="24"/>
          <w:szCs w:val="24"/>
          <w14:textFill>
            <w14:solidFill>
              <w14:schemeClr w14:val="tx1"/>
            </w14:solidFill>
          </w14:textFill>
        </w:rPr>
        <w:t>、乙方实行项目经理负责制，由项目经理负责保安服务工作的具体实施与监督管理，并强化与甲方的联系与沟通。</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6</w:t>
      </w:r>
      <w:r>
        <w:rPr>
          <w:rFonts w:hint="eastAsia" w:ascii="微软雅黑" w:hAnsi="微软雅黑" w:eastAsia="微软雅黑" w:cs="微软雅黑"/>
          <w:color w:val="000000" w:themeColor="text1"/>
          <w:kern w:val="0"/>
          <w:sz w:val="24"/>
          <w:szCs w:val="24"/>
          <w14:textFill>
            <w14:solidFill>
              <w14:schemeClr w14:val="tx1"/>
            </w14:solidFill>
          </w14:textFill>
        </w:rPr>
        <w:t>、乙方保证诚信履约，不以任何方式侵害甲方合法权益或谋取不当收益。否则，即使本合同终止履行，乙方行为损害甲方权益的，甲方有权按照本合同总价的30%向乙方主张违约金并要求乙方赔偿全部损失的同时追回乙方所得收益。</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7</w:t>
      </w:r>
      <w:r>
        <w:rPr>
          <w:rFonts w:hint="eastAsia" w:ascii="微软雅黑" w:hAnsi="微软雅黑" w:eastAsia="微软雅黑" w:cs="微软雅黑"/>
          <w:color w:val="000000" w:themeColor="text1"/>
          <w:kern w:val="0"/>
          <w:sz w:val="24"/>
          <w:szCs w:val="24"/>
          <w14:textFill>
            <w14:solidFill>
              <w14:schemeClr w14:val="tx1"/>
            </w14:solidFill>
          </w14:textFill>
        </w:rPr>
        <w:t>、乙方对于甲方提出的工作整改要求，乙方必须在48小时内提供解决方案。对于紧急的要求，必须立即作出反馈。</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8</w:t>
      </w:r>
      <w:r>
        <w:rPr>
          <w:rFonts w:hint="eastAsia" w:ascii="微软雅黑" w:hAnsi="微软雅黑" w:eastAsia="微软雅黑" w:cs="微软雅黑"/>
          <w:color w:val="000000" w:themeColor="text1"/>
          <w:kern w:val="0"/>
          <w:sz w:val="24"/>
          <w:szCs w:val="24"/>
          <w14:textFill>
            <w14:solidFill>
              <w14:schemeClr w14:val="tx1"/>
            </w14:solidFill>
          </w14:textFill>
        </w:rPr>
        <w:t>、乙方人员进入甲方场所作业的，必须按照要求统一穿戴工作制服及劳动保护用品，严格执行安全作业规程，不得携带或帮助无关人员进入甲方场所。</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9</w:t>
      </w:r>
      <w:r>
        <w:rPr>
          <w:rFonts w:hint="eastAsia" w:ascii="微软雅黑" w:hAnsi="微软雅黑" w:eastAsia="微软雅黑" w:cs="微软雅黑"/>
          <w:color w:val="000000" w:themeColor="text1"/>
          <w:kern w:val="0"/>
          <w:sz w:val="24"/>
          <w:szCs w:val="24"/>
          <w14:textFill>
            <w14:solidFill>
              <w14:schemeClr w14:val="tx1"/>
            </w14:solidFill>
          </w14:textFill>
        </w:rPr>
        <w:t>、乙方及乙方人员不得以甲方或甲方职工的名义活动。</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0</w:t>
      </w:r>
      <w:r>
        <w:rPr>
          <w:rFonts w:hint="eastAsia" w:ascii="微软雅黑" w:hAnsi="微软雅黑" w:eastAsia="微软雅黑" w:cs="微软雅黑"/>
          <w:color w:val="000000" w:themeColor="text1"/>
          <w:kern w:val="0"/>
          <w:sz w:val="24"/>
          <w:szCs w:val="24"/>
          <w14:textFill>
            <w14:solidFill>
              <w14:schemeClr w14:val="tx1"/>
            </w14:solidFill>
          </w14:textFill>
        </w:rPr>
        <w:t>、乙方不得将甲方提供的设备（如有）用于本合同目的以外的用途。</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kern w:val="0"/>
          <w:sz w:val="24"/>
          <w:szCs w:val="24"/>
          <w14:textFill>
            <w14:solidFill>
              <w14:schemeClr w14:val="tx1"/>
            </w14:solidFill>
          </w14:textFill>
        </w:rPr>
        <w:t>、乙方保证向甲方提供的所有材料真实有效。</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kern w:val="0"/>
          <w:sz w:val="24"/>
          <w:szCs w:val="24"/>
          <w14:textFill>
            <w14:solidFill>
              <w14:schemeClr w14:val="tx1"/>
            </w14:solidFill>
          </w14:textFill>
        </w:rPr>
        <w:t>、无论因何种原因双方解除或终止合同的，乙方应于3日内完成全部设备与人员的撤场工作，并与甲方人员进行交接以使甲方正常进行后续安保与生产工作。如乙方认为双方存在争议，则应另外主张权利，不应以此为由拒绝撤场。</w:t>
      </w:r>
    </w:p>
    <w:p>
      <w:pPr>
        <w:spacing w:line="360" w:lineRule="auto"/>
        <w:ind w:firstLine="480" w:firstLineChars="200"/>
        <w:jc w:val="left"/>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13、乙方服务过程中造成的自身的人身或财产损害，应由乙方自行承担全部</w:t>
      </w:r>
    </w:p>
    <w:p>
      <w:pPr>
        <w:spacing w:line="360" w:lineRule="auto"/>
        <w:jc w:val="left"/>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责任。</w:t>
      </w:r>
    </w:p>
    <w:p>
      <w:pPr>
        <w:spacing w:line="360" w:lineRule="auto"/>
        <w:jc w:val="left"/>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14、乙方及乙方人员应当遵守甲方项目的管理制度，本合同附件以及甲方就长安十二时辰所公示的管理制度，同样构成合同组成部分，与合同主文具有同等效力。</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六、关于各方关系的特别声明</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1、各方确认：</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(1)甲乙双方不建立劳务派遣关系或类似关系，乙方应向其员工承担用人单位的全部责任。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(2)甲方不对乙方员工承担任何用人单位或劳务派遣用工单位的责任。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(3)无论因任何原因导致甲方向乙方员工或雇员承担任何责任的，甲方有权向乙方追偿。</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2、乙方应与其员工签署劳动合同，依法缴纳社会保险，对员工承担用人单位的全部法定责任。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3、如因服务需要，乙方</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保安</w:t>
      </w:r>
      <w:r>
        <w:rPr>
          <w:rFonts w:hint="eastAsia" w:ascii="微软雅黑" w:hAnsi="微软雅黑" w:eastAsia="微软雅黑" w:cs="微软雅黑"/>
          <w:color w:val="000000" w:themeColor="text1"/>
          <w:kern w:val="0"/>
          <w:sz w:val="24"/>
          <w:szCs w:val="24"/>
          <w14:textFill>
            <w14:solidFill>
              <w14:schemeClr w14:val="tx1"/>
            </w14:solidFill>
          </w14:textFill>
        </w:rPr>
        <w:t>人员需要使用甲方提供的工作服装、员工卡等，均不能作为乙方</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保安</w:t>
      </w:r>
      <w:r>
        <w:rPr>
          <w:rFonts w:hint="eastAsia" w:ascii="微软雅黑" w:hAnsi="微软雅黑" w:eastAsia="微软雅黑" w:cs="微软雅黑"/>
          <w:color w:val="000000" w:themeColor="text1"/>
          <w:kern w:val="0"/>
          <w:sz w:val="24"/>
          <w:szCs w:val="24"/>
          <w14:textFill>
            <w14:solidFill>
              <w14:schemeClr w14:val="tx1"/>
            </w14:solidFill>
          </w14:textFill>
        </w:rPr>
        <w:t>人员与甲方建立劳动关系或用工管理的依据。</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4、乙方应向其员工明确告知甲方与乙方员工无劳动关系或劳务派遣关系，不得向甲方主张用人单位或用工单位、雇主的责任。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5、甲乙双方不构成代理关系，乙方不得以甲方名义对外签署或发布任何文件、制度等。</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七、违约责任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合作期内，甲方享有单方解除权，有权在提前30日通知乙方后，单方解除本合同。</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合同履行期间，若由于乙方保安人员失职、渎职对甲方或任意第三方造成损害的，乙方应承担损害赔偿责任。该损害包括但不限于经济损失、人身损害和商誉损害。甲方有权视乙方保安人员造成损害的情节决定是否解除合同，乙方对此无异议。</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合同履行期间，甲方有权根据合同约定对乙方进行考核。若考核不合格的次数达到或超过3次的，甲方有权解除合同，不再支付任何费用。同时，乙方应向甲方支付第三条约定的一个月保安服务费作为违约金，若不足以弥补甲方损失的，乙方另应补足。</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4、合同履行期间，若由于乙方保安人员违反操作规范造成收费设备损坏或甲方其他损失的，乙方应承担赔偿责任。</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5、乙方违约拒绝撤场，</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每延迟一天，乙方应按人民币（大写）</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w:t>
      </w: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u w:val="single"/>
          <w:lang w:val="en-US" w:eastAsia="zh-CN"/>
          <w14:textFill>
            <w14:solidFill>
              <w14:schemeClr w14:val="tx1"/>
            </w14:solidFill>
          </w14:textFill>
        </w:rPr>
        <w:t>/</w:t>
      </w:r>
      <w:r>
        <w:rPr>
          <w:rFonts w:hint="eastAsia" w:ascii="微软雅黑" w:hAnsi="微软雅黑" w:eastAsia="微软雅黑" w:cs="微软雅黑"/>
          <w:color w:val="000000" w:themeColor="text1"/>
          <w:kern w:val="0"/>
          <w:sz w:val="24"/>
          <w:szCs w:val="24"/>
          <w14:textFill>
            <w14:solidFill>
              <w14:schemeClr w14:val="tx1"/>
            </w14:solidFill>
          </w14:textFill>
        </w:rPr>
        <w:t>元)向甲方支付违约金</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造成甲方损失的，还应赔偿甲方因此所受到的损失</w:t>
      </w:r>
      <w:r>
        <w:rPr>
          <w:rFonts w:hint="eastAsia" w:ascii="微软雅黑" w:hAnsi="微软雅黑" w:eastAsia="微软雅黑" w:cs="微软雅黑"/>
          <w:color w:val="000000" w:themeColor="text1"/>
          <w:kern w:val="0"/>
          <w:sz w:val="24"/>
          <w:szCs w:val="24"/>
          <w14:textFill>
            <w14:solidFill>
              <w14:schemeClr w14:val="tx1"/>
            </w14:solidFill>
          </w14:textFill>
        </w:rPr>
        <w:t>。</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6、双方必须合法、诚信履约，任何一方出现欺诈或其他违法、违规行为牵连另一方遭受行政、司法处罚或其他形式损失的，该方同意承担受损害一方遭受的全部损失以及为解决争议支付的全部费用，包括但不限于调查费、差旅费、公证费、律师费等。</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7、乙方提供的服务违法或侵犯他人权益的，乙方应自行承担相应责任，甲方因此收到损失的，乙方应赔偿甲方全部损失，包括但不限于甲方因此支出的罚款、向他人做出的赔偿、诉讼费用、保全费用、律师费用等。</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八、保密</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1、乙方因履行本合同或在本合同期间知悉的或收到的甲力的商务、技术、产品的信息、用户资料或其他标明保密的文件或密，未经甲方事先书面同意，不得向本合同以外的任何第三方披露。</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2、本合同解除或终止后，乙方仍需遵守本条约定的保密义务。</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九、不可抗力</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若因不可抗力使任意一方无法履行合同约定的义务的，双方互不担任何责任。但遭遇不可抗力的一方应立即通知对方，并采取必要措施降低不可抗力造成的损害。</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十、争议解决</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甲乙双方在本合同履行过程中发生争议时，应首先协商解决，协商不成的，双方均有权向甲方所在地有管辖权的人民法院提起诉讼。</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十一、送达</w:t>
      </w:r>
    </w:p>
    <w:p>
      <w:pPr>
        <w:spacing w:line="360" w:lineRule="auto"/>
        <w:ind w:firstLine="480" w:firstLineChars="20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双方在本合同中预留的联系方式同时作为相关往来文件、通知及有效司法送达地址。一方变更联系方式，应及时通知对方；否则，该联方式仍视为有效，由未通知方承担由此而引起的相关责任。</w:t>
      </w:r>
    </w:p>
    <w:p>
      <w:pPr>
        <w:spacing w:line="360" w:lineRule="auto"/>
        <w:jc w:val="left"/>
        <w:rPr>
          <w:rFonts w:hint="eastAsia" w:ascii="微软雅黑" w:hAnsi="微软雅黑" w:eastAsia="微软雅黑" w:cs="微软雅黑"/>
          <w:b/>
          <w:bCs/>
          <w:color w:val="000000" w:themeColor="text1"/>
          <w:kern w:val="0"/>
          <w:sz w:val="24"/>
          <w:szCs w:val="24"/>
          <w14:textFill>
            <w14:solidFill>
              <w14:schemeClr w14:val="tx1"/>
            </w14:solidFill>
          </w14:textFill>
        </w:rPr>
      </w:pPr>
      <w:r>
        <w:rPr>
          <w:rFonts w:hint="eastAsia" w:ascii="微软雅黑" w:hAnsi="微软雅黑" w:eastAsia="微软雅黑" w:cs="微软雅黑"/>
          <w:b/>
          <w:bCs/>
          <w:color w:val="000000" w:themeColor="text1"/>
          <w:kern w:val="0"/>
          <w:sz w:val="24"/>
          <w:szCs w:val="24"/>
          <w14:textFill>
            <w14:solidFill>
              <w14:schemeClr w14:val="tx1"/>
            </w14:solidFill>
          </w14:textFill>
        </w:rPr>
        <w:t>十二、其他</w:t>
      </w:r>
    </w:p>
    <w:p>
      <w:pPr>
        <w:spacing w:line="360" w:lineRule="auto"/>
        <w:ind w:firstLine="480"/>
        <w:jc w:val="left"/>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1、本合同如有未尽事宜，双方可另行协商并签订补充协议予以确定。补充协议与本合同具有同等法律效力：补充协议与本合同存在冲突的，以补充协议所载内容为准。</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2、本合同一式肆份，甲</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方执叁份，</w:t>
      </w:r>
      <w:r>
        <w:rPr>
          <w:rFonts w:hint="eastAsia" w:ascii="微软雅黑" w:hAnsi="微软雅黑" w:eastAsia="微软雅黑" w:cs="微软雅黑"/>
          <w:color w:val="000000" w:themeColor="text1"/>
          <w:kern w:val="0"/>
          <w:sz w:val="24"/>
          <w:szCs w:val="24"/>
          <w14:textFill>
            <w14:solidFill>
              <w14:schemeClr w14:val="tx1"/>
            </w14:solidFill>
          </w14:textFill>
        </w:rPr>
        <w:t>乙</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方执壹份。</w:t>
      </w:r>
      <w:r>
        <w:rPr>
          <w:rFonts w:hint="eastAsia" w:ascii="微软雅黑" w:hAnsi="微软雅黑" w:eastAsia="微软雅黑" w:cs="微软雅黑"/>
          <w:color w:val="000000" w:themeColor="text1"/>
          <w:kern w:val="0"/>
          <w:sz w:val="24"/>
          <w:szCs w:val="24"/>
          <w14:textFill>
            <w14:solidFill>
              <w14:schemeClr w14:val="tx1"/>
            </w14:solidFill>
          </w14:textFill>
        </w:rPr>
        <w:t>经双方法定代表人或授权代表签字盖章或直接盖章后生效。</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3、本合同项下附件为本合同的组成部分。</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（以下无正文）</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甲方：（章）                                乙方：（章）</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法定代表人：                                法定代表人：     </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或授权代表：                                或授权代表：</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地址：                                      地址：</w:t>
      </w:r>
    </w:p>
    <w:p>
      <w:pPr>
        <w:spacing w:line="360" w:lineRule="auto"/>
        <w:ind w:firstLine="480"/>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电话：                                      电话：</w:t>
      </w:r>
    </w:p>
    <w:p>
      <w:pPr>
        <w:spacing w:line="360" w:lineRule="auto"/>
        <w:ind w:firstLine="480"/>
        <w:rPr>
          <w:rFonts w:hint="eastAsia" w:ascii="微软雅黑" w:hAnsi="微软雅黑" w:eastAsia="微软雅黑" w:cs="微软雅黑"/>
          <w:color w:val="000000" w:themeColor="text1"/>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签订日期：                                  签订日期：</w:t>
      </w:r>
    </w:p>
    <w:p>
      <w:pPr>
        <w:spacing w:line="360" w:lineRule="auto"/>
        <w:ind w:firstLine="480"/>
        <w:rPr>
          <w:rFonts w:hint="eastAsia" w:ascii="微软雅黑" w:hAnsi="微软雅黑" w:eastAsia="微软雅黑" w:cs="微软雅黑"/>
          <w:color w:val="000000" w:themeColor="text1"/>
          <w14:textFill>
            <w14:solidFill>
              <w14:schemeClr w14:val="tx1"/>
            </w14:solidFill>
          </w14:textFill>
        </w:rPr>
      </w:pPr>
    </w:p>
    <w:p>
      <w:pPr>
        <w:spacing w:line="360" w:lineRule="auto"/>
        <w:ind w:firstLine="480"/>
        <w:rPr>
          <w:rFonts w:hint="eastAsia" w:ascii="微软雅黑" w:hAnsi="微软雅黑" w:eastAsia="微软雅黑" w:cs="微软雅黑"/>
          <w:color w:val="000000" w:themeColor="text1"/>
          <w14:textFill>
            <w14:solidFill>
              <w14:schemeClr w14:val="tx1"/>
            </w14:solidFill>
          </w14:textFill>
        </w:rPr>
      </w:pPr>
    </w:p>
    <w:p>
      <w:pPr>
        <w:spacing w:line="360" w:lineRule="auto"/>
        <w:rPr>
          <w:rFonts w:hint="eastAsia" w:ascii="微软雅黑" w:hAnsi="微软雅黑" w:eastAsia="微软雅黑" w:cs="微软雅黑"/>
          <w:color w:val="000000" w:themeColor="text1"/>
          <w14:textFill>
            <w14:solidFill>
              <w14:schemeClr w14:val="tx1"/>
            </w14:solidFill>
          </w14:textFill>
        </w:rPr>
      </w:pPr>
    </w:p>
    <w:p>
      <w:pPr>
        <w:rPr>
          <w:rFonts w:hint="eastAsia" w:ascii="微软雅黑" w:hAnsi="微软雅黑" w:eastAsia="微软雅黑" w:cs="微软雅黑"/>
        </w:rPr>
      </w:pPr>
    </w:p>
    <w:p>
      <w:pPr>
        <w:rPr>
          <w:rFonts w:hint="eastAsia" w:ascii="微软雅黑" w:hAnsi="微软雅黑" w:eastAsia="微软雅黑" w:cs="微软雅黑"/>
        </w:rPr>
      </w:pP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151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character" w:default="1" w:styleId="9">
    <w:name w:val="Default Paragraph Font"/>
    <w:semiHidden/>
    <w:qFormat/>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Body Text"/>
    <w:basedOn w:val="1"/>
    <w:next w:val="1"/>
    <w:qFormat/>
    <w:uiPriority w:val="99"/>
    <w:pPr>
      <w:spacing w:line="360" w:lineRule="auto"/>
    </w:pPr>
    <w:rPr>
      <w:rFonts w:ascii="Tahoma" w:hAnsi="Tahoma"/>
    </w:rPr>
  </w:style>
  <w:style w:type="paragraph" w:styleId="5">
    <w:name w:val="List 2"/>
    <w:basedOn w:val="1"/>
    <w:unhideWhenUsed/>
    <w:qFormat/>
    <w:uiPriority w:val="99"/>
    <w:pPr>
      <w:ind w:left="100" w:leftChars="200" w:hanging="200" w:hangingChars="200"/>
      <w:contextualSpacing/>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2026-06-11T06:09:01Z</dcterms:created>
  <dc:creator>Administrator</dc:creator>
  <cp:lastModifiedBy>Administrator</cp:lastModifiedBy>
  <dcterms:modified xsi:type="dcterms:W3CDTF">2026-06-11T06:09:28Z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