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版本号：ZCBN-鄠邑区-2026-0022620260716001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鄠邑区甘峪河甘峪沟段水毁修复工程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ZCBN-鄠邑区-2026-00226</w:t>
      </w:r>
      <w:r>
        <w:br/>
      </w:r>
      <w:r>
        <w:br/>
      </w:r>
      <w:r>
        <w:br/>
      </w:r>
    </w:p>
    <w:p>
      <w:pPr>
        <w:pStyle w:val="null3"/>
        <w:jc w:val="center"/>
        <w:outlineLvl w:val="2"/>
      </w:pPr>
      <w:r>
        <w:rPr>
          <w:rFonts w:ascii="仿宋_GB2312" w:hAnsi="仿宋_GB2312" w:cs="仿宋_GB2312" w:eastAsia="仿宋_GB2312"/>
          <w:sz w:val="28"/>
          <w:b/>
        </w:rPr>
        <w:t>西安市鄠邑区甘峪水库管理站</w:t>
      </w:r>
    </w:p>
    <w:p>
      <w:pPr>
        <w:pStyle w:val="null3"/>
        <w:jc w:val="center"/>
        <w:outlineLvl w:val="2"/>
      </w:pPr>
      <w:r>
        <w:rPr>
          <w:rFonts w:ascii="仿宋_GB2312" w:hAnsi="仿宋_GB2312" w:cs="仿宋_GB2312" w:eastAsia="仿宋_GB2312"/>
          <w:sz w:val="28"/>
          <w:b/>
        </w:rPr>
        <w:t>知含国际工程咨询有限公司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知含国际工程咨询有限公司</w:t>
      </w:r>
      <w:r>
        <w:rPr>
          <w:rFonts w:ascii="仿宋_GB2312" w:hAnsi="仿宋_GB2312" w:cs="仿宋_GB2312" w:eastAsia="仿宋_GB2312"/>
        </w:rPr>
        <w:t>（以下简称“代理机构”）受</w:t>
      </w:r>
      <w:r>
        <w:rPr>
          <w:rFonts w:ascii="仿宋_GB2312" w:hAnsi="仿宋_GB2312" w:cs="仿宋_GB2312" w:eastAsia="仿宋_GB2312"/>
        </w:rPr>
        <w:t>西安市鄠邑区甘峪水库管理站</w:t>
      </w:r>
      <w:r>
        <w:rPr>
          <w:rFonts w:ascii="仿宋_GB2312" w:hAnsi="仿宋_GB2312" w:cs="仿宋_GB2312" w:eastAsia="仿宋_GB2312"/>
        </w:rPr>
        <w:t>委托，拟对</w:t>
      </w:r>
      <w:r>
        <w:rPr>
          <w:rFonts w:ascii="仿宋_GB2312" w:hAnsi="仿宋_GB2312" w:cs="仿宋_GB2312" w:eastAsia="仿宋_GB2312"/>
        </w:rPr>
        <w:t>鄠邑区甘峪河甘峪沟段水毁修复工程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ZCBN-鄠邑区-2026-00226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鄠邑区甘峪河甘峪沟段水毁修复工程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主要建设内容为:新建护岸总长度 83m，其中：水毁点1新建左岸护岸浆砌石挡墙23m，水毁点2新建右岸护岸浆砌石挡墙30m，水毁点3新建右岸护岸浆砌石挡墙30m。挡墙顶宽0.5m，挡墙迎水面坡比为1:0，挡墙背水面坡比为1:0.4，挡墙高度3.7~4.5m。设计挡墙岸顶高程基本与现状路面齐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采购包1（鄠邑区甘峪河甘峪沟段水毁修复工程）：属于专门面向中小企业采购。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1、有效的主体资格证明：供应商应具有独立承担民事责任的能力的法人、其他组织或自然人，并出具合法有效的营业执照等国家规定的相关证明，自然人参与的提供其身份证明书。</w:t>
      </w:r>
    </w:p>
    <w:p>
      <w:pPr>
        <w:pStyle w:val="null3"/>
      </w:pPr>
      <w:r>
        <w:rPr>
          <w:rFonts w:ascii="仿宋_GB2312" w:hAnsi="仿宋_GB2312" w:cs="仿宋_GB2312" w:eastAsia="仿宋_GB2312"/>
        </w:rPr>
        <w:t>2、财务状况报告：提供2025年度经审计的财务会计报告（包括“四表一注”，即资产负债表、利润表、现金流量表、所有者权益变动表及其附注，成立时间至提交投标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3、缴纳税收：提供磋商截止日前一年内已缴纳的至少一个月的纳税证明或完税证明，依法免税的单位应提供相关证明材料。</w:t>
      </w:r>
    </w:p>
    <w:p>
      <w:pPr>
        <w:pStyle w:val="null3"/>
      </w:pPr>
      <w:r>
        <w:rPr>
          <w:rFonts w:ascii="仿宋_GB2312" w:hAnsi="仿宋_GB2312" w:cs="仿宋_GB2312" w:eastAsia="仿宋_GB2312"/>
        </w:rPr>
        <w:t>4、社会保障资金缴纳证明：提供磋商截止日前一年内已缴存的至少一个月的社会保障资金缴存单据或社保机构开具的社会保险参保缴费情况证明，依法不需要缴纳社会保障资金的单位应提供相关证明材料。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5、书面声明：参加本次采购活动前三年内在经营活动中没有重大违纪的书面声明。</w:t>
      </w:r>
    </w:p>
    <w:p>
      <w:pPr>
        <w:pStyle w:val="null3"/>
      </w:pPr>
      <w:r>
        <w:rPr>
          <w:rFonts w:ascii="仿宋_GB2312" w:hAnsi="仿宋_GB2312" w:cs="仿宋_GB2312" w:eastAsia="仿宋_GB2312"/>
        </w:rPr>
        <w:t>6、信誉情况：供应商不得为“中国执行信息公开网”网站（http://zxgk.court.gov.cn/shixin/）中列入失信被执行人和“信用中国”网站（www.creditchina.gov.cn）中列入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7、供应商应授权合法的人员参加本项目磋商活动全过程：法定代表人直接参加的须提供法定代表人身份证明及身份证复印件并与营业执照上信息一致；法定代表人授权代表参加的须提供法定代表人授权书（附法定代表人、被授权人身份证复印件）及被授权人在本单位证明（养老保险缴纳证明或劳动合同）。</w:t>
      </w:r>
    </w:p>
    <w:p>
      <w:pPr>
        <w:pStyle w:val="null3"/>
      </w:pPr>
      <w:r>
        <w:rPr>
          <w:rFonts w:ascii="仿宋_GB2312" w:hAnsi="仿宋_GB2312" w:cs="仿宋_GB2312" w:eastAsia="仿宋_GB2312"/>
        </w:rPr>
        <w:t>8、企业资质：供应商须具备建设行政主管部门颁发的水利水电工程施工总承包三级及以上资质，具备有效的安全生产许可证。</w:t>
      </w:r>
    </w:p>
    <w:p>
      <w:pPr>
        <w:pStyle w:val="null3"/>
      </w:pPr>
      <w:r>
        <w:rPr>
          <w:rFonts w:ascii="仿宋_GB2312" w:hAnsi="仿宋_GB2312" w:cs="仿宋_GB2312" w:eastAsia="仿宋_GB2312"/>
        </w:rPr>
        <w:t>9、拟派项目经理：拟派项目经理须具备有效的水利水电工程专业二级（含二级）以上建造师注册证，具备水行政主管部门颁发的安全生产考核合格证（B证），且在本单位注册，无在建工程。</w:t>
      </w:r>
    </w:p>
    <w:p>
      <w:pPr>
        <w:pStyle w:val="null3"/>
      </w:pPr>
      <w:r>
        <w:rPr>
          <w:rFonts w:ascii="仿宋_GB2312" w:hAnsi="仿宋_GB2312" w:cs="仿宋_GB2312" w:eastAsia="仿宋_GB2312"/>
        </w:rPr>
        <w:t>10、中小企业声明函：本项目专门面向中小企业采购。</w:t>
      </w:r>
    </w:p>
    <w:p>
      <w:pPr>
        <w:pStyle w:val="null3"/>
      </w:pPr>
      <w:r>
        <w:rPr>
          <w:rFonts w:ascii="仿宋_GB2312" w:hAnsi="仿宋_GB2312" w:cs="仿宋_GB2312" w:eastAsia="仿宋_GB2312"/>
        </w:rPr>
        <w:t>11、承诺书：本项目不接受联合体，单位负责人为同一人或者存在控股、管理关系的不同单位不得同时参加（提供承诺书）。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西安市鄠邑区甘峪水库管理站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陕西省西安市鄠邑区蒋村镇甘峪口村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710308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029-84902520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知含国际工程咨询有限公司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陕西省咸阳市秦都区西里路以西亨浩集团6楼西侧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王利娜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029-33687895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鄠邑区政府采购管理股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李清维</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029-84882872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采购包1：371,662.00元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以中标价为基数，参照《国家计委关于印发招标代理服务收费管理暂行办法的通知》（计价格【2002】1980号）、《国家发展改革委关于降低部分建设项目收费标准规范收费行为等有关问题的通知》（发改办价格【2011】534号）文件规定，按标准收取。2、在领取成交通知书前，由成交单位向采购代理机构缴纳招标代理服务费，一次性付清。3、代理服务费缴纳账户信息：账户名称：知含国际工程咨询有限公司 开户行名称：中国建设银行股份有限公司咸阳世纪大道支行 开户账号：61001635008052503621</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西安市鄠邑区甘峪水库管理站</w:t>
      </w:r>
      <w:r>
        <w:rPr>
          <w:rFonts w:ascii="仿宋_GB2312" w:hAnsi="仿宋_GB2312" w:cs="仿宋_GB2312" w:eastAsia="仿宋_GB2312"/>
        </w:rPr>
        <w:t>和</w:t>
      </w:r>
      <w:r>
        <w:rPr>
          <w:rFonts w:ascii="仿宋_GB2312" w:hAnsi="仿宋_GB2312" w:cs="仿宋_GB2312" w:eastAsia="仿宋_GB2312"/>
        </w:rPr>
        <w:t>知含国际工程咨询有限公司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西安市鄠邑区甘峪水库管理站</w:t>
      </w:r>
      <w:r>
        <w:rPr>
          <w:rFonts w:ascii="仿宋_GB2312" w:hAnsi="仿宋_GB2312" w:cs="仿宋_GB2312" w:eastAsia="仿宋_GB2312"/>
        </w:rPr>
        <w:t>负责解释。除上述磋商文件内容，其他内容由</w:t>
      </w:r>
      <w:r>
        <w:rPr>
          <w:rFonts w:ascii="仿宋_GB2312" w:hAnsi="仿宋_GB2312" w:cs="仿宋_GB2312" w:eastAsia="仿宋_GB2312"/>
        </w:rPr>
        <w:t>知含国际工程咨询有限公司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西安市鄠邑区甘峪水库管理站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知含国际工程咨询有限公司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双方另行协商约定</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知含国际工程咨询有限公司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知含国际工程咨询有限公司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知含国际工程咨询有限公司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联系人：王利娜</w:t>
      </w:r>
    </w:p>
    <w:p>
      <w:pPr>
        <w:pStyle w:val="null3"/>
      </w:pPr>
      <w:r>
        <w:rPr>
          <w:rFonts w:ascii="仿宋_GB2312" w:hAnsi="仿宋_GB2312" w:cs="仿宋_GB2312" w:eastAsia="仿宋_GB2312"/>
        </w:rPr>
        <w:t>联系电话：029-33687895</w:t>
      </w:r>
    </w:p>
    <w:p>
      <w:pPr>
        <w:pStyle w:val="null3"/>
      </w:pPr>
      <w:r>
        <w:rPr>
          <w:rFonts w:ascii="仿宋_GB2312" w:hAnsi="仿宋_GB2312" w:cs="仿宋_GB2312" w:eastAsia="仿宋_GB2312"/>
        </w:rPr>
        <w:t>地址：陕西省咸阳市秦都区西里路以西亨浩集团6楼西侧</w:t>
      </w:r>
    </w:p>
    <w:p>
      <w:pPr>
        <w:pStyle w:val="null3"/>
      </w:pPr>
      <w:r>
        <w:rPr>
          <w:rFonts w:ascii="仿宋_GB2312" w:hAnsi="仿宋_GB2312" w:cs="仿宋_GB2312" w:eastAsia="仿宋_GB2312"/>
        </w:rPr>
        <w:t>邮编：712000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371,662.00</w:t>
      </w:r>
    </w:p>
    <w:p>
      <w:pPr>
        <w:pStyle w:val="null3"/>
      </w:pPr>
      <w:r>
        <w:rPr>
          <w:rFonts w:ascii="仿宋_GB2312" w:hAnsi="仿宋_GB2312" w:cs="仿宋_GB2312" w:eastAsia="仿宋_GB2312"/>
        </w:rPr>
        <w:t>采购包最高限价（元）: 355,903.00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新建护岸总长度 83m</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371,662.00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标的名称：新建护岸总长度 83m</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1、</w:t>
            </w:r>
            <w:r>
              <w:rPr>
                <w:rFonts w:ascii="仿宋_GB2312" w:hAnsi="仿宋_GB2312" w:cs="仿宋_GB2312" w:eastAsia="仿宋_GB2312"/>
                <w:sz w:val="21"/>
              </w:rPr>
              <w:t>项目概况：</w:t>
            </w:r>
            <w:r>
              <w:rPr>
                <w:rFonts w:ascii="仿宋_GB2312" w:hAnsi="仿宋_GB2312" w:cs="仿宋_GB2312" w:eastAsia="仿宋_GB2312"/>
                <w:sz w:val="21"/>
              </w:rPr>
              <w:t>主要建设内容为:新建护岸总长度 83m，其中：水毁点1新建左岸护岸浆砌石挡墙23m，水毁点2新建右岸护岸浆砌石挡墙30m，水毁点3新建右岸护岸浆砌石挡墙30m。挡墙顶宽0.5m，挡墙迎水面坡比为1:0，挡墙背水面坡比为1:0.4，挡墙高度3.7~4.5m。设计挡墙岸顶高程基本与现状路面齐平。</w:t>
            </w:r>
          </w:p>
          <w:p>
            <w:pPr>
              <w:pStyle w:val="null3"/>
            </w:pPr>
            <w:r>
              <w:rPr>
                <w:rFonts w:ascii="仿宋_GB2312" w:hAnsi="仿宋_GB2312" w:cs="仿宋_GB2312" w:eastAsia="仿宋_GB2312"/>
                <w:sz w:val="21"/>
              </w:rPr>
              <w:t>2、</w:t>
            </w:r>
            <w:r>
              <w:rPr>
                <w:rFonts w:ascii="仿宋_GB2312" w:hAnsi="仿宋_GB2312" w:cs="仿宋_GB2312" w:eastAsia="仿宋_GB2312"/>
                <w:sz w:val="21"/>
              </w:rPr>
              <w:t>计划工期：90日历天。</w:t>
            </w:r>
          </w:p>
          <w:p>
            <w:pPr>
              <w:pStyle w:val="null3"/>
            </w:pPr>
            <w:r>
              <w:rPr>
                <w:rFonts w:ascii="仿宋_GB2312" w:hAnsi="仿宋_GB2312" w:cs="仿宋_GB2312" w:eastAsia="仿宋_GB2312"/>
                <w:sz w:val="21"/>
              </w:rPr>
              <w:t>3、缺陷责任期（与质保金的退还有关）：竣工验收后1年；</w:t>
            </w:r>
            <w:r>
              <w:rPr>
                <w:rFonts w:ascii="仿宋_GB2312" w:hAnsi="仿宋_GB2312" w:cs="仿宋_GB2312" w:eastAsia="仿宋_GB2312"/>
                <w:sz w:val="21"/>
              </w:rPr>
              <w:t>质量保修期（与质保金的退还无关）：竣工验收后1年。</w:t>
            </w:r>
          </w:p>
          <w:p>
            <w:pPr>
              <w:pStyle w:val="null3"/>
            </w:pPr>
            <w:r>
              <w:rPr>
                <w:rFonts w:ascii="仿宋_GB2312" w:hAnsi="仿宋_GB2312" w:cs="仿宋_GB2312" w:eastAsia="仿宋_GB2312"/>
                <w:sz w:val="21"/>
              </w:rPr>
              <w:t>4、质量标准：符合国家及地方现行有关施工质量验收规范“合格”要求。</w:t>
            </w:r>
          </w:p>
          <w:p>
            <w:pPr>
              <w:pStyle w:val="null3"/>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符合国家及地方现行有关施工质量验收规范“合格”要求。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（1）为顺利推进政府采购电子化交易平台试点应用工作，供应商需要在线提交所有通过电子化交易平台实施的政府采购项目的响应文件，发布成交结果公告后，成交供应商应及时向采购代理机构 提交一正二副二电子版，书籍（胶装）方式装订的盖章的纸质文件。送至陕西省陕西省咸阳市秦都区西里路以西亨浩集团6楼西侧。（2）供应商务必在开标截止时间30分钟前，通过项目电子化交易系统进行签到，如未进行签到，产生的一起后果由供应商自行承担。 （3）供应商的磋商报价包括施工机械使用费、人工费、材料与设备费、维护费、其他（运杂费、质检费、安装费、缺陷修复费、保险费，以及合同明示或暗示的风险、责任和义务等），以及管理费、税金、利润、采购代理服务费等所有费用，并符合建设工程计价规则。（4）签名是指手写签名或者加盖姓名章，盖章是指加盖单位印章。（5）本项目采购标的对应的中小企业划分标准所属行业为建筑业。本项目专门面向中小企业采购。 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提供2025年度经审计的财务会计报告（包括“四表一注”，即资产负债表、利润表、现金流量表、所有者权益变动表及其附注，成立时间至提交投标文件截止时间不足一年的可提供成立后任意时段的资产负债表），或其开标前六个月内银行出具的资信证明，或信用担保机构出具的投标担保函。(以上三种形式的资料提供任何一种即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供应商资格要求.docx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供应商应具有独立承担民事责任的能力的法人、其他组织或自然人，并出具合法有效的营业执照等国家规定的相关证明，自然人参与的提供其身份证明书。</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会计报告（包括“四表一注”，即资产负债表、利润表、现金流量表、所有者权益变动表及其附注，成立时间至提交投标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供应商资格要求.docx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缴纳税收</w:t>
            </w:r>
          </w:p>
        </w:tc>
        <w:tc>
          <w:tcPr>
            <w:tcW w:type="dxa" w:w="3322"/>
          </w:tcPr>
          <w:p>
            <w:pPr>
              <w:pStyle w:val="null3"/>
            </w:pPr>
            <w:r>
              <w:rPr>
                <w:rFonts w:ascii="仿宋_GB2312" w:hAnsi="仿宋_GB2312" w:cs="仿宋_GB2312" w:eastAsia="仿宋_GB2312"/>
              </w:rPr>
              <w:t>提供磋商截止日前一年内已缴纳的至少一个月的纳税证明或完税证明，依法免税的单位应提供相关证明材料。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参加本次采购活动前三年内在经营活动中没有重大违纪的书面声明。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信誉情况</w:t>
            </w:r>
          </w:p>
        </w:tc>
        <w:tc>
          <w:tcPr>
            <w:tcW w:type="dxa" w:w="3322"/>
          </w:tcPr>
          <w:p>
            <w:pPr>
              <w:pStyle w:val="null3"/>
            </w:pPr>
            <w:r>
              <w:rPr>
                <w:rFonts w:ascii="仿宋_GB2312" w:hAnsi="仿宋_GB2312" w:cs="仿宋_GB2312" w:eastAsia="仿宋_GB2312"/>
              </w:rPr>
              <w:t>供应商不得为“中国执行信息公开网”网站（http://zxgk.court.gov.cn/shixin/）中列入失信被执行人和“信用中国”网站（www.creditchina.gov.cn）中列入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供应商应授权合法的人员参加本项目磋商活动全过程</w:t>
            </w:r>
          </w:p>
        </w:tc>
        <w:tc>
          <w:tcPr>
            <w:tcW w:type="dxa" w:w="3322"/>
          </w:tcPr>
          <w:p>
            <w:pPr>
              <w:pStyle w:val="null3"/>
            </w:pPr>
            <w:r>
              <w:rPr>
                <w:rFonts w:ascii="仿宋_GB2312" w:hAnsi="仿宋_GB2312" w:cs="仿宋_GB2312" w:eastAsia="仿宋_GB2312"/>
              </w:rPr>
              <w:t>法定代表人直接参加的须提供法定代表人身份证明及身份证复印件并与营业执照上信息一致；法定代表人授权代表参加的须提供法定代表人授权书（附法定代表人、被授权人身份证复印件）及被授权人在本单位证明（养老保险缴纳证明或劳动合同）。</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供应商须具备建设行政主管部门颁发的水利水电工程施工总承包三级及以上资质，具备有效的安全生产许可证。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拟派项目经理</w:t>
            </w:r>
          </w:p>
        </w:tc>
        <w:tc>
          <w:tcPr>
            <w:tcW w:type="dxa" w:w="3322"/>
          </w:tcPr>
          <w:p>
            <w:pPr>
              <w:pStyle w:val="null3"/>
            </w:pPr>
            <w:r>
              <w:rPr>
                <w:rFonts w:ascii="仿宋_GB2312" w:hAnsi="仿宋_GB2312" w:cs="仿宋_GB2312" w:eastAsia="仿宋_GB2312"/>
              </w:rPr>
              <w:t>拟派项目经理须具备有效的水利水电工程专业二级（含二级）以上建造师注册证，具备水行政主管部门颁发的安全生产考核合格证（B证），且在本单位注册，无在建工程。</w:t>
            </w:r>
          </w:p>
        </w:tc>
        <w:tc>
          <w:tcPr>
            <w:tcW w:type="dxa" w:w="1661"/>
          </w:tcPr>
          <w:p>
            <w:pPr>
              <w:pStyle w:val="null3"/>
            </w:pPr>
            <w:r>
              <w:rPr>
                <w:rFonts w:ascii="仿宋_GB2312" w:hAnsi="仿宋_GB2312" w:cs="仿宋_GB2312" w:eastAsia="仿宋_GB2312"/>
              </w:rPr>
              <w:t>供应商资格要求.docx 项目管理机构组成表 主要人员简历表</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w:t>
            </w:r>
          </w:p>
        </w:tc>
        <w:tc>
          <w:tcPr>
            <w:tcW w:type="dxa" w:w="1661"/>
          </w:tcPr>
          <w:p>
            <w:pPr>
              <w:pStyle w:val="null3"/>
            </w:pPr>
            <w:r>
              <w:rPr>
                <w:rFonts w:ascii="仿宋_GB2312" w:hAnsi="仿宋_GB2312" w:cs="仿宋_GB2312" w:eastAsia="仿宋_GB2312"/>
              </w:rPr>
              <w:t>残疾人福利性单位声明函 中小企业声明函 监狱企业的证明文件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本项目不接受联合体，单位负责人为同一人或者存在控股、管理关系的不同单位不得同时参加（提供承诺书）。</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施工组织方案.docx 供应商资格要求.docx 项目管理机构组成表 供应商认为有必要补充说明的事项.docx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施工组织方案.docx 报价函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（1）磋商报价符合唯一性要求；（2）第一次磋商报价表填写符合要求；（3）计量单位、报价货币均符合磋商文件要求；（4）未超出磋商文件规定的最高限价。</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提供针对本项目的施工方案。内容包含：①施工准备：技术准备、材料准备、机械准备、机具准备、劳动力准备等。②施工方法及工艺；③重难点及解决方案；④应急方案。二、评审标准：1、完整性：响应全面，对评审内容中的各项要求有详细描述；2、可实施性：内容科学，步骤清晰、合理，可实施性强；3、针对性：能够紧扣项目实际情况，满足具体要求。三、赋分标准：（满分18分）①施工准备：每完全满足一个评审标准得1.5分，满分4.5分；②施工方法及工艺：每完全满足一个评审标准得1.5分，满分4.5分。③重难点及解决方案：每完全满足一个评审标准得1.5分，满分4.5分。④应急方案：每完全满足一个评审标准得1.5分，满分4.5分。每有一项评审内容存在缺陷，扣（0-1.5）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施工进度</w:t>
            </w:r>
          </w:p>
        </w:tc>
        <w:tc>
          <w:tcPr>
            <w:tcW w:type="dxa" w:w="2492"/>
          </w:tcPr>
          <w:p>
            <w:pPr>
              <w:pStyle w:val="null3"/>
            </w:pPr>
            <w:r>
              <w:rPr>
                <w:rFonts w:ascii="仿宋_GB2312" w:hAnsi="仿宋_GB2312" w:cs="仿宋_GB2312" w:eastAsia="仿宋_GB2312"/>
              </w:rPr>
              <w:t>总工期满足采购文件要求、进度计划有网络图、节点工期控制合理得2分；总工期满足采购文件要求、进度计划有网络图，节点工期控制基本合理得1分；总工期满足采购文件要求，无网络图、无节点工期控制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质量管理</w:t>
            </w:r>
          </w:p>
        </w:tc>
        <w:tc>
          <w:tcPr>
            <w:tcW w:type="dxa" w:w="2492"/>
          </w:tcPr>
          <w:p>
            <w:pPr>
              <w:pStyle w:val="null3"/>
            </w:pPr>
            <w:r>
              <w:rPr>
                <w:rFonts w:ascii="仿宋_GB2312" w:hAnsi="仿宋_GB2312" w:cs="仿宋_GB2312" w:eastAsia="仿宋_GB2312"/>
              </w:rPr>
              <w:t>一、评审内容：供应商针对本项目质量管理体系及保证措施，内容包含：①质量管理体系；②质量保障措施。二、评审标准：1、完整性：响应全面，对评审内容中的各项要求有详细描述；2、可实施性：内容科学，步骤清晰、合理，可实施性强；3、针对性：能够紧扣项目实际情况，满足具体要求。三、赋分标准：（满分6分）①质量管理体系：每完全满足一个评审标准得1分，满分3分；②质量保障措施：每完全满足一个评审标准得1分，满分3分。每有一项评审内容存在缺陷，扣（0-1）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安全管理</w:t>
            </w:r>
          </w:p>
        </w:tc>
        <w:tc>
          <w:tcPr>
            <w:tcW w:type="dxa" w:w="2492"/>
          </w:tcPr>
          <w:p>
            <w:pPr>
              <w:pStyle w:val="null3"/>
            </w:pPr>
            <w:r>
              <w:rPr>
                <w:rFonts w:ascii="仿宋_GB2312" w:hAnsi="仿宋_GB2312" w:cs="仿宋_GB2312" w:eastAsia="仿宋_GB2312"/>
              </w:rPr>
              <w:t>一、评审内容：提供针对本项目的安全管理体系与相关措施。内容包含：①安全管理体系②安全保障措施。二、评审标准：1、完整性：响应全面，对评审内容中的各项要求有详细描述；2、可实施性：内容科学，步骤清晰、合理，可实施性强；3、针对性：能够紧扣项目实际情况，满足具体要求。三、赋分标准：（满分6分）①安全管理体系：每完全满足一个评审标准得1分，满分3分；②安全保障措施：每完全满足一个评审标准得1分，满分3分。每有一项评审内容存在缺陷，扣（0-1）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文明施工</w:t>
            </w:r>
          </w:p>
        </w:tc>
        <w:tc>
          <w:tcPr>
            <w:tcW w:type="dxa" w:w="2492"/>
          </w:tcPr>
          <w:p>
            <w:pPr>
              <w:pStyle w:val="null3"/>
            </w:pPr>
            <w:r>
              <w:rPr>
                <w:rFonts w:ascii="仿宋_GB2312" w:hAnsi="仿宋_GB2312" w:cs="仿宋_GB2312" w:eastAsia="仿宋_GB2312"/>
              </w:rPr>
              <w:t>一、评审内容：提供针对本项目的文明施工保证体系及保证措施，内容包含：①文明施工保证体系②文明施工的保证措施。二、评审标准：1、完整性：响应全面，对评审内容中的各项要求有详细描述；2、可实施性：内容科学，步骤清晰、合理，可实施性强；3、针对性：能够紧扣项目实际情况，满足具体要求。三、赋分标准：（满分6分）①文明施工保证体系：每完全满足一个评审标准得1分，满分3分；②文明施工的保证措施：每完全满足一个评审标准得1分，满分3分；每有一项评审内容存在缺陷，扣（0-1）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一、评审内容：提供针对本项目的环境保护管理体系及保证措施，内容包含：①环境保护管理体系②环保保护措施，包括污染物及废弃物处理的排放、噪音控制、防尘及扬尘的控制措施。二、评审标准：1、完整性：响应全面，对评审内容中的各项要求有详细描述；2、可实施性：内容科学，步骤清晰、合理，可实施性强；3、针对性：能够紧扣项目实际情况，满足具体要求。三、赋分标准：（满分6分）①环境保护管理体系：每完全满足一个评审标准得1分，满分3分；②环保保护措施：每完全满足一个评审标准得1分，满分3分；每有一项评审内容存在缺陷，扣（0-1）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项目组织管理机构</w:t>
            </w:r>
          </w:p>
        </w:tc>
        <w:tc>
          <w:tcPr>
            <w:tcW w:type="dxa" w:w="2492"/>
          </w:tcPr>
          <w:p>
            <w:pPr>
              <w:pStyle w:val="null3"/>
            </w:pPr>
            <w:r>
              <w:rPr>
                <w:rFonts w:ascii="仿宋_GB2312" w:hAnsi="仿宋_GB2312" w:cs="仿宋_GB2312" w:eastAsia="仿宋_GB2312"/>
              </w:rPr>
              <w:t>一、评审内容：提供针对本项目组织机构，内容包含：①管理机构配备计划；②组织机构岗位职责。一、评审标准：1、完整性：响应全面，对评审内容中的各项要求有详细描述；2、可实施性：内容科学，步骤清晰、合理，可实施性强；3、针对性：能够紧扣项目实际情况，满足具体要求。三、赋分标准：（满分6分）①管理机构配备计：划每完全满足一个评审标准得1分，满分3分；②组织机构岗位职责：每完全满足一个评审标准得1分，满分3分；每有一项评审内容存在缺陷，扣（0-1）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项目经理要求</w:t>
            </w:r>
          </w:p>
        </w:tc>
        <w:tc>
          <w:tcPr>
            <w:tcW w:type="dxa" w:w="2492"/>
          </w:tcPr>
          <w:p>
            <w:pPr>
              <w:pStyle w:val="null3"/>
            </w:pPr>
            <w:r>
              <w:rPr>
                <w:rFonts w:ascii="仿宋_GB2312" w:hAnsi="仿宋_GB2312" w:cs="仿宋_GB2312" w:eastAsia="仿宋_GB2312"/>
              </w:rPr>
              <w:t>拟派项目经理提供相关专业中级及以上工程师职称证书得2分，其他不得分。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1）供应商近三年（2023年1月1日至今）有类似项目的,每有一个得2分，满分得6分。 2）项目经理近三年（2023年1月1日至今）有类似项目的,每有一个得2分，满分得2分。 注：业绩需附中标通知书或合同协议书。未提供不计分。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施工组织方案.docx</w:t>
            </w:r>
          </w:p>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满足磋商文件要求且最后报价最低的供应商的价格为磋商基准价，其价格分为满分。其他供应商的价格分统一按照下列公式计算：磋商报价得分=（磋商基准价/磋商评审价）×40%×100。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详见附件：施工组织方案.docx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详见附件：拟签订的施工合同--鄠邑区甘峪河甘峪沟段水毁修复工程.docx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