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63CE3">
      <w:pPr>
        <w:keepNext w:val="0"/>
        <w:keepLines w:val="0"/>
        <w:pageBreakBefore w:val="0"/>
        <w:widowControl/>
        <w:kinsoku/>
        <w:wordWrap/>
        <w:overflowPunct/>
        <w:topLinePunct w:val="0"/>
        <w:autoSpaceDE/>
        <w:autoSpaceDN/>
        <w:bidi w:val="0"/>
        <w:adjustRightInd w:val="0"/>
        <w:snapToGrid w:val="0"/>
        <w:spacing w:after="0" w:afterLines="0" w:line="360" w:lineRule="auto"/>
        <w:jc w:val="center"/>
        <w:textAlignment w:val="auto"/>
        <w:rPr>
          <w:rFonts w:hint="eastAsia" w:ascii="宋体" w:hAnsi="宋体" w:eastAsia="宋体" w:cs="宋体"/>
          <w:b w:val="0"/>
          <w:bCs w:val="0"/>
          <w:color w:val="auto"/>
          <w:sz w:val="24"/>
          <w:szCs w:val="24"/>
          <w:highlight w:val="none"/>
        </w:rPr>
      </w:pPr>
    </w:p>
    <w:p w14:paraId="4430DB71">
      <w:pPr>
        <w:keepNext w:val="0"/>
        <w:keepLines w:val="0"/>
        <w:pageBreakBefore w:val="0"/>
        <w:widowControl/>
        <w:kinsoku/>
        <w:wordWrap/>
        <w:overflowPunct/>
        <w:topLinePunct w:val="0"/>
        <w:autoSpaceDE/>
        <w:autoSpaceDN/>
        <w:bidi w:val="0"/>
        <w:adjustRightInd w:val="0"/>
        <w:snapToGrid w:val="0"/>
        <w:spacing w:after="0" w:afterLines="0" w:line="360" w:lineRule="auto"/>
        <w:jc w:val="center"/>
        <w:textAlignment w:val="auto"/>
        <w:rPr>
          <w:rFonts w:hint="eastAsia" w:ascii="宋体" w:hAnsi="宋体" w:eastAsia="宋体" w:cs="宋体"/>
          <w:b w:val="0"/>
          <w:bCs w:val="0"/>
          <w:color w:val="auto"/>
          <w:sz w:val="24"/>
          <w:szCs w:val="24"/>
          <w:highlight w:val="none"/>
        </w:rPr>
      </w:pPr>
    </w:p>
    <w:p w14:paraId="1D3255D4">
      <w:pPr>
        <w:keepNext w:val="0"/>
        <w:keepLines w:val="0"/>
        <w:pageBreakBefore w:val="0"/>
        <w:widowControl/>
        <w:kinsoku/>
        <w:wordWrap/>
        <w:overflowPunct/>
        <w:topLinePunct w:val="0"/>
        <w:autoSpaceDE/>
        <w:autoSpaceDN/>
        <w:bidi w:val="0"/>
        <w:adjustRightInd w:val="0"/>
        <w:snapToGrid w:val="0"/>
        <w:spacing w:after="0" w:afterLines="0" w:line="360" w:lineRule="auto"/>
        <w:jc w:val="center"/>
        <w:textAlignment w:val="auto"/>
        <w:rPr>
          <w:rFonts w:hint="eastAsia" w:ascii="宋体" w:hAnsi="宋体" w:eastAsia="宋体" w:cs="宋体"/>
          <w:b w:val="0"/>
          <w:bCs w:val="0"/>
          <w:color w:val="auto"/>
          <w:sz w:val="24"/>
          <w:szCs w:val="24"/>
          <w:highlight w:val="none"/>
        </w:rPr>
      </w:pPr>
    </w:p>
    <w:p w14:paraId="60A83494">
      <w:pPr>
        <w:keepNext w:val="0"/>
        <w:keepLines w:val="0"/>
        <w:pageBreakBefore w:val="0"/>
        <w:widowControl/>
        <w:kinsoku/>
        <w:wordWrap/>
        <w:overflowPunct/>
        <w:topLinePunct w:val="0"/>
        <w:autoSpaceDE/>
        <w:autoSpaceDN/>
        <w:bidi w:val="0"/>
        <w:adjustRightInd w:val="0"/>
        <w:snapToGrid w:val="0"/>
        <w:spacing w:after="0" w:afterLines="0" w:line="360" w:lineRule="auto"/>
        <w:jc w:val="center"/>
        <w:textAlignment w:val="auto"/>
        <w:rPr>
          <w:rFonts w:hint="eastAsia" w:ascii="宋体" w:hAnsi="宋体" w:eastAsia="宋体" w:cs="宋体"/>
          <w:b w:val="0"/>
          <w:bCs w:val="0"/>
          <w:color w:val="auto"/>
          <w:sz w:val="40"/>
          <w:szCs w:val="40"/>
          <w:highlight w:val="none"/>
        </w:rPr>
      </w:pPr>
    </w:p>
    <w:p w14:paraId="5E7E0A5D">
      <w:pPr>
        <w:keepNext w:val="0"/>
        <w:keepLines w:val="0"/>
        <w:pageBreakBefore w:val="0"/>
        <w:widowControl/>
        <w:kinsoku/>
        <w:wordWrap/>
        <w:overflowPunct/>
        <w:topLinePunct w:val="0"/>
        <w:autoSpaceDE/>
        <w:autoSpaceDN/>
        <w:bidi w:val="0"/>
        <w:adjustRightInd w:val="0"/>
        <w:snapToGrid w:val="0"/>
        <w:spacing w:after="0" w:afterLines="0" w:line="360" w:lineRule="auto"/>
        <w:jc w:val="center"/>
        <w:textAlignment w:val="auto"/>
        <w:rPr>
          <w:rFonts w:hint="eastAsia" w:ascii="宋体" w:hAnsi="宋体" w:eastAsia="宋体" w:cs="宋体"/>
          <w:b w:val="0"/>
          <w:bCs w:val="0"/>
          <w:color w:val="auto"/>
          <w:sz w:val="40"/>
          <w:szCs w:val="40"/>
          <w:highlight w:val="none"/>
        </w:rPr>
      </w:pPr>
      <w:r>
        <w:rPr>
          <w:rFonts w:hint="eastAsia" w:ascii="宋体" w:hAnsi="宋体" w:eastAsia="宋体" w:cs="宋体"/>
          <w:b w:val="0"/>
          <w:bCs w:val="0"/>
          <w:color w:val="auto"/>
          <w:sz w:val="40"/>
          <w:szCs w:val="40"/>
          <w:highlight w:val="none"/>
        </w:rPr>
        <w:t>未央区数字化城市管理监督指挥系统</w:t>
      </w:r>
    </w:p>
    <w:p w14:paraId="63821F12">
      <w:pPr>
        <w:keepNext w:val="0"/>
        <w:keepLines w:val="0"/>
        <w:pageBreakBefore w:val="0"/>
        <w:widowControl/>
        <w:kinsoku/>
        <w:wordWrap/>
        <w:overflowPunct/>
        <w:topLinePunct w:val="0"/>
        <w:autoSpaceDE/>
        <w:autoSpaceDN/>
        <w:bidi w:val="0"/>
        <w:adjustRightInd w:val="0"/>
        <w:snapToGrid w:val="0"/>
        <w:spacing w:after="0" w:afterLines="0" w:line="360" w:lineRule="auto"/>
        <w:jc w:val="center"/>
        <w:textAlignment w:val="auto"/>
        <w:rPr>
          <w:rFonts w:hint="eastAsia" w:ascii="宋体" w:hAnsi="宋体" w:eastAsia="宋体" w:cs="宋体"/>
          <w:b w:val="0"/>
          <w:bCs w:val="0"/>
          <w:color w:val="auto"/>
          <w:sz w:val="40"/>
          <w:szCs w:val="40"/>
          <w:highlight w:val="none"/>
          <w:lang w:eastAsia="zh-CN"/>
        </w:rPr>
      </w:pPr>
      <w:r>
        <w:rPr>
          <w:rFonts w:hint="eastAsia" w:ascii="宋体" w:hAnsi="宋体" w:eastAsia="宋体" w:cs="宋体"/>
          <w:b w:val="0"/>
          <w:bCs w:val="0"/>
          <w:color w:val="auto"/>
          <w:sz w:val="40"/>
          <w:szCs w:val="40"/>
          <w:highlight w:val="none"/>
        </w:rPr>
        <w:t>软硬件运行维护项目（202</w:t>
      </w:r>
      <w:r>
        <w:rPr>
          <w:rFonts w:hint="eastAsia" w:ascii="宋体" w:hAnsi="宋体" w:eastAsia="宋体" w:cs="宋体"/>
          <w:b w:val="0"/>
          <w:bCs w:val="0"/>
          <w:color w:val="auto"/>
          <w:sz w:val="40"/>
          <w:szCs w:val="40"/>
          <w:highlight w:val="none"/>
          <w:lang w:val="en-US" w:eastAsia="zh-CN"/>
        </w:rPr>
        <w:t>6</w:t>
      </w:r>
      <w:r>
        <w:rPr>
          <w:rFonts w:hint="eastAsia" w:ascii="宋体" w:hAnsi="宋体" w:eastAsia="宋体" w:cs="宋体"/>
          <w:b w:val="0"/>
          <w:bCs w:val="0"/>
          <w:color w:val="auto"/>
          <w:sz w:val="40"/>
          <w:szCs w:val="40"/>
          <w:highlight w:val="none"/>
        </w:rPr>
        <w:t>-202</w:t>
      </w:r>
      <w:r>
        <w:rPr>
          <w:rFonts w:hint="eastAsia" w:ascii="宋体" w:hAnsi="宋体" w:eastAsia="宋体" w:cs="宋体"/>
          <w:b w:val="0"/>
          <w:bCs w:val="0"/>
          <w:color w:val="auto"/>
          <w:sz w:val="40"/>
          <w:szCs w:val="40"/>
          <w:highlight w:val="none"/>
          <w:lang w:val="en-US" w:eastAsia="zh-CN"/>
        </w:rPr>
        <w:t>7</w:t>
      </w:r>
      <w:r>
        <w:rPr>
          <w:rFonts w:hint="eastAsia" w:ascii="宋体" w:hAnsi="宋体" w:eastAsia="宋体" w:cs="宋体"/>
          <w:b w:val="0"/>
          <w:bCs w:val="0"/>
          <w:color w:val="auto"/>
          <w:sz w:val="40"/>
          <w:szCs w:val="40"/>
          <w:highlight w:val="none"/>
        </w:rPr>
        <w:t>）</w:t>
      </w:r>
      <w:r>
        <w:rPr>
          <w:rFonts w:hint="eastAsia" w:ascii="宋体" w:hAnsi="宋体" w:eastAsia="宋体" w:cs="宋体"/>
          <w:b w:val="0"/>
          <w:bCs w:val="0"/>
          <w:color w:val="auto"/>
          <w:sz w:val="40"/>
          <w:szCs w:val="40"/>
          <w:highlight w:val="none"/>
          <w:lang w:eastAsia="zh-CN"/>
        </w:rPr>
        <w:t>合同</w:t>
      </w:r>
    </w:p>
    <w:p w14:paraId="0F1185A8">
      <w:pPr>
        <w:pStyle w:val="2"/>
        <w:spacing w:line="360" w:lineRule="auto"/>
        <w:rPr>
          <w:rFonts w:hint="eastAsia" w:ascii="宋体" w:hAnsi="宋体" w:eastAsia="宋体" w:cs="宋体"/>
          <w:b w:val="0"/>
          <w:bCs w:val="0"/>
          <w:color w:val="auto"/>
          <w:sz w:val="24"/>
          <w:szCs w:val="24"/>
          <w:highlight w:val="none"/>
          <w:lang w:eastAsia="zh-CN"/>
        </w:rPr>
      </w:pPr>
    </w:p>
    <w:p w14:paraId="1174FBF7">
      <w:pPr>
        <w:pStyle w:val="2"/>
        <w:spacing w:line="360" w:lineRule="auto"/>
        <w:rPr>
          <w:rFonts w:hint="eastAsia" w:ascii="宋体" w:hAnsi="宋体" w:eastAsia="宋体" w:cs="宋体"/>
          <w:b w:val="0"/>
          <w:bCs w:val="0"/>
          <w:color w:val="auto"/>
          <w:sz w:val="24"/>
          <w:szCs w:val="24"/>
          <w:highlight w:val="none"/>
          <w:lang w:eastAsia="zh-CN"/>
        </w:rPr>
      </w:pPr>
    </w:p>
    <w:p w14:paraId="54D89A60">
      <w:pPr>
        <w:pStyle w:val="2"/>
        <w:spacing w:line="360" w:lineRule="auto"/>
        <w:rPr>
          <w:rFonts w:hint="eastAsia" w:ascii="宋体" w:hAnsi="宋体" w:eastAsia="宋体" w:cs="宋体"/>
          <w:b w:val="0"/>
          <w:bCs w:val="0"/>
          <w:color w:val="auto"/>
          <w:sz w:val="24"/>
          <w:szCs w:val="24"/>
          <w:highlight w:val="none"/>
          <w:lang w:eastAsia="zh-CN"/>
        </w:rPr>
      </w:pPr>
    </w:p>
    <w:p w14:paraId="2C9F9DBD">
      <w:pPr>
        <w:pStyle w:val="2"/>
        <w:spacing w:line="360" w:lineRule="auto"/>
        <w:rPr>
          <w:rFonts w:hint="eastAsia" w:ascii="宋体" w:hAnsi="宋体" w:eastAsia="宋体" w:cs="宋体"/>
          <w:b w:val="0"/>
          <w:bCs w:val="0"/>
          <w:color w:val="auto"/>
          <w:sz w:val="24"/>
          <w:szCs w:val="24"/>
          <w:highlight w:val="none"/>
          <w:lang w:eastAsia="zh-CN"/>
        </w:rPr>
      </w:pPr>
    </w:p>
    <w:p w14:paraId="620EB8A4">
      <w:pPr>
        <w:pStyle w:val="2"/>
        <w:spacing w:line="360" w:lineRule="auto"/>
        <w:rPr>
          <w:rFonts w:hint="eastAsia" w:ascii="宋体" w:hAnsi="宋体" w:eastAsia="宋体" w:cs="宋体"/>
          <w:b w:val="0"/>
          <w:bCs w:val="0"/>
          <w:color w:val="auto"/>
          <w:sz w:val="24"/>
          <w:szCs w:val="24"/>
          <w:highlight w:val="none"/>
          <w:lang w:eastAsia="zh-CN"/>
        </w:rPr>
      </w:pPr>
    </w:p>
    <w:p w14:paraId="52943D4F">
      <w:pPr>
        <w:pStyle w:val="2"/>
        <w:spacing w:line="360" w:lineRule="auto"/>
        <w:rPr>
          <w:rFonts w:hint="eastAsia" w:ascii="宋体" w:hAnsi="宋体" w:eastAsia="宋体" w:cs="宋体"/>
          <w:b w:val="0"/>
          <w:bCs w:val="0"/>
          <w:color w:val="auto"/>
          <w:sz w:val="24"/>
          <w:szCs w:val="24"/>
          <w:highlight w:val="none"/>
          <w:lang w:eastAsia="zh-CN"/>
        </w:rPr>
      </w:pPr>
    </w:p>
    <w:p w14:paraId="15CDA816">
      <w:pPr>
        <w:pStyle w:val="2"/>
        <w:spacing w:line="360" w:lineRule="auto"/>
        <w:rPr>
          <w:rFonts w:hint="eastAsia" w:ascii="宋体" w:hAnsi="宋体" w:eastAsia="宋体" w:cs="宋体"/>
          <w:b w:val="0"/>
          <w:bCs w:val="0"/>
          <w:color w:val="auto"/>
          <w:sz w:val="24"/>
          <w:szCs w:val="24"/>
          <w:highlight w:val="none"/>
          <w:lang w:eastAsia="zh-CN"/>
        </w:rPr>
      </w:pPr>
    </w:p>
    <w:p w14:paraId="17889606">
      <w:pPr>
        <w:pStyle w:val="2"/>
        <w:spacing w:line="360" w:lineRule="auto"/>
        <w:rPr>
          <w:rFonts w:hint="eastAsia" w:ascii="宋体" w:hAnsi="宋体" w:eastAsia="宋体" w:cs="宋体"/>
          <w:b w:val="0"/>
          <w:bCs w:val="0"/>
          <w:color w:val="auto"/>
          <w:sz w:val="24"/>
          <w:szCs w:val="24"/>
          <w:highlight w:val="none"/>
          <w:lang w:eastAsia="zh-CN"/>
        </w:rPr>
      </w:pPr>
    </w:p>
    <w:p w14:paraId="6C3580AC">
      <w:pPr>
        <w:pStyle w:val="2"/>
        <w:spacing w:line="360" w:lineRule="auto"/>
        <w:rPr>
          <w:rFonts w:hint="eastAsia" w:ascii="宋体" w:hAnsi="宋体" w:eastAsia="宋体" w:cs="宋体"/>
          <w:b w:val="0"/>
          <w:bCs w:val="0"/>
          <w:color w:val="auto"/>
          <w:sz w:val="24"/>
          <w:szCs w:val="24"/>
          <w:highlight w:val="none"/>
          <w:lang w:eastAsia="zh-CN"/>
        </w:rPr>
      </w:pPr>
    </w:p>
    <w:p w14:paraId="6794C196">
      <w:pPr>
        <w:pStyle w:val="2"/>
        <w:spacing w:line="360" w:lineRule="auto"/>
        <w:rPr>
          <w:rFonts w:hint="eastAsia" w:ascii="宋体" w:hAnsi="宋体" w:eastAsia="宋体" w:cs="宋体"/>
          <w:b w:val="0"/>
          <w:bCs w:val="0"/>
          <w:color w:val="auto"/>
          <w:sz w:val="24"/>
          <w:szCs w:val="24"/>
          <w:highlight w:val="none"/>
          <w:lang w:eastAsia="zh-CN"/>
        </w:rPr>
      </w:pPr>
    </w:p>
    <w:p w14:paraId="1F38E8D3">
      <w:pPr>
        <w:keepNext w:val="0"/>
        <w:keepLines w:val="0"/>
        <w:pageBreakBefore w:val="0"/>
        <w:widowControl w:val="0"/>
        <w:kinsoku/>
        <w:wordWrap/>
        <w:overflowPunct/>
        <w:topLinePunct w:val="0"/>
        <w:autoSpaceDE/>
        <w:autoSpaceDN/>
        <w:bidi w:val="0"/>
        <w:snapToGrid/>
        <w:spacing w:after="0" w:afterLines="0" w:line="360" w:lineRule="auto"/>
        <w:ind w:firstLine="482" w:firstLineChars="200"/>
        <w:jc w:val="both"/>
        <w:textAlignment w:val="auto"/>
        <w:rPr>
          <w:rFonts w:hint="eastAsia" w:ascii="宋体" w:hAnsi="宋体" w:eastAsia="宋体" w:cs="宋体"/>
          <w:b/>
          <w:bCs/>
          <w:color w:val="auto"/>
          <w:sz w:val="24"/>
          <w:szCs w:val="24"/>
          <w:highlight w:val="none"/>
        </w:rPr>
        <w:sectPr>
          <w:pgSz w:w="11906" w:h="16838"/>
          <w:pgMar w:top="2098" w:right="1474" w:bottom="1984" w:left="1587" w:header="851" w:footer="992" w:gutter="0"/>
          <w:pgNumType w:fmt="decimal" w:start="1"/>
          <w:cols w:space="720" w:num="1"/>
          <w:docGrid w:type="lines" w:linePitch="312" w:charSpace="0"/>
        </w:sectPr>
      </w:pPr>
    </w:p>
    <w:p w14:paraId="7C66BDFF">
      <w:pPr>
        <w:keepNext w:val="0"/>
        <w:keepLines w:val="0"/>
        <w:pageBreakBefore w:val="0"/>
        <w:widowControl w:val="0"/>
        <w:kinsoku/>
        <w:wordWrap/>
        <w:overflowPunct/>
        <w:topLinePunct w:val="0"/>
        <w:autoSpaceDE/>
        <w:autoSpaceDN/>
        <w:bidi w:val="0"/>
        <w:snapToGrid/>
        <w:spacing w:after="0" w:afterLines="0" w:line="360" w:lineRule="auto"/>
        <w:ind w:firstLine="482"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第一条  合同双方当事人</w:t>
      </w:r>
    </w:p>
    <w:p w14:paraId="595A24EB">
      <w:pPr>
        <w:keepNext w:val="0"/>
        <w:keepLines w:val="0"/>
        <w:pageBreakBefore w:val="0"/>
        <w:widowControl w:val="0"/>
        <w:tabs>
          <w:tab w:val="left" w:pos="284"/>
        </w:tabs>
        <w:kinsoku/>
        <w:wordWrap/>
        <w:overflowPunct/>
        <w:topLinePunct w:val="0"/>
        <w:autoSpaceDE/>
        <w:autoSpaceDN/>
        <w:bidi w:val="0"/>
        <w:adjustRightInd/>
        <w:snapToGrid/>
        <w:spacing w:after="0"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color w:val="auto"/>
          <w:sz w:val="24"/>
          <w:szCs w:val="24"/>
          <w:highlight w:val="none"/>
        </w:rPr>
        <w:t>甲方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p>
    <w:p w14:paraId="44454773">
      <w:pPr>
        <w:keepNext w:val="0"/>
        <w:keepLines w:val="0"/>
        <w:pageBreakBefore w:val="0"/>
        <w:widowControl w:val="0"/>
        <w:tabs>
          <w:tab w:val="left" w:pos="284"/>
        </w:tabs>
        <w:kinsoku/>
        <w:wordWrap/>
        <w:overflowPunct/>
        <w:topLinePunct w:val="0"/>
        <w:autoSpaceDE/>
        <w:autoSpaceDN/>
        <w:bidi w:val="0"/>
        <w:adjustRightInd/>
        <w:snapToGrid/>
        <w:spacing w:after="0"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color w:val="auto"/>
          <w:sz w:val="24"/>
          <w:szCs w:val="24"/>
          <w:highlight w:val="none"/>
        </w:rPr>
        <w:t>乙方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p>
    <w:p w14:paraId="2A07C959">
      <w:pPr>
        <w:keepNext w:val="0"/>
        <w:keepLines w:val="0"/>
        <w:pageBreakBefore w:val="0"/>
        <w:widowControl w:val="0"/>
        <w:kinsoku/>
        <w:wordWrap/>
        <w:overflowPunct/>
        <w:topLinePunct w:val="0"/>
        <w:autoSpaceDE/>
        <w:autoSpaceDN/>
        <w:bidi w:val="0"/>
        <w:snapToGrid/>
        <w:spacing w:after="0" w:afterLines="0" w:line="360" w:lineRule="auto"/>
        <w:ind w:firstLine="482" w:firstLineChars="200"/>
        <w:jc w:val="both"/>
        <w:textAlignment w:val="auto"/>
        <w:rPr>
          <w:rFonts w:hint="eastAsia" w:ascii="宋体" w:hAnsi="宋体" w:eastAsia="宋体" w:cs="宋体"/>
          <w:b/>
          <w:bCs/>
          <w:color w:val="auto"/>
          <w:sz w:val="24"/>
          <w:szCs w:val="24"/>
          <w:highlight w:val="none"/>
        </w:rPr>
      </w:pPr>
      <w:bookmarkStart w:id="0" w:name="_Toc333174971"/>
      <w:r>
        <w:rPr>
          <w:rFonts w:hint="eastAsia" w:ascii="宋体" w:hAnsi="宋体" w:eastAsia="宋体" w:cs="宋体"/>
          <w:b/>
          <w:bCs/>
          <w:color w:val="auto"/>
          <w:sz w:val="24"/>
          <w:szCs w:val="24"/>
          <w:highlight w:val="none"/>
        </w:rPr>
        <w:t>第二条  服务事项</w:t>
      </w:r>
      <w:bookmarkEnd w:id="0"/>
    </w:p>
    <w:p w14:paraId="6629D73B">
      <w:pPr>
        <w:keepNext w:val="0"/>
        <w:keepLines w:val="0"/>
        <w:pageBreakBefore w:val="0"/>
        <w:widowControl w:val="0"/>
        <w:tabs>
          <w:tab w:val="left" w:pos="284"/>
        </w:tabs>
        <w:kinsoku/>
        <w:wordWrap/>
        <w:overflowPunct/>
        <w:topLinePunct w:val="0"/>
        <w:autoSpaceDE/>
        <w:autoSpaceDN/>
        <w:bidi w:val="0"/>
        <w:adjustRightInd/>
        <w:snapToGrid/>
        <w:spacing w:after="0"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甲方委托乙方对甲方拥有或运营的【未央区数字化城市管理监督指挥系统软硬件运行维护项目（202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-202</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）】提供硬件及软件维保、技术咨询、故障处理、对接升级的技术咨询、现场支持等服务。</w:t>
      </w:r>
    </w:p>
    <w:p w14:paraId="03962537">
      <w:pPr>
        <w:keepNext w:val="0"/>
        <w:keepLines w:val="0"/>
        <w:pageBreakBefore w:val="0"/>
        <w:widowControl w:val="0"/>
        <w:kinsoku/>
        <w:wordWrap/>
        <w:overflowPunct/>
        <w:topLinePunct w:val="0"/>
        <w:autoSpaceDE/>
        <w:autoSpaceDN/>
        <w:bidi w:val="0"/>
        <w:snapToGrid/>
        <w:spacing w:after="0" w:afterLines="0" w:line="360" w:lineRule="auto"/>
        <w:ind w:firstLine="482" w:firstLineChars="200"/>
        <w:jc w:val="both"/>
        <w:textAlignment w:val="auto"/>
        <w:rPr>
          <w:rFonts w:hint="eastAsia" w:ascii="宋体" w:hAnsi="宋体" w:eastAsia="宋体" w:cs="宋体"/>
          <w:b/>
          <w:bCs/>
          <w:color w:val="auto"/>
          <w:sz w:val="24"/>
          <w:szCs w:val="24"/>
          <w:highlight w:val="none"/>
        </w:rPr>
      </w:pPr>
      <w:bookmarkStart w:id="1" w:name="_Toc333174972"/>
      <w:r>
        <w:rPr>
          <w:rFonts w:hint="eastAsia" w:ascii="宋体" w:hAnsi="宋体" w:eastAsia="宋体" w:cs="宋体"/>
          <w:b/>
          <w:bCs/>
          <w:color w:val="auto"/>
          <w:sz w:val="24"/>
          <w:szCs w:val="24"/>
          <w:highlight w:val="none"/>
        </w:rPr>
        <w:t>第三条  服务要求</w:t>
      </w:r>
      <w:bookmarkEnd w:id="1"/>
    </w:p>
    <w:p w14:paraId="6A84B731">
      <w:pPr>
        <w:pStyle w:val="9"/>
        <w:keepNext w:val="0"/>
        <w:keepLines w:val="0"/>
        <w:pageBreakBefore w:val="0"/>
        <w:widowControl w:val="0"/>
        <w:tabs>
          <w:tab w:val="left" w:pos="840"/>
        </w:tabs>
        <w:kinsoku/>
        <w:wordWrap/>
        <w:overflowPunct/>
        <w:topLinePunct w:val="0"/>
        <w:autoSpaceDE/>
        <w:autoSpaceDN/>
        <w:bidi w:val="0"/>
        <w:snapToGrid/>
        <w:spacing w:afterLines="0"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乙方所提供的服务应符合法律法规或国家、行业的相关标准、甲方的相关管理制度、标准或规范、乙方对甲方的各项承诺。</w:t>
      </w:r>
    </w:p>
    <w:p w14:paraId="6B64D94C">
      <w:pPr>
        <w:pStyle w:val="9"/>
        <w:keepNext w:val="0"/>
        <w:keepLines w:val="0"/>
        <w:pageBreakBefore w:val="0"/>
        <w:widowControl w:val="0"/>
        <w:tabs>
          <w:tab w:val="left" w:pos="840"/>
        </w:tabs>
        <w:kinsoku/>
        <w:wordWrap/>
        <w:overflowPunct/>
        <w:topLinePunct w:val="0"/>
        <w:autoSpaceDE/>
        <w:autoSpaceDN/>
        <w:bidi w:val="0"/>
        <w:snapToGrid/>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无条件免费配合</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实施的“未央区城市运行管理服务平台建设”项目，包括本次招标所包含的所有硬件、软件、传输的迁移工作。</w:t>
      </w:r>
    </w:p>
    <w:p w14:paraId="699A0A0C">
      <w:pPr>
        <w:keepNext w:val="0"/>
        <w:keepLines w:val="0"/>
        <w:pageBreakBefore w:val="0"/>
        <w:widowControl w:val="0"/>
        <w:kinsoku/>
        <w:wordWrap/>
        <w:overflowPunct/>
        <w:topLinePunct w:val="0"/>
        <w:autoSpaceDE/>
        <w:autoSpaceDN/>
        <w:bidi w:val="0"/>
        <w:snapToGrid/>
        <w:spacing w:after="0" w:afterLines="0" w:line="360" w:lineRule="auto"/>
        <w:ind w:firstLine="482" w:firstLineChars="200"/>
        <w:jc w:val="both"/>
        <w:textAlignment w:val="auto"/>
        <w:rPr>
          <w:rFonts w:hint="eastAsia" w:ascii="宋体" w:hAnsi="宋体" w:eastAsia="宋体" w:cs="宋体"/>
          <w:b/>
          <w:bCs/>
          <w:color w:val="auto"/>
          <w:sz w:val="24"/>
          <w:szCs w:val="24"/>
          <w:highlight w:val="none"/>
        </w:rPr>
      </w:pPr>
      <w:bookmarkStart w:id="2" w:name="_Toc333174973"/>
      <w:r>
        <w:rPr>
          <w:rFonts w:hint="eastAsia" w:ascii="宋体" w:hAnsi="宋体" w:eastAsia="宋体" w:cs="宋体"/>
          <w:b/>
          <w:bCs/>
          <w:color w:val="auto"/>
          <w:sz w:val="24"/>
          <w:szCs w:val="24"/>
          <w:highlight w:val="none"/>
        </w:rPr>
        <w:t>第四条  服务期限与地点</w:t>
      </w:r>
      <w:bookmarkEnd w:id="2"/>
    </w:p>
    <w:p w14:paraId="486ACBF0">
      <w:pPr>
        <w:pStyle w:val="9"/>
        <w:keepNext w:val="0"/>
        <w:keepLines w:val="0"/>
        <w:pageBreakBefore w:val="0"/>
        <w:widowControl w:val="0"/>
        <w:tabs>
          <w:tab w:val="left" w:pos="840"/>
        </w:tabs>
        <w:kinsoku/>
        <w:wordWrap/>
        <w:overflowPunct/>
        <w:topLinePunct w:val="0"/>
        <w:autoSpaceDE/>
        <w:autoSpaceDN/>
        <w:bidi w:val="0"/>
        <w:snapToGrid/>
        <w:spacing w:afterLines="0" w:line="360" w:lineRule="auto"/>
        <w:ind w:firstLine="56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4.1服务期限：自    年   月   日起到    年   月   日止。</w:t>
      </w:r>
    </w:p>
    <w:p w14:paraId="2C0A4367">
      <w:pPr>
        <w:pStyle w:val="9"/>
        <w:keepNext w:val="0"/>
        <w:keepLines w:val="0"/>
        <w:pageBreakBefore w:val="0"/>
        <w:widowControl w:val="0"/>
        <w:tabs>
          <w:tab w:val="left" w:pos="840"/>
        </w:tabs>
        <w:kinsoku/>
        <w:wordWrap/>
        <w:overflowPunct/>
        <w:topLinePunct w:val="0"/>
        <w:autoSpaceDE/>
        <w:autoSpaceDN/>
        <w:bidi w:val="0"/>
        <w:snapToGrid/>
        <w:spacing w:afterLines="0" w:line="360" w:lineRule="auto"/>
        <w:ind w:firstLine="56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4.2服务地点或地域范围：【未央区辖区】</w:t>
      </w:r>
      <w:bookmarkStart w:id="3" w:name="_Toc333174974"/>
      <w:bookmarkStart w:id="4" w:name="_Toc48999875"/>
      <w:bookmarkStart w:id="5" w:name="_Toc48999687"/>
    </w:p>
    <w:p w14:paraId="7E9DD977">
      <w:pPr>
        <w:keepNext w:val="0"/>
        <w:keepLines w:val="0"/>
        <w:pageBreakBefore w:val="0"/>
        <w:widowControl w:val="0"/>
        <w:kinsoku/>
        <w:wordWrap/>
        <w:overflowPunct/>
        <w:topLinePunct w:val="0"/>
        <w:autoSpaceDE/>
        <w:autoSpaceDN/>
        <w:bidi w:val="0"/>
        <w:snapToGrid/>
        <w:spacing w:after="0" w:afterLines="0" w:line="360" w:lineRule="auto"/>
        <w:ind w:firstLine="482" w:firstLineChars="200"/>
        <w:jc w:val="both"/>
        <w:textAlignment w:val="auto"/>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第五条：服务内容</w:t>
      </w:r>
    </w:p>
    <w:p w14:paraId="1DF740CC">
      <w:pPr>
        <w:pStyle w:val="9"/>
        <w:keepNext w:val="0"/>
        <w:keepLines w:val="0"/>
        <w:pageBreakBefore w:val="0"/>
        <w:widowControl w:val="0"/>
        <w:tabs>
          <w:tab w:val="left" w:pos="840"/>
        </w:tabs>
        <w:kinsoku/>
        <w:wordWrap/>
        <w:overflowPunct/>
        <w:topLinePunct w:val="0"/>
        <w:autoSpaceDE/>
        <w:autoSpaceDN/>
        <w:bidi w:val="0"/>
        <w:snapToGrid/>
        <w:spacing w:afterLines="0" w:line="360" w:lineRule="auto"/>
        <w:ind w:firstLine="56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eastAsia="zh-CN"/>
        </w:rPr>
        <w:t>硬件</w:t>
      </w:r>
      <w:r>
        <w:rPr>
          <w:rFonts w:hint="eastAsia" w:ascii="宋体" w:hAnsi="宋体" w:eastAsia="宋体" w:cs="宋体"/>
          <w:color w:val="auto"/>
          <w:sz w:val="24"/>
          <w:szCs w:val="24"/>
          <w:highlight w:val="none"/>
          <w:lang w:val="en-US" w:eastAsia="zh-CN"/>
        </w:rPr>
        <w:t>运维服务和软件运维服务（具体详见竞争性磋商文件第三章）</w:t>
      </w:r>
    </w:p>
    <w:bookmarkEnd w:id="3"/>
    <w:p w14:paraId="5BAE0009">
      <w:pPr>
        <w:keepNext w:val="0"/>
        <w:keepLines w:val="0"/>
        <w:pageBreakBefore w:val="0"/>
        <w:widowControl w:val="0"/>
        <w:kinsoku/>
        <w:wordWrap/>
        <w:overflowPunct/>
        <w:topLinePunct w:val="0"/>
        <w:autoSpaceDE/>
        <w:autoSpaceDN/>
        <w:bidi w:val="0"/>
        <w:snapToGrid/>
        <w:spacing w:after="0" w:afterLines="0" w:line="360" w:lineRule="auto"/>
        <w:ind w:firstLine="482" w:firstLineChars="200"/>
        <w:jc w:val="both"/>
        <w:textAlignment w:val="auto"/>
        <w:rPr>
          <w:rFonts w:hint="eastAsia" w:ascii="宋体" w:hAnsi="宋体" w:eastAsia="宋体" w:cs="宋体"/>
          <w:b/>
          <w:bCs/>
          <w:color w:val="auto"/>
          <w:sz w:val="24"/>
          <w:szCs w:val="24"/>
          <w:highlight w:val="none"/>
          <w:lang w:val="zh-CN" w:eastAsia="zh-CN"/>
        </w:rPr>
      </w:pPr>
      <w:bookmarkStart w:id="6" w:name="_Toc333174975"/>
      <w:r>
        <w:rPr>
          <w:rFonts w:hint="eastAsia" w:ascii="宋体" w:hAnsi="宋体" w:eastAsia="宋体" w:cs="宋体"/>
          <w:b/>
          <w:bCs/>
          <w:color w:val="auto"/>
          <w:sz w:val="24"/>
          <w:szCs w:val="24"/>
          <w:highlight w:val="none"/>
          <w:lang w:val="zh-CN" w:eastAsia="zh-CN"/>
        </w:rPr>
        <w:t>第六条  双方权利义务</w:t>
      </w:r>
      <w:bookmarkEnd w:id="6"/>
    </w:p>
    <w:p w14:paraId="58C8B6B1">
      <w:pPr>
        <w:pStyle w:val="9"/>
        <w:keepNext w:val="0"/>
        <w:keepLines w:val="0"/>
        <w:pageBreakBefore w:val="0"/>
        <w:widowControl w:val="0"/>
        <w:tabs>
          <w:tab w:val="left" w:pos="840"/>
        </w:tabs>
        <w:kinsoku/>
        <w:wordWrap/>
        <w:overflowPunct/>
        <w:topLinePunct w:val="0"/>
        <w:autoSpaceDE/>
        <w:autoSpaceDN/>
        <w:bidi w:val="0"/>
        <w:snapToGrid/>
        <w:spacing w:afterLines="0" w:line="360" w:lineRule="auto"/>
        <w:ind w:firstLine="56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6.1甲方有权对乙方的服务内容和服务质量进行监督和考核，并根据考核的结果要求乙方改进。</w:t>
      </w:r>
    </w:p>
    <w:p w14:paraId="15325EDF">
      <w:pPr>
        <w:pStyle w:val="9"/>
        <w:keepNext w:val="0"/>
        <w:keepLines w:val="0"/>
        <w:pageBreakBefore w:val="0"/>
        <w:widowControl w:val="0"/>
        <w:tabs>
          <w:tab w:val="left" w:pos="840"/>
        </w:tabs>
        <w:kinsoku/>
        <w:wordWrap/>
        <w:overflowPunct/>
        <w:topLinePunct w:val="0"/>
        <w:autoSpaceDE/>
        <w:autoSpaceDN/>
        <w:bidi w:val="0"/>
        <w:snapToGrid/>
        <w:spacing w:afterLines="0" w:line="360" w:lineRule="auto"/>
        <w:ind w:firstLine="56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6.2甲方有权要求乙方更换甲方认为不能胜任工作的乙方人员。甲方要求乙方更换有关人员的，乙方应在收到甲方书面通知后【3】日内更换。乙方应确保前述人员更换不会对乙方向甲方提供本合同项下服务产生不利影响。</w:t>
      </w:r>
    </w:p>
    <w:p w14:paraId="789FC32D">
      <w:pPr>
        <w:pStyle w:val="9"/>
        <w:keepNext w:val="0"/>
        <w:keepLines w:val="0"/>
        <w:pageBreakBefore w:val="0"/>
        <w:widowControl w:val="0"/>
        <w:tabs>
          <w:tab w:val="left" w:pos="840"/>
        </w:tabs>
        <w:kinsoku/>
        <w:wordWrap/>
        <w:overflowPunct/>
        <w:topLinePunct w:val="0"/>
        <w:autoSpaceDE/>
        <w:autoSpaceDN/>
        <w:bidi w:val="0"/>
        <w:snapToGrid/>
        <w:spacing w:afterLines="0" w:line="360" w:lineRule="auto"/>
        <w:ind w:firstLine="56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6.3甲方应当对乙方履行本合同提供必要的协作和工作条件。</w:t>
      </w:r>
    </w:p>
    <w:p w14:paraId="448FD277">
      <w:pPr>
        <w:pStyle w:val="9"/>
        <w:keepNext w:val="0"/>
        <w:keepLines w:val="0"/>
        <w:pageBreakBefore w:val="0"/>
        <w:widowControl w:val="0"/>
        <w:tabs>
          <w:tab w:val="left" w:pos="840"/>
        </w:tabs>
        <w:kinsoku/>
        <w:wordWrap/>
        <w:overflowPunct/>
        <w:topLinePunct w:val="0"/>
        <w:autoSpaceDE/>
        <w:autoSpaceDN/>
        <w:bidi w:val="0"/>
        <w:snapToGrid/>
        <w:spacing w:afterLines="0" w:line="360" w:lineRule="auto"/>
        <w:ind w:firstLine="56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6.4乙方在服务中接受甲方的监督，与甲方通力合作，接纳甲方的合理建议，提高服务质量。乙方应在甲方通知后2小时内到场处理问题，并在甲方要求的时间内处理完毕。</w:t>
      </w:r>
    </w:p>
    <w:p w14:paraId="1525D073">
      <w:pPr>
        <w:pStyle w:val="9"/>
        <w:keepNext w:val="0"/>
        <w:keepLines w:val="0"/>
        <w:pageBreakBefore w:val="0"/>
        <w:widowControl w:val="0"/>
        <w:tabs>
          <w:tab w:val="left" w:pos="840"/>
        </w:tabs>
        <w:kinsoku/>
        <w:wordWrap/>
        <w:overflowPunct/>
        <w:topLinePunct w:val="0"/>
        <w:autoSpaceDE/>
        <w:autoSpaceDN/>
        <w:bidi w:val="0"/>
        <w:snapToGrid/>
        <w:spacing w:afterLines="0" w:line="360" w:lineRule="auto"/>
        <w:ind w:firstLine="56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6.5乙方有权按照本合同约定要求甲方支付相应的款项。</w:t>
      </w:r>
    </w:p>
    <w:p w14:paraId="423A24B2">
      <w:pPr>
        <w:pStyle w:val="9"/>
        <w:keepNext w:val="0"/>
        <w:keepLines w:val="0"/>
        <w:pageBreakBefore w:val="0"/>
        <w:widowControl w:val="0"/>
        <w:tabs>
          <w:tab w:val="left" w:pos="840"/>
        </w:tabs>
        <w:kinsoku/>
        <w:wordWrap/>
        <w:overflowPunct/>
        <w:topLinePunct w:val="0"/>
        <w:autoSpaceDE/>
        <w:autoSpaceDN/>
        <w:bidi w:val="0"/>
        <w:snapToGrid/>
        <w:spacing w:afterLines="0" w:line="360" w:lineRule="auto"/>
        <w:ind w:firstLine="56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6.6乙方应负责做好服务现场的安全保护工作，实现安全生产。</w:t>
      </w:r>
    </w:p>
    <w:p w14:paraId="7DB018EE">
      <w:pPr>
        <w:pStyle w:val="9"/>
        <w:keepNext w:val="0"/>
        <w:keepLines w:val="0"/>
        <w:pageBreakBefore w:val="0"/>
        <w:widowControl w:val="0"/>
        <w:tabs>
          <w:tab w:val="left" w:pos="840"/>
        </w:tabs>
        <w:kinsoku/>
        <w:wordWrap/>
        <w:overflowPunct/>
        <w:topLinePunct w:val="0"/>
        <w:autoSpaceDE/>
        <w:autoSpaceDN/>
        <w:bidi w:val="0"/>
        <w:snapToGrid/>
        <w:spacing w:afterLines="0" w:line="360" w:lineRule="auto"/>
        <w:ind w:firstLine="56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6.7乙方应确保其人员遵守甲方的相关工作制度或规范，遵守服务现场的规章制度。因乙方人员违反上述制度或规范，导致甲方损失的，乙方应予赔偿。</w:t>
      </w:r>
    </w:p>
    <w:p w14:paraId="4D8A1509">
      <w:pPr>
        <w:pStyle w:val="9"/>
        <w:keepNext w:val="0"/>
        <w:keepLines w:val="0"/>
        <w:pageBreakBefore w:val="0"/>
        <w:widowControl w:val="0"/>
        <w:tabs>
          <w:tab w:val="left" w:pos="840"/>
        </w:tabs>
        <w:kinsoku/>
        <w:wordWrap/>
        <w:overflowPunct/>
        <w:topLinePunct w:val="0"/>
        <w:autoSpaceDE/>
        <w:autoSpaceDN/>
        <w:bidi w:val="0"/>
        <w:snapToGrid/>
        <w:spacing w:afterLines="0" w:line="360" w:lineRule="auto"/>
        <w:ind w:firstLine="56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6.8乙方负责按法律法规规定与乙方人员签订劳动合同、办理有关社会保险、提供劳保用品等，并负责处理与乙方人员的劳动纠纷。</w:t>
      </w:r>
    </w:p>
    <w:p w14:paraId="662C24AB">
      <w:pPr>
        <w:pStyle w:val="9"/>
        <w:keepNext w:val="0"/>
        <w:keepLines w:val="0"/>
        <w:pageBreakBefore w:val="0"/>
        <w:widowControl w:val="0"/>
        <w:tabs>
          <w:tab w:val="left" w:pos="840"/>
        </w:tabs>
        <w:kinsoku/>
        <w:wordWrap/>
        <w:overflowPunct/>
        <w:topLinePunct w:val="0"/>
        <w:autoSpaceDE/>
        <w:autoSpaceDN/>
        <w:bidi w:val="0"/>
        <w:snapToGrid/>
        <w:spacing w:afterLines="0" w:line="360" w:lineRule="auto"/>
        <w:ind w:firstLine="56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6.9乙方应当做好网络安全与信息安全工作，遵守国家与网络安全和信息安全相关的法律法规，遵守甲方与网络安全和信息安全相关的管理制度和规范。</w:t>
      </w:r>
    </w:p>
    <w:p w14:paraId="21E57490">
      <w:pPr>
        <w:pStyle w:val="9"/>
        <w:keepNext w:val="0"/>
        <w:keepLines w:val="0"/>
        <w:pageBreakBefore w:val="0"/>
        <w:widowControl w:val="0"/>
        <w:tabs>
          <w:tab w:val="left" w:pos="840"/>
        </w:tabs>
        <w:kinsoku/>
        <w:wordWrap/>
        <w:overflowPunct/>
        <w:topLinePunct w:val="0"/>
        <w:autoSpaceDE/>
        <w:autoSpaceDN/>
        <w:bidi w:val="0"/>
        <w:snapToGrid/>
        <w:spacing w:afterLines="0" w:line="360" w:lineRule="auto"/>
        <w:ind w:firstLine="56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6.10如服务过程中发现非乙方服务范围内甲方设</w:t>
      </w:r>
      <w:r>
        <w:rPr>
          <w:rFonts w:hint="eastAsia" w:ascii="宋体" w:hAnsi="宋体" w:eastAsia="宋体" w:cs="宋体"/>
          <w:color w:val="auto"/>
          <w:kern w:val="0"/>
          <w:sz w:val="24"/>
          <w:szCs w:val="24"/>
          <w:highlight w:val="none"/>
        </w:rPr>
        <w:t>备或系统的损坏或隐患，乙方应采取相应预防或应对措施并及时通知甲方进行处理。</w:t>
      </w:r>
    </w:p>
    <w:p w14:paraId="15A921DC">
      <w:pPr>
        <w:pStyle w:val="9"/>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6.11</w:t>
      </w:r>
      <w:r>
        <w:rPr>
          <w:rFonts w:hint="eastAsia" w:ascii="宋体" w:hAnsi="宋体" w:eastAsia="宋体" w:cs="宋体"/>
          <w:color w:val="auto"/>
          <w:sz w:val="24"/>
          <w:szCs w:val="24"/>
          <w:highlight w:val="none"/>
        </w:rPr>
        <w:t>乙方应在合同履行过程中通过现场交流、技术资料提供等方式向甲方传授相关知识。</w:t>
      </w:r>
    </w:p>
    <w:p w14:paraId="175D2A87">
      <w:pPr>
        <w:pStyle w:val="9"/>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6.12</w:t>
      </w:r>
      <w:r>
        <w:rPr>
          <w:rFonts w:hint="eastAsia" w:ascii="宋体" w:hAnsi="宋体" w:eastAsia="宋体" w:cs="宋体"/>
          <w:color w:val="auto"/>
          <w:sz w:val="24"/>
          <w:szCs w:val="24"/>
          <w:highlight w:val="none"/>
        </w:rPr>
        <w:t>乙方应承担替换部件运输过程中所发生的损失和费用，替换部件到达甲方指定地点并交付甲方前的风险由乙方承担。</w:t>
      </w:r>
    </w:p>
    <w:p w14:paraId="3B30391C">
      <w:pPr>
        <w:pStyle w:val="9"/>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6.13</w:t>
      </w:r>
      <w:r>
        <w:rPr>
          <w:rFonts w:hint="eastAsia" w:ascii="宋体" w:hAnsi="宋体" w:eastAsia="宋体" w:cs="宋体"/>
          <w:color w:val="auto"/>
          <w:sz w:val="24"/>
          <w:szCs w:val="24"/>
          <w:highlight w:val="none"/>
        </w:rPr>
        <w:t>根据服务</w:t>
      </w:r>
      <w:r>
        <w:rPr>
          <w:rFonts w:hint="eastAsia" w:ascii="宋体" w:hAnsi="宋体" w:eastAsia="宋体" w:cs="宋体"/>
          <w:color w:val="auto"/>
          <w:kern w:val="0"/>
          <w:sz w:val="24"/>
          <w:szCs w:val="24"/>
          <w:highlight w:val="none"/>
        </w:rPr>
        <w:t>需要替换材料设备或配件的，</w:t>
      </w:r>
      <w:r>
        <w:rPr>
          <w:rFonts w:hint="eastAsia" w:ascii="宋体" w:hAnsi="宋体" w:eastAsia="宋体" w:cs="宋体"/>
          <w:color w:val="auto"/>
          <w:kern w:val="0"/>
          <w:sz w:val="24"/>
          <w:szCs w:val="24"/>
          <w:highlight w:val="none"/>
          <w:lang w:val="en-US" w:eastAsia="zh-CN"/>
        </w:rPr>
        <w:t>由乙方提供</w:t>
      </w:r>
      <w:r>
        <w:rPr>
          <w:rFonts w:hint="eastAsia" w:ascii="宋体" w:hAnsi="宋体" w:eastAsia="宋体" w:cs="宋体"/>
          <w:color w:val="auto"/>
          <w:kern w:val="0"/>
          <w:sz w:val="24"/>
          <w:szCs w:val="24"/>
          <w:highlight w:val="none"/>
        </w:rPr>
        <w:t>，被替换下来的材料设备或配件所有权属于【甲】方</w:t>
      </w:r>
      <w:r>
        <w:rPr>
          <w:rFonts w:hint="eastAsia" w:ascii="宋体" w:hAnsi="宋体" w:eastAsia="宋体" w:cs="宋体"/>
          <w:color w:val="auto"/>
          <w:kern w:val="0"/>
          <w:sz w:val="24"/>
          <w:szCs w:val="24"/>
          <w:highlight w:val="none"/>
          <w:lang w:eastAsia="zh-CN"/>
        </w:rPr>
        <w:t>。</w:t>
      </w:r>
    </w:p>
    <w:p w14:paraId="772998AF">
      <w:pPr>
        <w:keepNext w:val="0"/>
        <w:keepLines w:val="0"/>
        <w:pageBreakBefore w:val="0"/>
        <w:widowControl w:val="0"/>
        <w:kinsoku/>
        <w:wordWrap/>
        <w:overflowPunct/>
        <w:topLinePunct w:val="0"/>
        <w:autoSpaceDE/>
        <w:autoSpaceDN/>
        <w:bidi w:val="0"/>
        <w:snapToGrid/>
        <w:spacing w:after="0" w:afterLines="0" w:line="360" w:lineRule="auto"/>
        <w:ind w:firstLine="482" w:firstLineChars="200"/>
        <w:jc w:val="both"/>
        <w:textAlignment w:val="auto"/>
        <w:rPr>
          <w:rFonts w:hint="eastAsia" w:ascii="宋体" w:hAnsi="宋体" w:eastAsia="宋体" w:cs="宋体"/>
          <w:b/>
          <w:bCs/>
          <w:color w:val="auto"/>
          <w:sz w:val="24"/>
          <w:szCs w:val="24"/>
          <w:highlight w:val="none"/>
        </w:rPr>
      </w:pPr>
      <w:bookmarkStart w:id="7" w:name="_Toc333174976"/>
      <w:r>
        <w:rPr>
          <w:rFonts w:hint="eastAsia" w:ascii="宋体" w:hAnsi="宋体" w:eastAsia="宋体" w:cs="宋体"/>
          <w:b/>
          <w:bCs/>
          <w:color w:val="auto"/>
          <w:sz w:val="24"/>
          <w:szCs w:val="24"/>
          <w:highlight w:val="none"/>
        </w:rPr>
        <w:t>第七条  价格</w:t>
      </w:r>
      <w:bookmarkEnd w:id="4"/>
      <w:bookmarkEnd w:id="5"/>
      <w:bookmarkEnd w:id="7"/>
    </w:p>
    <w:p w14:paraId="3461A428">
      <w:pPr>
        <w:pStyle w:val="9"/>
        <w:keepNext w:val="0"/>
        <w:keepLines w:val="0"/>
        <w:pageBreakBefore w:val="0"/>
        <w:widowControl w:val="0"/>
        <w:numPr>
          <w:ilvl w:val="0"/>
          <w:numId w:val="0"/>
        </w:numPr>
        <w:kinsoku/>
        <w:wordWrap/>
        <w:overflowPunct/>
        <w:topLinePunct w:val="0"/>
        <w:autoSpaceDE/>
        <w:autoSpaceDN/>
        <w:bidi w:val="0"/>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w:t>
      </w:r>
      <w:r>
        <w:rPr>
          <w:rFonts w:hint="eastAsia" w:ascii="宋体" w:hAnsi="宋体" w:eastAsia="宋体" w:cs="宋体"/>
          <w:color w:val="auto"/>
          <w:sz w:val="24"/>
          <w:szCs w:val="24"/>
          <w:highlight w:val="none"/>
          <w:lang w:val="en-US" w:eastAsia="zh-CN"/>
        </w:rPr>
        <w:t>硬件部分合同金额为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元</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含税</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u w:val="none"/>
          <w:lang w:val="en-US" w:eastAsia="zh-CN"/>
        </w:rPr>
        <w:t>人民币</w:t>
      </w:r>
      <w:r>
        <w:rPr>
          <w:rFonts w:hint="eastAsia" w:ascii="宋体" w:hAnsi="宋体" w:eastAsia="宋体" w:cs="宋体"/>
          <w:color w:val="auto"/>
          <w:sz w:val="24"/>
          <w:szCs w:val="24"/>
          <w:highlight w:val="none"/>
          <w:u w:val="single"/>
          <w:lang w:val="en-US" w:eastAsia="zh-CN"/>
        </w:rPr>
        <w:t xml:space="preserve">   元整</w:t>
      </w:r>
      <w:r>
        <w:rPr>
          <w:rFonts w:hint="eastAsia" w:ascii="宋体" w:hAnsi="宋体" w:eastAsia="宋体" w:cs="宋体"/>
          <w:color w:val="auto"/>
          <w:sz w:val="24"/>
          <w:szCs w:val="24"/>
          <w:highlight w:val="none"/>
          <w:u w:val="none"/>
          <w:lang w:val="en-US" w:eastAsia="zh-CN"/>
        </w:rPr>
        <w:t>；软件部分合同</w:t>
      </w:r>
      <w:r>
        <w:rPr>
          <w:rFonts w:hint="eastAsia" w:ascii="宋体" w:hAnsi="宋体" w:eastAsia="宋体" w:cs="宋体"/>
          <w:color w:val="auto"/>
          <w:sz w:val="24"/>
          <w:szCs w:val="24"/>
          <w:highlight w:val="none"/>
          <w:lang w:val="en-US" w:eastAsia="zh-CN"/>
        </w:rPr>
        <w:t>金额</w:t>
      </w:r>
      <w:r>
        <w:rPr>
          <w:rFonts w:hint="eastAsia" w:ascii="宋体" w:hAnsi="宋体" w:eastAsia="宋体" w:cs="宋体"/>
          <w:color w:val="auto"/>
          <w:sz w:val="24"/>
          <w:szCs w:val="24"/>
          <w:highlight w:val="none"/>
          <w:u w:val="none"/>
          <w:lang w:val="en-US" w:eastAsia="zh-CN"/>
        </w:rPr>
        <w:t>为¥</w:t>
      </w:r>
      <w:r>
        <w:rPr>
          <w:rFonts w:hint="eastAsia" w:ascii="宋体" w:hAnsi="宋体" w:eastAsia="宋体" w:cs="宋体"/>
          <w:color w:val="auto"/>
          <w:sz w:val="24"/>
          <w:szCs w:val="24"/>
          <w:highlight w:val="none"/>
          <w:u w:val="single"/>
          <w:lang w:val="en-US" w:eastAsia="zh-CN"/>
        </w:rPr>
        <w:t xml:space="preserve">   元（含税）</w:t>
      </w:r>
      <w:r>
        <w:rPr>
          <w:rFonts w:hint="eastAsia" w:ascii="宋体" w:hAnsi="宋体" w:eastAsia="宋体" w:cs="宋体"/>
          <w:color w:val="auto"/>
          <w:sz w:val="24"/>
          <w:szCs w:val="24"/>
          <w:highlight w:val="none"/>
          <w:u w:val="none"/>
          <w:lang w:val="en-US" w:eastAsia="zh-CN"/>
        </w:rPr>
        <w:t>，大写人民币</w:t>
      </w:r>
      <w:r>
        <w:rPr>
          <w:rFonts w:hint="eastAsia" w:ascii="宋体" w:hAnsi="宋体" w:eastAsia="宋体" w:cs="宋体"/>
          <w:color w:val="auto"/>
          <w:sz w:val="24"/>
          <w:szCs w:val="24"/>
          <w:highlight w:val="none"/>
          <w:u w:val="single"/>
          <w:lang w:val="en-US" w:eastAsia="zh-CN"/>
        </w:rPr>
        <w:t xml:space="preserve">   元整</w:t>
      </w:r>
      <w:r>
        <w:rPr>
          <w:rFonts w:hint="eastAsia" w:ascii="宋体" w:hAnsi="宋体" w:eastAsia="宋体" w:cs="宋体"/>
          <w:color w:val="auto"/>
          <w:sz w:val="24"/>
          <w:szCs w:val="24"/>
          <w:highlight w:val="none"/>
          <w:lang w:eastAsia="zh-CN"/>
        </w:rPr>
        <w:t>。</w:t>
      </w:r>
    </w:p>
    <w:p w14:paraId="4AD9C4AC">
      <w:pPr>
        <w:keepNext w:val="0"/>
        <w:keepLines w:val="0"/>
        <w:pageBreakBefore w:val="0"/>
        <w:widowControl w:val="0"/>
        <w:kinsoku/>
        <w:wordWrap/>
        <w:overflowPunct/>
        <w:topLinePunct w:val="0"/>
        <w:autoSpaceDE/>
        <w:autoSpaceDN/>
        <w:bidi w:val="0"/>
        <w:snapToGrid/>
        <w:spacing w:after="0" w:afterLines="0" w:line="360" w:lineRule="auto"/>
        <w:ind w:firstLine="482" w:firstLineChars="200"/>
        <w:jc w:val="both"/>
        <w:textAlignment w:val="auto"/>
        <w:rPr>
          <w:rFonts w:hint="eastAsia" w:ascii="宋体" w:hAnsi="宋体" w:eastAsia="宋体" w:cs="宋体"/>
          <w:b/>
          <w:bCs/>
          <w:color w:val="auto"/>
          <w:sz w:val="24"/>
          <w:szCs w:val="24"/>
          <w:highlight w:val="none"/>
        </w:rPr>
      </w:pPr>
      <w:bookmarkStart w:id="8" w:name="_Toc48999876"/>
      <w:bookmarkStart w:id="9" w:name="_Toc48999688"/>
      <w:bookmarkStart w:id="10" w:name="_Toc333174977"/>
      <w:r>
        <w:rPr>
          <w:rFonts w:hint="eastAsia" w:ascii="宋体" w:hAnsi="宋体" w:eastAsia="宋体" w:cs="宋体"/>
          <w:b/>
          <w:bCs/>
          <w:color w:val="auto"/>
          <w:sz w:val="24"/>
          <w:szCs w:val="24"/>
          <w:highlight w:val="none"/>
        </w:rPr>
        <w:t>第八条  付款方式</w:t>
      </w:r>
      <w:bookmarkEnd w:id="8"/>
      <w:bookmarkEnd w:id="9"/>
      <w:bookmarkEnd w:id="10"/>
    </w:p>
    <w:p w14:paraId="42CFB1AD">
      <w:pPr>
        <w:pStyle w:val="9"/>
        <w:keepNext w:val="0"/>
        <w:keepLines w:val="0"/>
        <w:pageBreakBefore w:val="0"/>
        <w:widowControl w:val="0"/>
        <w:tabs>
          <w:tab w:val="left" w:pos="840"/>
        </w:tabs>
        <w:kinsoku/>
        <w:wordWrap/>
        <w:overflowPunct/>
        <w:topLinePunct w:val="0"/>
        <w:autoSpaceDE/>
        <w:autoSpaceDN/>
        <w:bidi w:val="0"/>
        <w:snapToGrid/>
        <w:spacing w:afterLines="0" w:line="360" w:lineRule="auto"/>
        <w:ind w:firstLine="56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8.1</w:t>
      </w:r>
      <w:bookmarkStart w:id="11" w:name="_Toc333174979"/>
      <w:bookmarkStart w:id="12" w:name="_Toc48999883"/>
      <w:bookmarkStart w:id="13" w:name="_Toc48999695"/>
      <w:r>
        <w:rPr>
          <w:rFonts w:hint="eastAsia" w:ascii="宋体" w:hAnsi="宋体" w:eastAsia="宋体" w:cs="宋体"/>
          <w:color w:val="auto"/>
          <w:kern w:val="0"/>
          <w:sz w:val="24"/>
          <w:szCs w:val="24"/>
          <w:highlight w:val="none"/>
          <w:lang w:val="en-US" w:eastAsia="zh-CN"/>
        </w:rPr>
        <w:t>本项目无预付款，按半年结算。每半年末，供应商向采购人提交工程维护相关资料，经财政局结算评审后，以合同约定计价方法核算，并以转账形式支付供应商费用，供应商申报费用前应向采购人提交同等金额正式完税发票。达到付款条件起30日内，支付合同总金额的50.00%。</w:t>
      </w:r>
    </w:p>
    <w:p w14:paraId="616389C0">
      <w:pPr>
        <w:pStyle w:val="9"/>
        <w:keepNext w:val="0"/>
        <w:keepLines w:val="0"/>
        <w:pageBreakBefore w:val="0"/>
        <w:widowControl w:val="0"/>
        <w:tabs>
          <w:tab w:val="left" w:pos="840"/>
        </w:tabs>
        <w:kinsoku/>
        <w:wordWrap/>
        <w:overflowPunct/>
        <w:topLinePunct w:val="0"/>
        <w:autoSpaceDE/>
        <w:autoSpaceDN/>
        <w:bidi w:val="0"/>
        <w:snapToGrid/>
        <w:spacing w:afterLines="0" w:line="360" w:lineRule="auto"/>
        <w:ind w:firstLine="56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硬件部分：按照实际发生结算，乙方报费用清单，甲方确认。</w:t>
      </w:r>
    </w:p>
    <w:p w14:paraId="5D4837CF">
      <w:pPr>
        <w:pStyle w:val="9"/>
        <w:keepNext w:val="0"/>
        <w:keepLines w:val="0"/>
        <w:pageBreakBefore w:val="0"/>
        <w:widowControl w:val="0"/>
        <w:tabs>
          <w:tab w:val="left" w:pos="840"/>
        </w:tabs>
        <w:kinsoku/>
        <w:wordWrap/>
        <w:overflowPunct/>
        <w:topLinePunct w:val="0"/>
        <w:autoSpaceDE/>
        <w:autoSpaceDN/>
        <w:bidi w:val="0"/>
        <w:snapToGrid/>
        <w:spacing w:afterLines="0" w:line="360" w:lineRule="auto"/>
        <w:ind w:firstLine="56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软件部分：第1项至第15项按照包干计算；“第16项至第22项”（综合执法应用平台）按照实际发生费用结算，乙方报费用明细，甲方确认。即维护系统正常运行,定期进行维护升级，按照维保要求排除故障。</w:t>
      </w:r>
    </w:p>
    <w:p w14:paraId="08AA1AB5">
      <w:pPr>
        <w:pStyle w:val="9"/>
        <w:keepNext w:val="0"/>
        <w:keepLines w:val="0"/>
        <w:pageBreakBefore w:val="0"/>
        <w:widowControl w:val="0"/>
        <w:tabs>
          <w:tab w:val="left" w:pos="840"/>
        </w:tabs>
        <w:kinsoku/>
        <w:wordWrap/>
        <w:overflowPunct/>
        <w:topLinePunct w:val="0"/>
        <w:autoSpaceDE/>
        <w:autoSpaceDN/>
        <w:bidi w:val="0"/>
        <w:snapToGrid/>
        <w:spacing w:afterLines="0" w:line="360" w:lineRule="auto"/>
        <w:ind w:firstLine="56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待服务期满后，乙方向甲方提供甲方上级财务主管部门指定或具有审计资质的审计公司对该年度工作量进行审计后的结算报告。如结算价格低于预估价格，以结算价格为准扣除服务质量监督款后支付；如结算价格高于预估价格，以预估价格为准扣除服务质量监督款后支付</w:t>
      </w:r>
      <w:r>
        <w:rPr>
          <w:rFonts w:hint="eastAsia" w:ascii="宋体" w:hAnsi="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eastAsia="zh-CN"/>
        </w:rPr>
        <w:t>达到付款条件起30日内，支付合同总金额的50.00%。</w:t>
      </w:r>
    </w:p>
    <w:p w14:paraId="1B731AB6">
      <w:pPr>
        <w:pStyle w:val="9"/>
        <w:keepNext w:val="0"/>
        <w:keepLines w:val="0"/>
        <w:pageBreakBefore w:val="0"/>
        <w:widowControl w:val="0"/>
        <w:tabs>
          <w:tab w:val="left" w:pos="840"/>
        </w:tabs>
        <w:kinsoku/>
        <w:wordWrap/>
        <w:overflowPunct/>
        <w:topLinePunct w:val="0"/>
        <w:autoSpaceDE/>
        <w:autoSpaceDN/>
        <w:bidi w:val="0"/>
        <w:snapToGrid/>
        <w:spacing w:afterLines="0" w:line="360" w:lineRule="auto"/>
        <w:ind w:firstLine="56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上述</w:t>
      </w:r>
      <w:r>
        <w:rPr>
          <w:rFonts w:hint="eastAsia" w:ascii="宋体" w:hAnsi="宋体" w:eastAsia="宋体" w:cs="宋体"/>
          <w:color w:val="auto"/>
          <w:kern w:val="0"/>
          <w:sz w:val="24"/>
          <w:szCs w:val="24"/>
          <w:highlight w:val="none"/>
          <w:lang w:val="en-US" w:eastAsia="zh-CN"/>
        </w:rPr>
        <w:t>约定合同金额50%的支付比例仅为阶段性预估付款参考比例，不作为最终实际结算支付金额依据，本项目最终结算金额以财政部门结算评审后的金额据实结算。</w:t>
      </w:r>
    </w:p>
    <w:p w14:paraId="164B58E2">
      <w:pPr>
        <w:keepNext w:val="0"/>
        <w:keepLines w:val="0"/>
        <w:pageBreakBefore w:val="0"/>
        <w:widowControl w:val="0"/>
        <w:tabs>
          <w:tab w:val="left" w:pos="284"/>
        </w:tabs>
        <w:kinsoku/>
        <w:wordWrap/>
        <w:overflowPunct/>
        <w:topLinePunct w:val="0"/>
        <w:autoSpaceDE/>
        <w:autoSpaceDN/>
        <w:bidi w:val="0"/>
        <w:adjustRightInd/>
        <w:snapToGrid/>
        <w:spacing w:after="0" w:afterLines="0" w:line="360" w:lineRule="auto"/>
        <w:ind w:left="533" w:leftChars="254" w:firstLine="0" w:firstLineChars="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8.2 乙方收款账户信息如下：</w:t>
      </w:r>
      <w:r>
        <w:rPr>
          <w:rFonts w:hint="eastAsia" w:ascii="宋体" w:hAnsi="宋体" w:eastAsia="宋体" w:cs="宋体"/>
          <w:color w:val="auto"/>
          <w:kern w:val="0"/>
          <w:sz w:val="24"/>
          <w:szCs w:val="24"/>
          <w:highlight w:val="none"/>
          <w:lang w:val="en-US" w:eastAsia="zh-CN"/>
        </w:rPr>
        <w:br w:type="textWrapping"/>
      </w:r>
      <w:r>
        <w:rPr>
          <w:rFonts w:hint="eastAsia" w:ascii="宋体" w:hAnsi="宋体" w:eastAsia="宋体" w:cs="宋体"/>
          <w:color w:val="auto"/>
          <w:kern w:val="0"/>
          <w:sz w:val="24"/>
          <w:szCs w:val="24"/>
          <w:highlight w:val="none"/>
          <w:lang w:val="en-US" w:eastAsia="zh-CN"/>
        </w:rPr>
        <w:t xml:space="preserve">名  称： </w:t>
      </w:r>
    </w:p>
    <w:p w14:paraId="2CE21962">
      <w:pPr>
        <w:keepNext w:val="0"/>
        <w:keepLines w:val="0"/>
        <w:pageBreakBefore w:val="0"/>
        <w:widowControl w:val="0"/>
        <w:tabs>
          <w:tab w:val="left" w:pos="284"/>
        </w:tabs>
        <w:kinsoku/>
        <w:wordWrap/>
        <w:overflowPunct/>
        <w:topLinePunct w:val="0"/>
        <w:autoSpaceDE/>
        <w:autoSpaceDN/>
        <w:bidi w:val="0"/>
        <w:adjustRightInd/>
        <w:snapToGrid/>
        <w:spacing w:after="0" w:afterLines="0" w:line="360" w:lineRule="auto"/>
        <w:ind w:left="533" w:leftChars="254" w:firstLine="0" w:firstLineChars="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开户行：</w:t>
      </w:r>
    </w:p>
    <w:p w14:paraId="3F8CBD73">
      <w:pPr>
        <w:keepNext w:val="0"/>
        <w:keepLines w:val="0"/>
        <w:pageBreakBefore w:val="0"/>
        <w:widowControl w:val="0"/>
        <w:tabs>
          <w:tab w:val="left" w:pos="284"/>
        </w:tabs>
        <w:kinsoku/>
        <w:wordWrap/>
        <w:overflowPunct/>
        <w:topLinePunct w:val="0"/>
        <w:autoSpaceDE/>
        <w:autoSpaceDN/>
        <w:bidi w:val="0"/>
        <w:adjustRightInd/>
        <w:snapToGrid/>
        <w:spacing w:after="0" w:afterLines="0" w:line="360" w:lineRule="auto"/>
        <w:ind w:left="533" w:leftChars="254" w:firstLine="0" w:firstLineChars="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账  号：</w:t>
      </w:r>
    </w:p>
    <w:p w14:paraId="658233C2">
      <w:pPr>
        <w:keepNext w:val="0"/>
        <w:keepLines w:val="0"/>
        <w:pageBreakBefore w:val="0"/>
        <w:widowControl w:val="0"/>
        <w:kinsoku/>
        <w:wordWrap/>
        <w:overflowPunct/>
        <w:topLinePunct w:val="0"/>
        <w:autoSpaceDE/>
        <w:autoSpaceDN/>
        <w:bidi w:val="0"/>
        <w:snapToGrid/>
        <w:spacing w:after="0" w:afterLines="0" w:line="360" w:lineRule="auto"/>
        <w:ind w:firstLine="482"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第九条  知识产权</w:t>
      </w:r>
      <w:bookmarkEnd w:id="11"/>
    </w:p>
    <w:p w14:paraId="0E84C4C4">
      <w:pPr>
        <w:keepNext w:val="0"/>
        <w:keepLines w:val="0"/>
        <w:pageBreakBefore w:val="0"/>
        <w:widowControl w:val="0"/>
        <w:tabs>
          <w:tab w:val="left" w:pos="284"/>
        </w:tabs>
        <w:kinsoku/>
        <w:wordWrap/>
        <w:overflowPunct/>
        <w:topLinePunct w:val="0"/>
        <w:autoSpaceDE/>
        <w:autoSpaceDN/>
        <w:bidi w:val="0"/>
        <w:adjustRightInd/>
        <w:snapToGrid/>
        <w:spacing w:after="0"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乙方保证对其在服务过程中提供给甲方的软件、专利（含专有技术，下同）等成果拥有完全的知识产权或已经权利人许可使用，甲方依据本合同使用乙方提供的上述成果不会侵犯任何第三方的知识产权或其他权利，且甲方有权持续并不受干扰地使用上述成果。</w:t>
      </w:r>
    </w:p>
    <w:p w14:paraId="1EB5C1DA">
      <w:pPr>
        <w:keepNext w:val="0"/>
        <w:keepLines w:val="0"/>
        <w:pageBreakBefore w:val="0"/>
        <w:widowControl w:val="0"/>
        <w:tabs>
          <w:tab w:val="left" w:pos="284"/>
        </w:tabs>
        <w:kinsoku/>
        <w:wordWrap/>
        <w:overflowPunct/>
        <w:topLinePunct w:val="0"/>
        <w:autoSpaceDE/>
        <w:autoSpaceDN/>
        <w:bidi w:val="0"/>
        <w:adjustRightInd/>
        <w:snapToGrid/>
        <w:spacing w:after="0"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甲方依本合同向乙方提供的所有资料、专利、软件产品及其数据或程序、文档等，其知识产权和/或其它权益全部归甲方所有，未经甲方事先书面同意，乙方不得为本合同之外的目的自行使用或擅自许可任何第三方使用，也不得向任何第三方披露。</w:t>
      </w:r>
    </w:p>
    <w:p w14:paraId="4DEDC664">
      <w:pPr>
        <w:keepNext w:val="0"/>
        <w:keepLines w:val="0"/>
        <w:pageBreakBefore w:val="0"/>
        <w:widowControl w:val="0"/>
        <w:tabs>
          <w:tab w:val="left" w:pos="284"/>
        </w:tabs>
        <w:kinsoku/>
        <w:wordWrap/>
        <w:overflowPunct/>
        <w:topLinePunct w:val="0"/>
        <w:autoSpaceDE/>
        <w:autoSpaceDN/>
        <w:bidi w:val="0"/>
        <w:adjustRightInd/>
        <w:snapToGrid/>
        <w:spacing w:after="0"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9.3乙方依据甲方拥有知识产权的业务规范、标准和要求或者是利用甲方的系统、资料数据、平台、网络等资源开发的所有专利、软件及其数据或程序等成果以及形成的技术文档的知识产权和/或其它权益归甲方所有。</w:t>
      </w:r>
    </w:p>
    <w:p w14:paraId="1356EE1B">
      <w:pPr>
        <w:keepNext w:val="0"/>
        <w:keepLines w:val="0"/>
        <w:pageBreakBefore w:val="0"/>
        <w:widowControl w:val="0"/>
        <w:tabs>
          <w:tab w:val="left" w:pos="284"/>
        </w:tabs>
        <w:kinsoku/>
        <w:wordWrap/>
        <w:overflowPunct/>
        <w:topLinePunct w:val="0"/>
        <w:autoSpaceDE/>
        <w:autoSpaceDN/>
        <w:bidi w:val="0"/>
        <w:adjustRightInd/>
        <w:snapToGrid/>
        <w:spacing w:after="0"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9.4甲方有权为自身运营的目的对乙方提供的专利、软件、文档、数据模型、类库等进行再开发，再开发成果的知识产权和/或其它权益归甲方所有，乙方有义务配合甲方的上述再开发工作。</w:t>
      </w:r>
    </w:p>
    <w:p w14:paraId="0F39D635">
      <w:pPr>
        <w:keepNext w:val="0"/>
        <w:keepLines w:val="0"/>
        <w:pageBreakBefore w:val="0"/>
        <w:widowControl w:val="0"/>
        <w:tabs>
          <w:tab w:val="left" w:pos="284"/>
        </w:tabs>
        <w:kinsoku/>
        <w:wordWrap/>
        <w:overflowPunct/>
        <w:topLinePunct w:val="0"/>
        <w:autoSpaceDE/>
        <w:autoSpaceDN/>
        <w:bidi w:val="0"/>
        <w:adjustRightInd/>
        <w:snapToGrid/>
        <w:spacing w:after="0"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9.5乙方保证其对本合同的履行以及提供的服务不会侵犯任何第三方的知识产权和/或其他合法权益。乙方承诺由于其侵权而引起的一切法律责任均由其承担。如果甲方因乙方侵犯第三方合法权利而涉入诉讼、索赔或其他司法程序（以下称“侵权诉讼”），乙方同意按照以下规定进行处理和赔偿：</w:t>
      </w:r>
    </w:p>
    <w:p w14:paraId="20389372">
      <w:pPr>
        <w:keepNext w:val="0"/>
        <w:keepLines w:val="0"/>
        <w:pageBreakBefore w:val="0"/>
        <w:widowControl w:val="0"/>
        <w:tabs>
          <w:tab w:val="left" w:pos="284"/>
        </w:tabs>
        <w:kinsoku/>
        <w:wordWrap/>
        <w:overflowPunct/>
        <w:topLinePunct w:val="0"/>
        <w:autoSpaceDE/>
        <w:autoSpaceDN/>
        <w:bidi w:val="0"/>
        <w:adjustRightInd/>
        <w:snapToGrid/>
        <w:spacing w:after="0"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9.5.1乙方应当在收到甲方通知后，迅速指派代表为甲方的权益参与上述第三方提起的侵权诉讼，乙方应在上述侵权诉讼进行过程中就诉讼策略及其他事宜向甲方提供必要的支持与协助，并承担所产生的一切诉讼费用、律师费用、差旅费用、和解金额或生效法律文书中规定的损害赔偿金额等费用。</w:t>
      </w:r>
    </w:p>
    <w:p w14:paraId="6A1932E8">
      <w:pPr>
        <w:keepNext w:val="0"/>
        <w:keepLines w:val="0"/>
        <w:pageBreakBefore w:val="0"/>
        <w:widowControl w:val="0"/>
        <w:tabs>
          <w:tab w:val="left" w:pos="284"/>
        </w:tabs>
        <w:kinsoku/>
        <w:wordWrap/>
        <w:overflowPunct/>
        <w:topLinePunct w:val="0"/>
        <w:autoSpaceDE/>
        <w:autoSpaceDN/>
        <w:bidi w:val="0"/>
        <w:adjustRightInd/>
        <w:snapToGrid/>
        <w:spacing w:after="0"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9.5.2甲方有权按照本合同关于违约责任的规定要求乙方承担违约责任。</w:t>
      </w:r>
    </w:p>
    <w:p w14:paraId="4EDF6FA0">
      <w:pPr>
        <w:keepNext w:val="0"/>
        <w:keepLines w:val="0"/>
        <w:pageBreakBefore w:val="0"/>
        <w:widowControl w:val="0"/>
        <w:tabs>
          <w:tab w:val="left" w:pos="284"/>
        </w:tabs>
        <w:kinsoku/>
        <w:wordWrap/>
        <w:overflowPunct/>
        <w:topLinePunct w:val="0"/>
        <w:autoSpaceDE/>
        <w:autoSpaceDN/>
        <w:bidi w:val="0"/>
        <w:adjustRightInd/>
        <w:snapToGrid/>
        <w:spacing w:after="0"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9.6如果在上述侵权诉讼中生效法律文书认定甲方构成侵权，禁止甲方继续使用相关成果（或其知识产权和/或其它权益）的一部分或全部，或应向第三方权利人支付使用费用，乙方应按甲方的要求采取以下措施之一：</w:t>
      </w:r>
    </w:p>
    <w:p w14:paraId="7BB54E6D">
      <w:pPr>
        <w:keepNext w:val="0"/>
        <w:keepLines w:val="0"/>
        <w:pageBreakBefore w:val="0"/>
        <w:widowControl w:val="0"/>
        <w:tabs>
          <w:tab w:val="left" w:pos="284"/>
        </w:tabs>
        <w:kinsoku/>
        <w:wordWrap/>
        <w:overflowPunct/>
        <w:topLinePunct w:val="0"/>
        <w:autoSpaceDE/>
        <w:autoSpaceDN/>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（1）使甲方重新获得合法使用上述成果（或其知识产权和/或其它权益）的权利，乙方应承担因此产生的全部费用；</w:t>
      </w:r>
    </w:p>
    <w:p w14:paraId="5ABA92AE">
      <w:pPr>
        <w:keepNext w:val="0"/>
        <w:keepLines w:val="0"/>
        <w:pageBreakBefore w:val="0"/>
        <w:widowControl w:val="0"/>
        <w:tabs>
          <w:tab w:val="left" w:pos="284"/>
        </w:tabs>
        <w:kinsoku/>
        <w:wordWrap/>
        <w:overflowPunct/>
        <w:topLinePunct w:val="0"/>
        <w:autoSpaceDE/>
        <w:autoSpaceDN/>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（2）在甲方要求的合理期限内对上述成果（或其知识产权和/或其它权益）进行修改或更换，以使甲方的使用不受上述法律文书限制，采取以上措施所发生的一切费用均由乙方承担；</w:t>
      </w:r>
    </w:p>
    <w:p w14:paraId="1DDF94E9">
      <w:pPr>
        <w:keepNext w:val="0"/>
        <w:keepLines w:val="0"/>
        <w:pageBreakBefore w:val="0"/>
        <w:widowControl w:val="0"/>
        <w:tabs>
          <w:tab w:val="left" w:pos="284"/>
        </w:tabs>
        <w:kinsoku/>
        <w:wordWrap/>
        <w:overflowPunct/>
        <w:topLinePunct w:val="0"/>
        <w:autoSpaceDE/>
        <w:autoSpaceDN/>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若上述成果（或其知识产权和/或其它权益）有其他同型同质的替代物可供使用，则经甲方同意，乙方亦可收回上述成果（或其知识产权和/或其它权益）及相关技术文件，并将相应合同价款返还给甲方，对甲方由此遭受的损失及购</w:t>
      </w:r>
      <w:r>
        <w:rPr>
          <w:rFonts w:hint="eastAsia" w:ascii="宋体" w:hAnsi="宋体" w:eastAsia="宋体" w:cs="宋体"/>
          <w:color w:val="auto"/>
          <w:sz w:val="24"/>
          <w:szCs w:val="24"/>
          <w:highlight w:val="none"/>
          <w:lang w:val="en-US" w:eastAsia="zh-CN"/>
        </w:rPr>
        <w:t>买</w:t>
      </w:r>
      <w:r>
        <w:rPr>
          <w:rFonts w:hint="eastAsia" w:ascii="宋体" w:hAnsi="宋体" w:eastAsia="宋体" w:cs="宋体"/>
          <w:color w:val="auto"/>
          <w:sz w:val="24"/>
          <w:szCs w:val="24"/>
          <w:highlight w:val="none"/>
        </w:rPr>
        <w:t>上述替代物而支出的费用，乙方应予以承担；</w:t>
      </w:r>
    </w:p>
    <w:p w14:paraId="195C84BC">
      <w:pPr>
        <w:keepNext w:val="0"/>
        <w:keepLines w:val="0"/>
        <w:pageBreakBefore w:val="0"/>
        <w:widowControl w:val="0"/>
        <w:tabs>
          <w:tab w:val="left" w:pos="284"/>
        </w:tabs>
        <w:kinsoku/>
        <w:wordWrap/>
        <w:overflowPunct/>
        <w:topLinePunct w:val="0"/>
        <w:autoSpaceDE/>
        <w:autoSpaceDN/>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（4）如果法律文书生效后，甲方完全不可能继续使用上述成果（或其知识产权和/或其它权益），乙方应赔偿因此给甲方造成的损失</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并承担相应的违约责任</w:t>
      </w:r>
      <w:r>
        <w:rPr>
          <w:rFonts w:hint="eastAsia" w:ascii="宋体" w:hAnsi="宋体" w:eastAsia="宋体" w:cs="宋体"/>
          <w:color w:val="auto"/>
          <w:sz w:val="24"/>
          <w:szCs w:val="24"/>
          <w:highlight w:val="none"/>
        </w:rPr>
        <w:t>。</w:t>
      </w:r>
    </w:p>
    <w:p w14:paraId="1463B10B">
      <w:pPr>
        <w:keepNext w:val="0"/>
        <w:keepLines w:val="0"/>
        <w:pageBreakBefore w:val="0"/>
        <w:widowControl w:val="0"/>
        <w:kinsoku/>
        <w:wordWrap/>
        <w:overflowPunct/>
        <w:topLinePunct w:val="0"/>
        <w:autoSpaceDE/>
        <w:autoSpaceDN/>
        <w:bidi w:val="0"/>
        <w:snapToGrid/>
        <w:spacing w:after="0" w:afterLines="0" w:line="360" w:lineRule="auto"/>
        <w:ind w:firstLine="482" w:firstLineChars="200"/>
        <w:jc w:val="both"/>
        <w:textAlignment w:val="auto"/>
        <w:rPr>
          <w:rFonts w:hint="eastAsia" w:ascii="宋体" w:hAnsi="宋体" w:eastAsia="宋体" w:cs="宋体"/>
          <w:b/>
          <w:bCs/>
          <w:color w:val="auto"/>
          <w:sz w:val="24"/>
          <w:szCs w:val="24"/>
          <w:highlight w:val="none"/>
        </w:rPr>
      </w:pPr>
      <w:bookmarkStart w:id="14" w:name="_Toc333174980"/>
      <w:r>
        <w:rPr>
          <w:rFonts w:hint="eastAsia" w:ascii="宋体" w:hAnsi="宋体" w:eastAsia="宋体" w:cs="宋体"/>
          <w:b/>
          <w:bCs/>
          <w:color w:val="auto"/>
          <w:sz w:val="24"/>
          <w:szCs w:val="24"/>
          <w:highlight w:val="none"/>
        </w:rPr>
        <w:t>第十条  保密</w:t>
      </w:r>
      <w:bookmarkEnd w:id="12"/>
      <w:bookmarkEnd w:id="13"/>
      <w:bookmarkEnd w:id="14"/>
      <w:r>
        <w:rPr>
          <w:rFonts w:hint="eastAsia" w:ascii="宋体" w:hAnsi="宋体" w:eastAsia="宋体" w:cs="宋体"/>
          <w:b/>
          <w:bCs/>
          <w:color w:val="auto"/>
          <w:sz w:val="24"/>
          <w:szCs w:val="24"/>
          <w:highlight w:val="none"/>
        </w:rPr>
        <w:t>责任</w:t>
      </w:r>
    </w:p>
    <w:p w14:paraId="4509C88C">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本合同拥有信息的一方（“提供方”）根据本合同向另一方（“接受方”）提供的信息，以及接受方在合同履行过程中知悉的提供方的信息，包括但不限于技术性信息、商业性信息、文件、程序、计划、技术、图表、模型、参数、数据、标准、专有技术、业务或业务运作方法以及其他专有信息，本合同的条款和与本合同有关的其他商业信息和技术信息(以下统称“保密信息”)，只能由接受方及其人员为本合同目的而使用。除本合同另有规定外，对于提供方提供的任何保密信息，未经提供方的书面同意，接受方及其知悉保密信息的人员均不得直接或间接地以任何方式提供或披露给任何第三方。</w:t>
      </w:r>
    </w:p>
    <w:p w14:paraId="74276DC7">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10.2提供方向接受方提供或披露的保密信息，仅可由接受方为执行本合同需要披露给指定的雇员，并且仅在为执行本合同所需的范围内进行该等披露；但是，接受方在采取一切合理的预防措施之前，不得向其雇员披露任何保密信息，该等预防措施包括但不限于告知该等雇员将要披露信息的保密性质，由该等雇员做出至少与本合同保密义务一样严格的保密承诺等，以防止该等雇员为个人利益使用保密信息或向任何第三方做出未经授权的任何披露。接受方雇员违反保密义务的，视为接受方违反保密义务。</w:t>
      </w:r>
    </w:p>
    <w:p w14:paraId="043C8883">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10.3接受方的律师、会计师、承包商和顾问为提供专业协助而需要了解保密信息时，接受方可向其披露保密信息，但是，其应要求上述人员签订保密协议或按照有关职业道德标准履行保密义务。</w:t>
      </w:r>
    </w:p>
    <w:p w14:paraId="6116FC73">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如相关政府部门或监管机构要求接受方披露任何保密信息，接受方可在该政府部门或机构要求的范围内做出披露而无需承担本合同项下的责任。但前提是，该接受方应立即将需披露的信息书面通知提供方，以便提供方采取必要的保护措施，且该等通知应尽可能在信息披露前做出，并且接受方应尽商业上合理的努力确保该等被披露的信息获得有关政府机关或机构的保密待遇。</w:t>
      </w:r>
    </w:p>
    <w:p w14:paraId="7CAEB92C">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10.5在任何情形下，本条所规定的保密义务应永久持续有效。</w:t>
      </w:r>
    </w:p>
    <w:p w14:paraId="7DBC306F">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10.6本条规定的保密义务对以下信息不适用：</w:t>
      </w:r>
    </w:p>
    <w:p w14:paraId="0DF5999A">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10.6.1在一方披露时，已经是公众所知的信息，或者在披露后，并非由于接受方或其雇员、律师、会计师、承包商、顾问或者其他人员的过失而成为公众所知的信息；</w:t>
      </w:r>
    </w:p>
    <w:p w14:paraId="225914B8">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10.6.2有书面证据证明在披露时已经由接受方掌握的信息，而且信息并非直接或间接来自提供方；</w:t>
      </w:r>
    </w:p>
    <w:p w14:paraId="288D06F1">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10.6.3有书面证据证明第三方已向接受方披露的信息，而该第三方并不负有保密义务，并且有权做出披露。</w:t>
      </w:r>
    </w:p>
    <w:p w14:paraId="081608FF">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10.7当本合同解除或终止时，接受方应立即停止使用且不得许可第三方使用提供方的保密信息，同时，接受方应按照提供方的书面要求，将提供方提供的保密信息退还提供方或予以删除或销毁。</w:t>
      </w:r>
    </w:p>
    <w:p w14:paraId="527E3AE9">
      <w:pPr>
        <w:keepNext w:val="0"/>
        <w:keepLines w:val="0"/>
        <w:pageBreakBefore w:val="0"/>
        <w:widowControl w:val="0"/>
        <w:kinsoku/>
        <w:wordWrap/>
        <w:overflowPunct/>
        <w:topLinePunct w:val="0"/>
        <w:autoSpaceDE/>
        <w:autoSpaceDN/>
        <w:bidi w:val="0"/>
        <w:snapToGrid/>
        <w:spacing w:after="0" w:afterLines="0" w:line="360" w:lineRule="auto"/>
        <w:ind w:firstLine="482" w:firstLineChars="200"/>
        <w:jc w:val="both"/>
        <w:textAlignment w:val="auto"/>
        <w:rPr>
          <w:rFonts w:hint="eastAsia" w:ascii="宋体" w:hAnsi="宋体" w:eastAsia="宋体" w:cs="宋体"/>
          <w:b/>
          <w:bCs/>
          <w:color w:val="auto"/>
          <w:sz w:val="24"/>
          <w:szCs w:val="24"/>
          <w:highlight w:val="none"/>
        </w:rPr>
      </w:pPr>
      <w:bookmarkStart w:id="15" w:name="_Toc333174981"/>
      <w:bookmarkStart w:id="16" w:name="_Toc48999696"/>
      <w:bookmarkStart w:id="17" w:name="_Toc48999884"/>
      <w:r>
        <w:rPr>
          <w:rFonts w:hint="eastAsia" w:ascii="宋体" w:hAnsi="宋体" w:eastAsia="宋体" w:cs="宋体"/>
          <w:b/>
          <w:bCs/>
          <w:color w:val="auto"/>
          <w:sz w:val="24"/>
          <w:szCs w:val="24"/>
          <w:highlight w:val="none"/>
        </w:rPr>
        <w:t>第十一条  承诺与保证</w:t>
      </w:r>
      <w:bookmarkEnd w:id="15"/>
      <w:bookmarkEnd w:id="16"/>
      <w:bookmarkEnd w:id="17"/>
    </w:p>
    <w:p w14:paraId="10E03E10">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乙方承诺：乙方拥有合法销售本合同标的的全部政府许可、生产和/或使用许可和/或授权，对其所销售的标的拥有完全的排他的所有权和/或知识产权，乙方销售本合同标的不会损害任何第三方的合法权益和社会公共利益。</w:t>
      </w:r>
    </w:p>
    <w:p w14:paraId="42BFDD47">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11.2合同一方向另一方保证：作为一家依法成立并合法注册及有效存续的独立法人，具有签署本合同的合法主体资格，且在签署本合同时无任何法律障碍和重大事件影响其继续正常存续和履行本合同的能力。</w:t>
      </w:r>
    </w:p>
    <w:p w14:paraId="4315A287">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合同一方向另一方保证：指定的授权代表具有完全民事行为能力且已获得签署本合同所必须的书面授权，授权代表作为其委托代理人签署本合同并无任何法律障碍，对授权代表签署本合同的任何行为将予以认可，并不存在授权不明或超授权范围的情况，亦不存在任何因上述情况而可能导致合同无效或部分无效、被撤销的情况。</w:t>
      </w:r>
    </w:p>
    <w:p w14:paraId="09EB274A">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11.4乙方承诺：做好网络安全和信息安全工作，遵守国家与网络安全和信息安全相关的法律法规，遵守甲方与网络安全和信息安全相关的管理制度和规范，同时遵守以下规定：</w:t>
      </w:r>
    </w:p>
    <w:p w14:paraId="30518C7F">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11.4.1乙方保证不利用网络危害国家安全、泄露国家秘密，不侵犯国家、社会、集体和第三方的合法权益，不从事违法犯罪活动。</w:t>
      </w:r>
    </w:p>
    <w:p w14:paraId="1AE332E0">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11.4.2乙方承诺，健全本单位的各项网络安全和信息安全管理制度，落实各项安全保护技术措施，严格按照国家相关法律法规做好本单位的网络安全和信息安全工作。</w:t>
      </w:r>
    </w:p>
    <w:p w14:paraId="17A480C3">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11.4.3乙方承诺，在本合同履行过程中，若发生重大网络安全和信息安全事故时，立即采取应急措施，保留有关原始记录，并立即书面通知甲方。</w:t>
      </w:r>
    </w:p>
    <w:p w14:paraId="5905B4A7">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11.4.4乙方承诺，若违反国家与网络安全和信息安全相关的法律法规，由本单位承担相应法律责任，由此给甲方造成损失的，应予赔偿。</w:t>
      </w:r>
    </w:p>
    <w:p w14:paraId="1D01214D">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11.5乙方知晓并同意，甲方有权对乙方提供的服务进行评估，相关的评估结果可能会作为以后甲方相关采购工作的参考因素。</w:t>
      </w:r>
    </w:p>
    <w:p w14:paraId="13A5075F">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11.6乙方违反上述承诺或保证的，甲方有权以书面形式通知乙方终止本合同。</w:t>
      </w:r>
    </w:p>
    <w:p w14:paraId="3198E006">
      <w:pPr>
        <w:keepNext w:val="0"/>
        <w:keepLines w:val="0"/>
        <w:pageBreakBefore w:val="0"/>
        <w:widowControl w:val="0"/>
        <w:kinsoku/>
        <w:wordWrap/>
        <w:overflowPunct/>
        <w:topLinePunct w:val="0"/>
        <w:autoSpaceDE/>
        <w:autoSpaceDN/>
        <w:bidi w:val="0"/>
        <w:snapToGrid/>
        <w:spacing w:after="0" w:afterLines="0" w:line="360" w:lineRule="auto"/>
        <w:ind w:firstLine="482" w:firstLineChars="200"/>
        <w:jc w:val="both"/>
        <w:textAlignment w:val="auto"/>
        <w:rPr>
          <w:rFonts w:hint="eastAsia" w:ascii="宋体" w:hAnsi="宋体" w:eastAsia="宋体" w:cs="宋体"/>
          <w:b/>
          <w:bCs/>
          <w:color w:val="auto"/>
          <w:sz w:val="24"/>
          <w:szCs w:val="24"/>
          <w:highlight w:val="none"/>
        </w:rPr>
      </w:pPr>
      <w:bookmarkStart w:id="18" w:name="_Toc48999885"/>
      <w:bookmarkStart w:id="19" w:name="_Toc48999697"/>
      <w:bookmarkStart w:id="20" w:name="_Toc333174982"/>
      <w:r>
        <w:rPr>
          <w:rFonts w:hint="eastAsia" w:ascii="宋体" w:hAnsi="宋体" w:eastAsia="宋体" w:cs="宋体"/>
          <w:b/>
          <w:bCs/>
          <w:color w:val="auto"/>
          <w:sz w:val="24"/>
          <w:szCs w:val="24"/>
          <w:highlight w:val="none"/>
        </w:rPr>
        <w:t>第十二条  违约责任</w:t>
      </w:r>
      <w:bookmarkEnd w:id="18"/>
      <w:bookmarkEnd w:id="19"/>
      <w:bookmarkEnd w:id="20"/>
    </w:p>
    <w:p w14:paraId="29AA8E91">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12.1任何一方不履行本合同约定的义务或履行义务不符合本合同约定的，均构成违约，应承担违约责任。</w:t>
      </w:r>
    </w:p>
    <w:p w14:paraId="0FA0C068">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12.2因乙方原因逾期提供服务或未在甲方要求的时间内将出现的问题解决完毕的，甲方有权单方解除合同，并要求乙方以如下方式向甲方支付逾期违约金：</w:t>
      </w:r>
    </w:p>
    <w:p w14:paraId="262FD85E">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12.2.1从迟</w:t>
      </w:r>
      <w:r>
        <w:rPr>
          <w:rFonts w:hint="eastAsia" w:ascii="宋体" w:hAnsi="宋体" w:eastAsia="宋体" w:cs="宋体"/>
          <w:color w:val="auto"/>
          <w:sz w:val="24"/>
          <w:szCs w:val="24"/>
          <w:highlight w:val="none"/>
          <w:lang w:val="en-US" w:eastAsia="zh-CN"/>
        </w:rPr>
        <w:t>延</w:t>
      </w:r>
      <w:r>
        <w:rPr>
          <w:rFonts w:hint="eastAsia" w:ascii="宋体" w:hAnsi="宋体" w:eastAsia="宋体" w:cs="宋体"/>
          <w:color w:val="auto"/>
          <w:sz w:val="24"/>
          <w:szCs w:val="24"/>
          <w:highlight w:val="none"/>
        </w:rPr>
        <w:t>履行义务第一周起每迟一周支付合同</w:t>
      </w:r>
      <w:r>
        <w:rPr>
          <w:rFonts w:hint="eastAsia" w:ascii="宋体" w:hAnsi="宋体" w:eastAsia="宋体" w:cs="宋体"/>
          <w:color w:val="auto"/>
          <w:sz w:val="24"/>
          <w:szCs w:val="24"/>
          <w:highlight w:val="none"/>
          <w:lang w:val="en-US" w:eastAsia="zh-CN"/>
        </w:rPr>
        <w:t>暂计</w:t>
      </w:r>
      <w:r>
        <w:rPr>
          <w:rFonts w:hint="eastAsia" w:ascii="宋体" w:hAnsi="宋体" w:eastAsia="宋体" w:cs="宋体"/>
          <w:color w:val="auto"/>
          <w:sz w:val="24"/>
          <w:szCs w:val="24"/>
          <w:highlight w:val="none"/>
        </w:rPr>
        <w:t>总金额的千分之一作为违约金，最高不超过合同</w:t>
      </w:r>
      <w:r>
        <w:rPr>
          <w:rFonts w:hint="eastAsia" w:ascii="宋体" w:hAnsi="宋体" w:eastAsia="宋体" w:cs="宋体"/>
          <w:color w:val="auto"/>
          <w:sz w:val="24"/>
          <w:szCs w:val="24"/>
          <w:highlight w:val="none"/>
          <w:lang w:val="en-US" w:eastAsia="zh-CN"/>
        </w:rPr>
        <w:t>暂计</w:t>
      </w:r>
      <w:r>
        <w:rPr>
          <w:rFonts w:hint="eastAsia" w:ascii="宋体" w:hAnsi="宋体" w:eastAsia="宋体" w:cs="宋体"/>
          <w:color w:val="auto"/>
          <w:sz w:val="24"/>
          <w:szCs w:val="24"/>
          <w:highlight w:val="none"/>
        </w:rPr>
        <w:t>总金额的百分之二十；不够一周的时间计为一周。</w:t>
      </w:r>
    </w:p>
    <w:p w14:paraId="0A3946A3">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12.2.2上述逾期违约金的支付不影响乙方服务义务的履行，且合同时间不因乙方迟延履行义务作任何调整；</w:t>
      </w:r>
    </w:p>
    <w:p w14:paraId="59A7114C">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12.3合同履行过程中，因乙方原因发生任何安全责任事故的，乙方应负责处理并承担相应责任。</w:t>
      </w:r>
    </w:p>
    <w:p w14:paraId="14D989F4">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任何一方违反保密义务，应立即停止违约行为、采取措施减小违约造成的损失，并应向保密信息拥有方支付合同总价【20】%的违约金。上述违约金不足以弥补保密信息拥有方所受损失的，泄密方还应予以赔偿。</w:t>
      </w:r>
    </w:p>
    <w:p w14:paraId="415F4A5A">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12.5乙方违反本合同知识产权条款，应按知识产权条款约定处理，并应向甲方支付合同总价【10】%的违约金。上述违约金不足以弥补甲方所受损失的，乙方还应予以赔偿。</w:t>
      </w:r>
    </w:p>
    <w:p w14:paraId="564DA72D">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2" w:firstLineChars="200"/>
        <w:jc w:val="both"/>
        <w:textAlignment w:val="auto"/>
        <w:rPr>
          <w:rFonts w:hint="eastAsia" w:ascii="宋体" w:hAnsi="宋体" w:eastAsia="宋体" w:cs="宋体"/>
          <w:b/>
          <w:color w:val="auto"/>
          <w:sz w:val="24"/>
          <w:szCs w:val="24"/>
          <w:highlight w:val="none"/>
        </w:rPr>
      </w:pPr>
      <w:bookmarkStart w:id="21" w:name="_Toc333174983"/>
      <w:bookmarkStart w:id="22" w:name="_Toc48999698"/>
      <w:bookmarkStart w:id="23" w:name="_Toc48999886"/>
      <w:r>
        <w:rPr>
          <w:rFonts w:hint="eastAsia" w:ascii="宋体" w:hAnsi="宋体" w:eastAsia="宋体" w:cs="宋体"/>
          <w:b/>
          <w:color w:val="auto"/>
          <w:sz w:val="24"/>
          <w:szCs w:val="24"/>
          <w:highlight w:val="none"/>
        </w:rPr>
        <w:t>第十三条  不可抗力</w:t>
      </w:r>
      <w:bookmarkEnd w:id="21"/>
      <w:bookmarkEnd w:id="22"/>
      <w:bookmarkEnd w:id="23"/>
    </w:p>
    <w:p w14:paraId="4F04DBAF">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13.1本合同所指不可抗力，是指不能预见、不能避免并不能克服的客观情况。</w:t>
      </w:r>
    </w:p>
    <w:p w14:paraId="526ED516">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由于不可抗力事件，致使一方在履行其在本合同项下的义务过程中遇到障碍或延误，不能按约定的条款全部或部分履行其义务的，遇到不可抗力事件的一方（“受阻方”），只要满足下列所有条件，不应视为违反本合同：</w:t>
      </w:r>
    </w:p>
    <w:p w14:paraId="0A66E6D3">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13.2.1受阻方不能全部或部分履行其义务，是由于不可抗力事件直接造成的，且在不可抗力发生前受阻方不存在迟延履行相关义务的情形；</w:t>
      </w:r>
    </w:p>
    <w:p w14:paraId="501F229A">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13.2.2受阻方已尽最大努力履行其义务并减少由于不可抗力事件给另一方造成的损失；</w:t>
      </w:r>
    </w:p>
    <w:p w14:paraId="2B850F28">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13.2.3不可抗力事件发生时，受阻方立即通知了对方，并在不可抗力事件发生后的十五(15)天内提供有关该事件的公证文书和书面说明，书面说明中应包括对延迟履行或部分履行本合同的原因说明。</w:t>
      </w:r>
    </w:p>
    <w:p w14:paraId="35918D00">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13.3不可抗力事件终止或被排除后，受阻方应继续履行本合同，并应尽快通知另一方。受阻方应可延长履行义务的时间，延长期应相当于不可抗力事件实际造成延误的时间。</w:t>
      </w:r>
    </w:p>
    <w:p w14:paraId="735C9900">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如果不可抗力事件的影响持续达三十（30）日或以上时，双方应根据该事件对本合同履行的影响程度协商对本合同的修改或终止。如在一方发出协商书面通知之日起十（10）日内双方无法就此达成一致，任何一方均有权解除本合同而无需承担违约责任。</w:t>
      </w:r>
    </w:p>
    <w:p w14:paraId="1D1B4B94">
      <w:pPr>
        <w:keepNext w:val="0"/>
        <w:keepLines w:val="0"/>
        <w:pageBreakBefore w:val="0"/>
        <w:widowControl w:val="0"/>
        <w:kinsoku/>
        <w:wordWrap/>
        <w:overflowPunct/>
        <w:topLinePunct w:val="0"/>
        <w:autoSpaceDE/>
        <w:autoSpaceDN/>
        <w:bidi w:val="0"/>
        <w:snapToGrid/>
        <w:spacing w:after="0" w:afterLines="0" w:line="360" w:lineRule="auto"/>
        <w:ind w:firstLine="482" w:firstLineChars="200"/>
        <w:jc w:val="both"/>
        <w:textAlignment w:val="auto"/>
        <w:rPr>
          <w:rFonts w:hint="eastAsia" w:ascii="宋体" w:hAnsi="宋体" w:eastAsia="宋体" w:cs="宋体"/>
          <w:b/>
          <w:bCs/>
          <w:color w:val="auto"/>
          <w:sz w:val="24"/>
          <w:szCs w:val="24"/>
          <w:highlight w:val="none"/>
        </w:rPr>
      </w:pPr>
      <w:bookmarkStart w:id="24" w:name="_Toc48999699"/>
      <w:bookmarkStart w:id="25" w:name="_Toc48999887"/>
      <w:bookmarkStart w:id="26" w:name="_Toc333174984"/>
      <w:r>
        <w:rPr>
          <w:rFonts w:hint="eastAsia" w:ascii="宋体" w:hAnsi="宋体" w:eastAsia="宋体" w:cs="宋体"/>
          <w:b/>
          <w:bCs/>
          <w:color w:val="auto"/>
          <w:sz w:val="24"/>
          <w:szCs w:val="24"/>
          <w:highlight w:val="none"/>
        </w:rPr>
        <w:t>第十四条  通知与送达</w:t>
      </w:r>
      <w:bookmarkEnd w:id="24"/>
      <w:bookmarkEnd w:id="25"/>
      <w:bookmarkEnd w:id="26"/>
    </w:p>
    <w:p w14:paraId="65A903DE">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14.1根据本合同需要发出的全部通知，均须采取书面形式，以（A）专人递送，（B）特快专递，（C）传真，或（D）邮箱。特快专递的交寄日以邮戳为准。上述书面通知均须标明合同对方为收件人。</w:t>
      </w:r>
    </w:p>
    <w:p w14:paraId="1A5DACA1">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上述书面通知按对方在本合同第14.4条款中所列的地址发出，并按本合同第14.3条款规定时间被视为已经送达。如双方中任何一方的地址有变更时，须在变更前十日以书面形式通知对方，因迟延通知而造成的损失，由延迟通知方承担责任。</w:t>
      </w:r>
    </w:p>
    <w:p w14:paraId="3220EE93">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14.3双方将按如下规定确定通知被视为正式送达的日期：</w:t>
      </w:r>
    </w:p>
    <w:p w14:paraId="07063684">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14.3.1以专人递送的，接收人签收之日视为送达；</w:t>
      </w:r>
    </w:p>
    <w:p w14:paraId="58D93109">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14.3.2以传真方式发出的，以发件方发送后打印出的发送确认单所示时间视为送达；</w:t>
      </w:r>
    </w:p>
    <w:p w14:paraId="01976342">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14.3.3双方确认以电子邮件方式开展日常业务联系，甲方指定业务联系人为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，联系电子邮箱</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rPr>
        <w:t>乙方指定业务联系人为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，联系电子邮箱</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；任何一方联系人或联系邮箱发生变更的，应书面通知另一方，否则视为未变更。</w:t>
      </w:r>
    </w:p>
    <w:p w14:paraId="08DE4300">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14.4双方地址与联系方式如下：</w:t>
      </w:r>
    </w:p>
    <w:p w14:paraId="65D49D54">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如致甲方：</w:t>
      </w:r>
    </w:p>
    <w:p w14:paraId="32476111">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p>
    <w:p w14:paraId="2F34CCD2">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left="0"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p>
    <w:p w14:paraId="7D6B7F15">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left="0" w:firstLine="484" w:firstLineChars="202"/>
        <w:jc w:val="both"/>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p>
    <w:p w14:paraId="011912C7">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left="0"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如致乙方： </w:t>
      </w:r>
    </w:p>
    <w:p w14:paraId="4F494780">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left="0" w:firstLine="484" w:firstLineChars="202"/>
        <w:jc w:val="both"/>
        <w:textAlignment w:val="auto"/>
        <w:rPr>
          <w:rFonts w:hint="eastAsia" w:ascii="宋体" w:hAnsi="宋体" w:eastAsia="宋体" w:cs="宋体"/>
          <w:color w:val="auto"/>
          <w:sz w:val="24"/>
          <w:szCs w:val="24"/>
          <w:highlight w:val="none"/>
        </w:rPr>
      </w:pPr>
      <w:bookmarkStart w:id="27" w:name="_Toc48999888"/>
      <w:bookmarkStart w:id="28" w:name="_Toc333174985"/>
      <w:bookmarkStart w:id="29" w:name="_Toc48999700"/>
      <w:r>
        <w:rPr>
          <w:rFonts w:hint="eastAsia" w:ascii="宋体" w:hAnsi="宋体" w:eastAsia="宋体" w:cs="宋体"/>
          <w:color w:val="auto"/>
          <w:sz w:val="24"/>
          <w:szCs w:val="24"/>
          <w:highlight w:val="none"/>
          <w:lang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p>
    <w:p w14:paraId="66256FC2">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left="0"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p>
    <w:p w14:paraId="4512AF3F">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left="0"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p>
    <w:p w14:paraId="4F3C03A1">
      <w:pPr>
        <w:keepNext w:val="0"/>
        <w:keepLines w:val="0"/>
        <w:pageBreakBefore w:val="0"/>
        <w:widowControl w:val="0"/>
        <w:kinsoku/>
        <w:wordWrap/>
        <w:overflowPunct/>
        <w:topLinePunct w:val="0"/>
        <w:autoSpaceDE/>
        <w:autoSpaceDN/>
        <w:bidi w:val="0"/>
        <w:snapToGrid/>
        <w:spacing w:after="0" w:afterLines="0" w:line="360" w:lineRule="auto"/>
        <w:ind w:firstLine="482"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第十五条  法律适用和争议解决</w:t>
      </w:r>
      <w:bookmarkEnd w:id="27"/>
      <w:bookmarkEnd w:id="28"/>
      <w:bookmarkEnd w:id="29"/>
    </w:p>
    <w:p w14:paraId="3EF37FA5">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15.1本合同的成立、有效性、解释、履行、签署、修订和终止以及争议的解决均应适用中华人民共和国法律。</w:t>
      </w:r>
    </w:p>
    <w:p w14:paraId="09004D46">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15.2如果任何争议或权利要求起因于本合同或与本合同有关或与本合同的解释、违约、终止或效力有关，都应由双方通过友好协商解决。协商应在一方向另一方送达关于协商的书面要求后立即开始。</w:t>
      </w:r>
    </w:p>
    <w:p w14:paraId="3BF13DB9">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15.3如果在一方提出协商要求后的十(10)天内，双方通过协商不能解决争议，则双方同意按以下第【</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】种方式解决：</w:t>
      </w:r>
    </w:p>
    <w:p w14:paraId="1331BF21">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（1）将该争议提交至【西安】仲裁委员会金融仲裁院仲裁解决。依据其现行有效的仲裁规则在【西安】进行仲裁。</w:t>
      </w:r>
    </w:p>
    <w:p w14:paraId="54BD2F11">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项下的任何仲裁裁决是终局的，并对双方具有约束力，并可在任何有管辖权的法院或其他有权机构强制执行。除非仲裁裁决有不同规定，败诉方应支付双方因仲裁所发生的一切法律费用，包括但不限于律师费、交通费、仲裁费用等。</w:t>
      </w:r>
    </w:p>
    <w:p w14:paraId="6913DC15">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（2）向【甲方所在地】人民法院提起诉讼。</w:t>
      </w:r>
    </w:p>
    <w:p w14:paraId="46726AAD">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15.4仲裁或诉讼进行过程中，除双方有争议的部分外，本合同其他部分仍然有效，双方应继续履行。</w:t>
      </w:r>
    </w:p>
    <w:p w14:paraId="5E295F77">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15.5本合同全部或部分无效的，本条依然有效。</w:t>
      </w:r>
    </w:p>
    <w:p w14:paraId="6D2D2080">
      <w:pPr>
        <w:keepNext w:val="0"/>
        <w:keepLines w:val="0"/>
        <w:pageBreakBefore w:val="0"/>
        <w:widowControl w:val="0"/>
        <w:kinsoku/>
        <w:wordWrap/>
        <w:overflowPunct/>
        <w:topLinePunct w:val="0"/>
        <w:autoSpaceDE/>
        <w:autoSpaceDN/>
        <w:bidi w:val="0"/>
        <w:snapToGrid/>
        <w:spacing w:after="0" w:afterLines="0" w:line="360" w:lineRule="auto"/>
        <w:ind w:firstLine="482" w:firstLineChars="200"/>
        <w:jc w:val="both"/>
        <w:textAlignment w:val="auto"/>
        <w:rPr>
          <w:rFonts w:hint="eastAsia" w:ascii="宋体" w:hAnsi="宋体" w:eastAsia="宋体" w:cs="宋体"/>
          <w:b/>
          <w:bCs/>
          <w:color w:val="auto"/>
          <w:sz w:val="24"/>
          <w:szCs w:val="24"/>
          <w:highlight w:val="none"/>
        </w:rPr>
      </w:pPr>
      <w:bookmarkStart w:id="30" w:name="_Toc48999701"/>
      <w:bookmarkStart w:id="31" w:name="_Toc48999889"/>
      <w:bookmarkStart w:id="32" w:name="_Toc333174986"/>
      <w:r>
        <w:rPr>
          <w:rFonts w:hint="eastAsia" w:ascii="宋体" w:hAnsi="宋体" w:eastAsia="宋体" w:cs="宋体"/>
          <w:b/>
          <w:bCs/>
          <w:color w:val="auto"/>
          <w:sz w:val="24"/>
          <w:szCs w:val="24"/>
          <w:highlight w:val="none"/>
        </w:rPr>
        <w:t>第十六条  合同生效、终止及其他</w:t>
      </w:r>
      <w:bookmarkEnd w:id="30"/>
      <w:bookmarkEnd w:id="31"/>
      <w:bookmarkEnd w:id="32"/>
    </w:p>
    <w:p w14:paraId="6675F9A7">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16.1新闻发布及公告。除非法律规定或任何主管机关要求，或经由另一方书面同意（不应无理拒绝或拖延同意），任何一方不应对本合同或任何相关事项予以发布或公告。</w:t>
      </w:r>
    </w:p>
    <w:p w14:paraId="102BC446">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16.2第三方不受益。除双方及其各自的继任人和允许的受让人以外，本合同不应向任何个人或实体赋予权利或救济。</w:t>
      </w:r>
    </w:p>
    <w:p w14:paraId="376FE10C">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16.3整体合同。本合同主体文本及其附件构成双方就本合同标的达成的完整协议，取代以前双方就本合同标的所达成的所有口头或书面的协议、协商、条款、意向书以及其他协议和文件。</w:t>
      </w:r>
    </w:p>
    <w:p w14:paraId="41CDDE8B">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16.4转让。未经合同另一方书面同意，一方不得转让本合同项下任何权利和义务。</w:t>
      </w:r>
    </w:p>
    <w:p w14:paraId="74D0D4A6">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16.5语言和文本。本合同以中文签署，一式【</w:t>
      </w:r>
      <w:r>
        <w:rPr>
          <w:rFonts w:hint="eastAsia" w:ascii="宋体" w:hAnsi="宋体" w:eastAsia="宋体" w:cs="宋体"/>
          <w:color w:val="auto"/>
          <w:sz w:val="24"/>
          <w:szCs w:val="24"/>
          <w:highlight w:val="none"/>
          <w:lang w:val="en-US" w:eastAsia="zh-CN"/>
        </w:rPr>
        <w:t>肆</w:t>
      </w:r>
      <w:r>
        <w:rPr>
          <w:rFonts w:hint="eastAsia" w:ascii="宋体" w:hAnsi="宋体" w:eastAsia="宋体" w:cs="宋体"/>
          <w:color w:val="auto"/>
          <w:sz w:val="24"/>
          <w:szCs w:val="24"/>
          <w:highlight w:val="none"/>
        </w:rPr>
        <w:t>】份，甲方执【贰】份，乙方执【贰】份，具有相同法律效力。</w:t>
      </w:r>
    </w:p>
    <w:p w14:paraId="64A53AF6">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16.6标题。本合同中加入的各章、条、款、项的标题仅为方便阅读而设，不应对本合同的含义或解释有任何影响。</w:t>
      </w:r>
    </w:p>
    <w:p w14:paraId="0DF1FE1D">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16.7弃权。一方未强制执行本合同的一条或若干条款，或未行使其在本合同项下的任何选择权或其他权利，或任何时候未要求另一方履行其在本合同中的任何义务，均不应被理解为该方放弃上述有关条款，或者以任何方式影响本合同的有效性或该方强制执行本合同各项条款的权利，也不应阻止该方在任何时候采取其原本有权采取的其他任何行动。</w:t>
      </w:r>
    </w:p>
    <w:p w14:paraId="0D59CBE3">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16.8可分割性。本合同的任何条款或规定，如被有权机构判定为无效或不可执行，不应影响本合同其他条款或规定的效力或可执行性，也不应影响该条款或规定在其他情形下的效力或可执行性。</w:t>
      </w:r>
    </w:p>
    <w:p w14:paraId="3CFFCBA3">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16.9费用。本合同双方应各自承担其自身与本合同及本合同项下的交易有关的所有开支和费用（包括法律费用），本合同另有约定的除外。</w:t>
      </w:r>
    </w:p>
    <w:p w14:paraId="1F5AED39">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16.10无中间代理。双方确认，没有任何代理人、中间人或中介人直接或间接就本合同或本合同拟定的交易为任何一方行事，并且没有任何人基于任何一方做出的或代表任何一方做出的合同、安排而有权收取与本交易有关的任何代理费、中介费、中间人佣金或类似的佣金。</w:t>
      </w:r>
    </w:p>
    <w:p w14:paraId="569B73DF">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16.11合同修改和补充。本合同未尽事宜，应由双方友好协商解决。如需对本合同及其附件作任何修改或补充，须由双方以书面做出方为有效。修改或补充文件与本合同有不一致的，以修改或补充文件为准。</w:t>
      </w:r>
    </w:p>
    <w:p w14:paraId="577D622E">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16.12签署授权。本合同签署前，双方将分别向其他方提供其授权本合同签署人代表其签署本合同的授权文件。</w:t>
      </w:r>
    </w:p>
    <w:p w14:paraId="5C22B4B5">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16.13合同效力。本合同自双方签字盖章之日起生效，合同将保持其效力直至双方已完全履行合同项下的所有义务并且双方之间的所有付款和索赔已结清。</w:t>
      </w:r>
    </w:p>
    <w:p w14:paraId="1E847155">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sz w:val="24"/>
          <w:szCs w:val="24"/>
          <w:highlight w:val="none"/>
        </w:rPr>
        <w:t>16.14合同附件。合同附件为本合同的组成部分，与本合同正文具有</w:t>
      </w:r>
      <w:r>
        <w:rPr>
          <w:rFonts w:hint="eastAsia" w:ascii="宋体" w:hAnsi="宋体" w:eastAsia="宋体" w:cs="宋体"/>
          <w:color w:val="auto"/>
          <w:kern w:val="2"/>
          <w:sz w:val="24"/>
          <w:szCs w:val="24"/>
          <w:highlight w:val="none"/>
        </w:rPr>
        <w:t>同等法律效力。若合同附件与合同正文有任何冲突，以合同正文为准。</w:t>
      </w:r>
    </w:p>
    <w:p w14:paraId="6599112B">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rPr>
        <w:t>成交通知书、响应文件、竞争性磋商文件、澄清、响应补充文件；相关服务建议书；双方依法签订的补充协议都是本合同文件的组成部分</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与本合同具</w:t>
      </w:r>
      <w:r>
        <w:rPr>
          <w:rFonts w:hint="eastAsia" w:ascii="宋体" w:hAnsi="宋体" w:eastAsia="宋体" w:cs="宋体"/>
          <w:color w:val="auto"/>
          <w:sz w:val="24"/>
          <w:szCs w:val="24"/>
          <w:highlight w:val="none"/>
        </w:rPr>
        <w:t>有</w:t>
      </w:r>
      <w:r>
        <w:rPr>
          <w:rFonts w:hint="eastAsia" w:ascii="宋体" w:hAnsi="宋体" w:eastAsia="宋体" w:cs="宋体"/>
          <w:color w:val="auto"/>
          <w:kern w:val="2"/>
          <w:sz w:val="24"/>
          <w:szCs w:val="24"/>
          <w:highlight w:val="none"/>
        </w:rPr>
        <w:t>同等法律效力</w:t>
      </w:r>
      <w:r>
        <w:rPr>
          <w:rFonts w:hint="eastAsia" w:ascii="宋体" w:hAnsi="宋体" w:eastAsia="宋体" w:cs="宋体"/>
          <w:color w:val="auto"/>
          <w:kern w:val="2"/>
          <w:sz w:val="24"/>
          <w:szCs w:val="24"/>
          <w:highlight w:val="none"/>
          <w:lang w:val="en-US" w:eastAsia="zh-CN"/>
        </w:rPr>
        <w:t>。</w:t>
      </w:r>
    </w:p>
    <w:p w14:paraId="1C0D4348">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16.15合同履行期满，如乙方不再签订合同，</w:t>
      </w:r>
      <w:r>
        <w:rPr>
          <w:rFonts w:hint="eastAsia" w:ascii="宋体" w:hAnsi="宋体" w:eastAsia="宋体" w:cs="宋体"/>
          <w:color w:val="auto"/>
          <w:sz w:val="24"/>
          <w:szCs w:val="24"/>
          <w:highlight w:val="none"/>
          <w:lang w:val="en-US" w:eastAsia="zh-CN"/>
        </w:rPr>
        <w:t>需在合同期限届满前6个月书面告知甲方</w:t>
      </w:r>
      <w:r>
        <w:rPr>
          <w:rFonts w:hint="eastAsia" w:ascii="宋体" w:hAnsi="宋体" w:eastAsia="宋体" w:cs="宋体"/>
          <w:color w:val="auto"/>
          <w:sz w:val="24"/>
          <w:szCs w:val="24"/>
          <w:highlight w:val="none"/>
        </w:rPr>
        <w:t>。</w:t>
      </w:r>
    </w:p>
    <w:p w14:paraId="176C0CB5">
      <w:pPr>
        <w:pStyle w:val="9"/>
        <w:keepNext w:val="0"/>
        <w:keepLines w:val="0"/>
        <w:pageBreakBefore w:val="0"/>
        <w:widowControl w:val="0"/>
        <w:tabs>
          <w:tab w:val="left" w:pos="900"/>
        </w:tabs>
        <w:kinsoku/>
        <w:wordWrap/>
        <w:overflowPunct/>
        <w:topLinePunct w:val="0"/>
        <w:autoSpaceDE/>
        <w:autoSpaceDN/>
        <w:bidi w:val="0"/>
        <w:snapToGrid/>
        <w:spacing w:afterLines="0" w:line="360" w:lineRule="auto"/>
        <w:ind w:firstLine="484" w:firstLineChars="202"/>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详细服务内容</w:t>
      </w:r>
    </w:p>
    <w:p w14:paraId="2BFE9568">
      <w:pPr>
        <w:pStyle w:val="9"/>
        <w:keepNext w:val="0"/>
        <w:keepLines w:val="0"/>
        <w:pageBreakBefore w:val="0"/>
        <w:widowControl w:val="0"/>
        <w:tabs>
          <w:tab w:val="left" w:pos="900"/>
        </w:tabs>
        <w:kinsoku/>
        <w:wordWrap/>
        <w:overflowPunct/>
        <w:topLinePunct w:val="0"/>
        <w:autoSpaceDE/>
        <w:autoSpaceDN/>
        <w:bidi w:val="0"/>
        <w:snapToGrid/>
        <w:spacing w:line="360" w:lineRule="auto"/>
        <w:ind w:firstLine="484" w:firstLineChars="202"/>
        <w:jc w:val="both"/>
        <w:textAlignment w:val="auto"/>
        <w:rPr>
          <w:rFonts w:hint="eastAsia" w:ascii="宋体" w:hAnsi="宋体" w:eastAsia="宋体" w:cs="宋体"/>
          <w:b w:val="0"/>
          <w:bCs w:val="0"/>
          <w:color w:val="auto"/>
          <w:sz w:val="24"/>
          <w:szCs w:val="24"/>
          <w:highlight w:val="none"/>
          <w:lang w:val="zh-CN"/>
        </w:rPr>
      </w:pPr>
    </w:p>
    <w:p w14:paraId="31E810E8">
      <w:pPr>
        <w:pStyle w:val="9"/>
        <w:keepNext w:val="0"/>
        <w:keepLines w:val="0"/>
        <w:pageBreakBefore w:val="0"/>
        <w:widowControl w:val="0"/>
        <w:tabs>
          <w:tab w:val="left" w:pos="900"/>
        </w:tabs>
        <w:kinsoku/>
        <w:wordWrap/>
        <w:overflowPunct/>
        <w:topLinePunct w:val="0"/>
        <w:autoSpaceDE/>
        <w:autoSpaceDN/>
        <w:bidi w:val="0"/>
        <w:adjustRightInd/>
        <w:snapToGrid/>
        <w:spacing w:line="360" w:lineRule="auto"/>
        <w:ind w:firstLine="484" w:firstLineChars="202"/>
        <w:jc w:val="both"/>
        <w:textAlignment w:val="auto"/>
        <w:rPr>
          <w:rFonts w:hint="eastAsia" w:ascii="宋体" w:hAnsi="宋体" w:eastAsia="宋体" w:cs="宋体"/>
          <w:snapToGrid w:val="0"/>
          <w:color w:val="auto"/>
          <w:sz w:val="24"/>
          <w:szCs w:val="24"/>
          <w:highlight w:val="none"/>
        </w:rPr>
      </w:pPr>
      <w:r>
        <w:rPr>
          <w:rFonts w:hint="eastAsia" w:ascii="宋体" w:hAnsi="宋体" w:eastAsia="宋体" w:cs="宋体"/>
          <w:b w:val="0"/>
          <w:bCs w:val="0"/>
          <w:color w:val="auto"/>
          <w:sz w:val="24"/>
          <w:szCs w:val="24"/>
          <w:highlight w:val="none"/>
          <w:lang w:val="zh-CN"/>
        </w:rPr>
        <w:t>甲方：</w:t>
      </w:r>
    </w:p>
    <w:p w14:paraId="7EA608CB">
      <w:pPr>
        <w:pStyle w:val="9"/>
        <w:keepNext w:val="0"/>
        <w:keepLines w:val="0"/>
        <w:pageBreakBefore w:val="0"/>
        <w:widowControl w:val="0"/>
        <w:tabs>
          <w:tab w:val="left" w:pos="900"/>
        </w:tabs>
        <w:kinsoku/>
        <w:wordWrap/>
        <w:overflowPunct/>
        <w:topLinePunct w:val="0"/>
        <w:autoSpaceDE/>
        <w:autoSpaceDN/>
        <w:bidi w:val="0"/>
        <w:adjustRightInd/>
        <w:snapToGrid/>
        <w:spacing w:line="360" w:lineRule="auto"/>
        <w:ind w:firstLine="484" w:firstLineChars="202"/>
        <w:jc w:val="both"/>
        <w:textAlignment w:val="auto"/>
        <w:rPr>
          <w:rFonts w:hint="eastAsia" w:ascii="宋体" w:hAnsi="宋体" w:eastAsia="宋体" w:cs="宋体"/>
          <w:color w:val="auto"/>
          <w:sz w:val="24"/>
          <w:szCs w:val="24"/>
          <w:highlight w:val="none"/>
        </w:rPr>
      </w:pPr>
      <w:r>
        <w:rPr>
          <w:rFonts w:hint="eastAsia" w:ascii="宋体" w:hAnsi="宋体" w:eastAsia="宋体" w:cs="宋体"/>
          <w:snapToGrid w:val="0"/>
          <w:color w:val="auto"/>
          <w:sz w:val="24"/>
          <w:szCs w:val="24"/>
          <w:highlight w:val="none"/>
        </w:rPr>
        <w:t>甲方代表：</w:t>
      </w:r>
    </w:p>
    <w:p w14:paraId="1D477016">
      <w:pPr>
        <w:pStyle w:val="9"/>
        <w:keepNext w:val="0"/>
        <w:keepLines w:val="0"/>
        <w:pageBreakBefore w:val="0"/>
        <w:widowControl w:val="0"/>
        <w:tabs>
          <w:tab w:val="left" w:pos="900"/>
        </w:tabs>
        <w:kinsoku/>
        <w:wordWrap/>
        <w:overflowPunct/>
        <w:topLinePunct w:val="0"/>
        <w:autoSpaceDE/>
        <w:autoSpaceDN/>
        <w:bidi w:val="0"/>
        <w:adjustRightInd/>
        <w:snapToGrid/>
        <w:spacing w:line="360" w:lineRule="auto"/>
        <w:ind w:firstLine="484" w:firstLineChars="202"/>
        <w:jc w:val="both"/>
        <w:textAlignment w:val="auto"/>
        <w:rPr>
          <w:rFonts w:hint="eastAsia" w:ascii="宋体" w:hAnsi="宋体" w:eastAsia="宋体" w:cs="宋体"/>
          <w:snapToGrid/>
          <w:color w:val="auto"/>
          <w:sz w:val="24"/>
          <w:szCs w:val="24"/>
          <w:highlight w:val="none"/>
          <w:u w:val="none"/>
        </w:rPr>
      </w:pPr>
      <w:r>
        <w:rPr>
          <w:rFonts w:hint="eastAsia" w:ascii="宋体" w:hAnsi="宋体" w:eastAsia="宋体" w:cs="宋体"/>
          <w:snapToGrid w:val="0"/>
          <w:color w:val="auto"/>
          <w:sz w:val="24"/>
          <w:szCs w:val="24"/>
          <w:highlight w:val="none"/>
        </w:rPr>
        <w:t xml:space="preserve">日期：     </w:t>
      </w:r>
      <w:r>
        <w:rPr>
          <w:rFonts w:hint="eastAsia" w:ascii="宋体" w:hAnsi="宋体" w:eastAsia="宋体" w:cs="宋体"/>
          <w:bCs w:val="0"/>
          <w:color w:val="auto"/>
          <w:sz w:val="24"/>
          <w:szCs w:val="24"/>
          <w:highlight w:val="none"/>
        </w:rPr>
        <w:t>年    月    日</w:t>
      </w:r>
    </w:p>
    <w:p w14:paraId="56F4E98B">
      <w:pPr>
        <w:pStyle w:val="9"/>
        <w:keepNext w:val="0"/>
        <w:keepLines w:val="0"/>
        <w:pageBreakBefore w:val="0"/>
        <w:widowControl w:val="0"/>
        <w:tabs>
          <w:tab w:val="left" w:pos="900"/>
        </w:tabs>
        <w:kinsoku/>
        <w:wordWrap/>
        <w:overflowPunct/>
        <w:topLinePunct w:val="0"/>
        <w:autoSpaceDE/>
        <w:autoSpaceDN/>
        <w:bidi w:val="0"/>
        <w:adjustRightInd/>
        <w:snapToGrid/>
        <w:spacing w:line="360" w:lineRule="auto"/>
        <w:ind w:firstLine="484" w:firstLineChars="202"/>
        <w:jc w:val="both"/>
        <w:textAlignment w:val="auto"/>
        <w:rPr>
          <w:rFonts w:hint="eastAsia" w:ascii="宋体" w:hAnsi="宋体" w:eastAsia="宋体" w:cs="宋体"/>
          <w:b w:val="0"/>
          <w:bCs w:val="0"/>
          <w:color w:val="auto"/>
          <w:sz w:val="24"/>
          <w:szCs w:val="24"/>
          <w:highlight w:val="none"/>
          <w:lang w:val="zh-CN"/>
        </w:rPr>
      </w:pPr>
    </w:p>
    <w:p w14:paraId="59758348">
      <w:pPr>
        <w:pStyle w:val="9"/>
        <w:keepNext w:val="0"/>
        <w:keepLines w:val="0"/>
        <w:pageBreakBefore w:val="0"/>
        <w:widowControl w:val="0"/>
        <w:tabs>
          <w:tab w:val="left" w:pos="900"/>
        </w:tabs>
        <w:kinsoku/>
        <w:wordWrap/>
        <w:overflowPunct/>
        <w:topLinePunct w:val="0"/>
        <w:autoSpaceDE/>
        <w:autoSpaceDN/>
        <w:bidi w:val="0"/>
        <w:adjustRightInd/>
        <w:snapToGrid/>
        <w:spacing w:line="360" w:lineRule="auto"/>
        <w:ind w:firstLine="484" w:firstLineChars="202"/>
        <w:jc w:val="both"/>
        <w:textAlignment w:val="auto"/>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lang w:val="zh-CN"/>
        </w:rPr>
        <w:t>乙方：</w:t>
      </w:r>
    </w:p>
    <w:p w14:paraId="75D82A5F">
      <w:pPr>
        <w:pStyle w:val="9"/>
        <w:keepNext w:val="0"/>
        <w:keepLines w:val="0"/>
        <w:pageBreakBefore w:val="0"/>
        <w:widowControl w:val="0"/>
        <w:tabs>
          <w:tab w:val="left" w:pos="900"/>
        </w:tabs>
        <w:kinsoku/>
        <w:wordWrap/>
        <w:overflowPunct/>
        <w:topLinePunct w:val="0"/>
        <w:autoSpaceDE/>
        <w:autoSpaceDN/>
        <w:bidi w:val="0"/>
        <w:adjustRightInd/>
        <w:snapToGrid/>
        <w:spacing w:line="360" w:lineRule="auto"/>
        <w:ind w:firstLine="484" w:firstLineChars="202"/>
        <w:jc w:val="both"/>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乙方代表：</w:t>
      </w:r>
    </w:p>
    <w:p w14:paraId="30D04F8A">
      <w:pPr>
        <w:pStyle w:val="9"/>
        <w:keepNext w:val="0"/>
        <w:keepLines w:val="0"/>
        <w:pageBreakBefore w:val="0"/>
        <w:widowControl w:val="0"/>
        <w:tabs>
          <w:tab w:val="left" w:pos="900"/>
        </w:tabs>
        <w:kinsoku/>
        <w:wordWrap/>
        <w:overflowPunct/>
        <w:topLinePunct w:val="0"/>
        <w:autoSpaceDE/>
        <w:autoSpaceDN/>
        <w:bidi w:val="0"/>
        <w:adjustRightInd/>
        <w:snapToGrid/>
        <w:spacing w:line="360" w:lineRule="auto"/>
        <w:ind w:firstLine="484" w:firstLineChars="202"/>
        <w:jc w:val="both"/>
        <w:textAlignment w:val="auto"/>
        <w:rPr>
          <w:rFonts w:hint="eastAsia" w:ascii="宋体" w:hAnsi="宋体" w:eastAsia="宋体" w:cs="宋体"/>
          <w:bCs w:val="0"/>
          <w:color w:val="auto"/>
          <w:sz w:val="24"/>
          <w:szCs w:val="24"/>
          <w:highlight w:val="none"/>
        </w:rPr>
      </w:pPr>
      <w:r>
        <w:rPr>
          <w:rFonts w:hint="eastAsia" w:ascii="宋体" w:hAnsi="宋体" w:eastAsia="宋体" w:cs="宋体"/>
          <w:snapToGrid w:val="0"/>
          <w:color w:val="auto"/>
          <w:sz w:val="24"/>
          <w:szCs w:val="24"/>
          <w:highlight w:val="none"/>
        </w:rPr>
        <w:t xml:space="preserve">日期：     </w:t>
      </w:r>
      <w:r>
        <w:rPr>
          <w:rFonts w:hint="eastAsia" w:ascii="宋体" w:hAnsi="宋体" w:eastAsia="宋体" w:cs="宋体"/>
          <w:bCs w:val="0"/>
          <w:color w:val="auto"/>
          <w:sz w:val="24"/>
          <w:szCs w:val="24"/>
          <w:highlight w:val="none"/>
        </w:rPr>
        <w:t>年    月    日</w:t>
      </w:r>
    </w:p>
    <w:p w14:paraId="62FABAED">
      <w:pPr>
        <w:keepNext w:val="0"/>
        <w:keepLines w:val="0"/>
        <w:pageBreakBefore w:val="0"/>
        <w:widowControl w:val="0"/>
        <w:kinsoku/>
        <w:wordWrap/>
        <w:overflowPunct/>
        <w:topLinePunct w:val="0"/>
        <w:autoSpaceDE w:val="0"/>
        <w:autoSpaceDN w:val="0"/>
        <w:bidi w:val="0"/>
        <w:adjustRightInd w:val="0"/>
        <w:snapToGrid w:val="0"/>
        <w:spacing w:after="0" w:line="360" w:lineRule="auto"/>
        <w:jc w:val="both"/>
        <w:textAlignment w:val="auto"/>
        <w:rPr>
          <w:rFonts w:hint="eastAsia" w:ascii="宋体" w:hAnsi="宋体" w:eastAsia="宋体" w:cs="宋体"/>
          <w:color w:val="auto"/>
          <w:sz w:val="24"/>
          <w:szCs w:val="24"/>
          <w:highlight w:val="none"/>
          <w:lang w:val="en-US" w:eastAsia="zh-CN"/>
        </w:rPr>
      </w:pPr>
    </w:p>
    <w:p w14:paraId="09723B2D">
      <w:pPr>
        <w:keepNext w:val="0"/>
        <w:keepLines w:val="0"/>
        <w:pageBreakBefore w:val="0"/>
        <w:widowControl w:val="0"/>
        <w:kinsoku/>
        <w:wordWrap/>
        <w:overflowPunct/>
        <w:topLinePunct w:val="0"/>
        <w:autoSpaceDE w:val="0"/>
        <w:autoSpaceDN w:val="0"/>
        <w:bidi w:val="0"/>
        <w:adjustRightInd w:val="0"/>
        <w:snapToGrid w:val="0"/>
        <w:spacing w:after="0" w:line="360" w:lineRule="auto"/>
        <w:jc w:val="both"/>
        <w:textAlignment w:val="auto"/>
        <w:rPr>
          <w:rFonts w:hint="eastAsia" w:ascii="宋体" w:hAnsi="宋体" w:eastAsia="宋体" w:cs="宋体"/>
          <w:color w:val="auto"/>
          <w:sz w:val="24"/>
          <w:szCs w:val="24"/>
          <w:highlight w:val="none"/>
          <w:lang w:val="en-US" w:eastAsia="zh-CN"/>
        </w:rPr>
      </w:pPr>
    </w:p>
    <w:p w14:paraId="695D1206">
      <w:pPr>
        <w:keepNext w:val="0"/>
        <w:keepLines w:val="0"/>
        <w:pageBreakBefore w:val="0"/>
        <w:widowControl w:val="0"/>
        <w:kinsoku/>
        <w:wordWrap/>
        <w:overflowPunct/>
        <w:topLinePunct w:val="0"/>
        <w:autoSpaceDE w:val="0"/>
        <w:autoSpaceDN w:val="0"/>
        <w:bidi w:val="0"/>
        <w:adjustRightInd w:val="0"/>
        <w:snapToGrid w:val="0"/>
        <w:spacing w:after="0" w:line="360" w:lineRule="auto"/>
        <w:jc w:val="both"/>
        <w:textAlignment w:val="auto"/>
        <w:rPr>
          <w:rFonts w:hint="eastAsia" w:ascii="宋体" w:hAnsi="宋体" w:eastAsia="宋体" w:cs="宋体"/>
          <w:color w:val="auto"/>
          <w:sz w:val="24"/>
          <w:szCs w:val="24"/>
          <w:highlight w:val="none"/>
          <w:lang w:val="en-US" w:eastAsia="zh-CN"/>
        </w:rPr>
      </w:pPr>
    </w:p>
    <w:p w14:paraId="7957305F">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6AB0D314">
      <w:pPr>
        <w:pStyle w:val="2"/>
        <w:rPr>
          <w:rFonts w:hint="eastAsia"/>
          <w:color w:val="auto"/>
          <w:highlight w:val="none"/>
          <w:lang w:val="en-US" w:eastAsia="zh-CN"/>
        </w:rPr>
      </w:pPr>
    </w:p>
    <w:p w14:paraId="22E0CEC5">
      <w:pPr>
        <w:keepNext w:val="0"/>
        <w:keepLines w:val="0"/>
        <w:pageBreakBefore w:val="0"/>
        <w:widowControl w:val="0"/>
        <w:kinsoku/>
        <w:wordWrap/>
        <w:overflowPunct/>
        <w:topLinePunct w:val="0"/>
        <w:autoSpaceDE w:val="0"/>
        <w:autoSpaceDN w:val="0"/>
        <w:bidi w:val="0"/>
        <w:adjustRightInd w:val="0"/>
        <w:snapToGrid w:val="0"/>
        <w:spacing w:after="0" w:line="360" w:lineRule="auto"/>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附件：1、硬件服务内容</w:t>
      </w:r>
    </w:p>
    <w:tbl>
      <w:tblPr>
        <w:tblStyle w:val="7"/>
        <w:tblW w:w="845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80"/>
        <w:gridCol w:w="2176"/>
        <w:gridCol w:w="1351"/>
        <w:gridCol w:w="924"/>
        <w:gridCol w:w="1050"/>
        <w:gridCol w:w="2175"/>
      </w:tblGrid>
      <w:tr w14:paraId="5C0BA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456" w:type="dxa"/>
            <w:gridSpan w:val="6"/>
            <w:tcBorders>
              <w:top w:val="single" w:color="000000" w:sz="4" w:space="0"/>
              <w:left w:val="single" w:color="000000" w:sz="4" w:space="0"/>
              <w:bottom w:val="single" w:color="000000" w:sz="4" w:space="0"/>
              <w:right w:val="single" w:color="000000" w:sz="4" w:space="0"/>
            </w:tcBorders>
            <w:noWrap/>
            <w:vAlign w:val="center"/>
          </w:tcPr>
          <w:p w14:paraId="2BDB13F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硬 件 和 系 统 软 件 清 单</w:t>
            </w:r>
          </w:p>
        </w:tc>
      </w:tr>
      <w:tr w14:paraId="34550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80" w:type="dxa"/>
            <w:tcBorders>
              <w:top w:val="single" w:color="000000" w:sz="4" w:space="0"/>
              <w:left w:val="single" w:color="000000" w:sz="4" w:space="0"/>
              <w:bottom w:val="single" w:color="000000" w:sz="4" w:space="0"/>
              <w:right w:val="single" w:color="000000" w:sz="4" w:space="0"/>
            </w:tcBorders>
            <w:noWrap/>
            <w:vAlign w:val="center"/>
          </w:tcPr>
          <w:p w14:paraId="6D8661E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2CAE1E1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服务（产品）名称</w:t>
            </w:r>
          </w:p>
        </w:tc>
        <w:tc>
          <w:tcPr>
            <w:tcW w:w="1351" w:type="dxa"/>
            <w:tcBorders>
              <w:top w:val="single" w:color="000000" w:sz="4" w:space="0"/>
              <w:left w:val="single" w:color="000000" w:sz="4" w:space="0"/>
              <w:bottom w:val="single" w:color="000000" w:sz="4" w:space="0"/>
              <w:right w:val="single" w:color="000000" w:sz="4" w:space="0"/>
            </w:tcBorders>
            <w:noWrap/>
            <w:vAlign w:val="center"/>
          </w:tcPr>
          <w:p w14:paraId="13FC95E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制造商</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43C41EF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3643C1E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20A9EC7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备注</w:t>
            </w:r>
          </w:p>
        </w:tc>
      </w:tr>
      <w:tr w14:paraId="147CF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281" w:type="dxa"/>
            <w:gridSpan w:val="5"/>
            <w:tcBorders>
              <w:top w:val="single" w:color="000000" w:sz="4" w:space="0"/>
              <w:left w:val="single" w:color="000000" w:sz="4" w:space="0"/>
              <w:bottom w:val="single" w:color="000000" w:sz="4" w:space="0"/>
              <w:right w:val="single" w:color="000000" w:sz="4" w:space="0"/>
            </w:tcBorders>
            <w:noWrap/>
            <w:vAlign w:val="center"/>
          </w:tcPr>
          <w:p w14:paraId="203DC3A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第一</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1C328C16">
            <w:pPr>
              <w:keepNext w:val="0"/>
              <w:keepLines w:val="0"/>
              <w:pageBreakBefore w:val="0"/>
              <w:widowControl/>
              <w:kinsoku/>
              <w:wordWrap/>
              <w:overflowPunct/>
              <w:topLinePunct w:val="0"/>
              <w:autoSpaceDE/>
              <w:autoSpaceDN/>
              <w:bidi w:val="0"/>
              <w:adjustRightInd/>
              <w:snapToGrid/>
              <w:spacing w:line="400" w:lineRule="exact"/>
              <w:rPr>
                <w:rFonts w:hint="eastAsia" w:ascii="宋体" w:hAnsi="宋体" w:eastAsia="宋体" w:cs="宋体"/>
                <w:i w:val="0"/>
                <w:iCs w:val="0"/>
                <w:color w:val="auto"/>
                <w:sz w:val="24"/>
                <w:szCs w:val="24"/>
                <w:highlight w:val="none"/>
                <w:u w:val="none"/>
              </w:rPr>
            </w:pPr>
          </w:p>
        </w:tc>
      </w:tr>
      <w:tr w14:paraId="4F632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1136EC4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5A59C25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接入网络交换机-指挥中心博达</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2928E8F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上海博达数据通信有限公司</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2DB486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2C6DE47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1EDBAEA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7E646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7EC8263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0147B9D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高端服务器</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4667264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IBM</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4B4C8E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2B1F68A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57C5CD0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440CF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76D24DD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4320349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中端服务器</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2988EB1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IBM</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15F2C6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53469E3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4F2A242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16792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6967D2E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55ABE48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UPS</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87B0C5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艾默生</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36CE74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1AD891C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0441E38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03D4E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68100C6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25F3A63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蓄电池组</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4DFAE29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冠军</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D02FD5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块</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686B6B2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2D743B9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62D0F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7C2DB2B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15560B3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电源系统及配电柜</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3B7B5F8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国产</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0F8AC7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6141082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7E9B976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32FBE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13DB355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683CDA0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各执法中队工作站</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8D38F9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联想</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4A6EF5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6C64CA2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65758B2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0F2B3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7FD6C5D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539F895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前端摄像机、视频信号线路、摄像机云台控制线路、电源接电</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1ABC2D1D">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4"/>
                <w:szCs w:val="24"/>
                <w:highlight w:val="none"/>
                <w:u w:val="none"/>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FB5F8D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点</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3993602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397F798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w:t>
            </w:r>
          </w:p>
        </w:tc>
      </w:tr>
      <w:tr w14:paraId="6D0BB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73944B5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79D3DF8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监控主机的设备检测、系统维护、扩容、故障排除</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4C0E37BC">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4"/>
                <w:szCs w:val="24"/>
                <w:highlight w:val="none"/>
                <w:u w:val="none"/>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5CD367A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点</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0D317AC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0334479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w:t>
            </w:r>
          </w:p>
        </w:tc>
      </w:tr>
      <w:tr w14:paraId="2E606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6BEDA15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6CE3938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立杆</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28F6E416">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4"/>
                <w:szCs w:val="24"/>
                <w:highlight w:val="none"/>
                <w:u w:val="none"/>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595068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0A867A5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369794A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w:t>
            </w:r>
          </w:p>
        </w:tc>
      </w:tr>
      <w:tr w14:paraId="74334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2D04B4D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31069CE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光模块</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52B69B6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H3C</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B433CC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25DC98B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6571762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3DF86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47215E1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690898A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交换机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05296EC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H3C</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B12C85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7A6AF4C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69C043A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2BDC1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4046315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0BE3E5C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防火墙</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36A9762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H3C</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7D8A74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15F413C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01232EC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7B172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281" w:type="dxa"/>
            <w:gridSpan w:val="5"/>
            <w:tcBorders>
              <w:top w:val="single" w:color="000000" w:sz="4" w:space="0"/>
              <w:left w:val="single" w:color="000000" w:sz="4" w:space="0"/>
              <w:bottom w:val="single" w:color="000000" w:sz="4" w:space="0"/>
              <w:right w:val="single" w:color="000000" w:sz="4" w:space="0"/>
            </w:tcBorders>
            <w:noWrap/>
            <w:vAlign w:val="center"/>
          </w:tcPr>
          <w:p w14:paraId="03E6D7C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第二</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007C78C6">
            <w:pPr>
              <w:keepNext w:val="0"/>
              <w:keepLines w:val="0"/>
              <w:pageBreakBefore w:val="0"/>
              <w:widowControl/>
              <w:kinsoku/>
              <w:wordWrap/>
              <w:overflowPunct/>
              <w:topLinePunct w:val="0"/>
              <w:autoSpaceDE/>
              <w:autoSpaceDN/>
              <w:bidi w:val="0"/>
              <w:adjustRightInd/>
              <w:snapToGrid/>
              <w:spacing w:line="400" w:lineRule="exact"/>
              <w:rPr>
                <w:rFonts w:hint="eastAsia" w:ascii="宋体" w:hAnsi="宋体" w:eastAsia="宋体" w:cs="宋体"/>
                <w:i w:val="0"/>
                <w:iCs w:val="0"/>
                <w:color w:val="auto"/>
                <w:sz w:val="24"/>
                <w:szCs w:val="24"/>
                <w:highlight w:val="none"/>
                <w:u w:val="none"/>
              </w:rPr>
            </w:pPr>
          </w:p>
        </w:tc>
      </w:tr>
      <w:tr w14:paraId="2E618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424E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2D0B890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记录仪综合平台</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CEDEF4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海康威视</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4FF7AC9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78889A8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32A1891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定期更新、升级</w:t>
            </w:r>
          </w:p>
        </w:tc>
      </w:tr>
      <w:tr w14:paraId="38EF5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598ECA9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15DABBA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视频管理平台</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52BCC11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海康威视</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339ABEF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4E93F27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01ECF3B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定期更新、升级</w:t>
            </w:r>
          </w:p>
        </w:tc>
      </w:tr>
      <w:tr w14:paraId="7DE26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66A6B0D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37B8606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垃圾压缩站的视频监控</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4522D8E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海康威视</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690A319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3025B03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17</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7959E51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维护设备正常运行，1季度一次设备维护除尘保养</w:t>
            </w:r>
          </w:p>
        </w:tc>
      </w:tr>
      <w:tr w14:paraId="5F7F2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7E0C90D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5995796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LED 大屏</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1653B2D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海康威视</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1BF71A1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平方米</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4C77841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11.4</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14CFF6C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52D35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3607B14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47E2F4F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LED 拼接屏支架</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09A0AEE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尖创</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0D9C82A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5A5AEE2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6AA20C9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33211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1227B8F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0E5A208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LED 控制卡</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5F46497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海康威视</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3A50791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7C2C2A3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4D693B2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6459B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213AFBD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20FCBF8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高清解码器</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1DE3E17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海康威视</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2DE7E32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32097E9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3D96544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20930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1565126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415087D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大屏专用线缆</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200AAC9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秦安</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4C3B8E5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根</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26AB901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563D606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0D33F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06A6910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552E8B2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机房专用空调</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0666508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艾默生</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085370E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485BD6E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20936AA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7869C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383C1E4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61D2ABF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服务器</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6B8FECF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联想</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4B3A908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4D77F86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710F31A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181B9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487A812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6139738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虚拟化软件VMWAREvSPHERE</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3FD2697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联想</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5535133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024CAFB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22BFA20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定期更新、升级</w:t>
            </w:r>
          </w:p>
        </w:tc>
      </w:tr>
      <w:tr w14:paraId="34BFE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7CDF6AA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5557B56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交换机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6B9AF6C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H3C</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43FA055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764EEB7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69E1F69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2DE8E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3D0D2BC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44300EE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数据存储设备</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39ACB4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联想</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52B62DC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33C5808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1A00AAA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777FA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18ADC64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1E4B945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VPN 防火墙</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3E82ED1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H3C</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3985ED3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6EBC73C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4DF1B45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2A9E0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3E64314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48F390B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kvm</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0A770A2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三拓</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4114305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5F19190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65BAB3F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4FCD9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3D67FBF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6EC4131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GIS 平台</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5E9A7DB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政通</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2B67E23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67A2F9B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667D978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定期更新、升级</w:t>
            </w:r>
          </w:p>
        </w:tc>
      </w:tr>
      <w:tr w14:paraId="000F5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3F1DA73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17</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55996F5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中间件 Tomcat</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6BE7851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Apache</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6BA98F9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1D6BAC7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77BF116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定期更新、升级</w:t>
            </w:r>
          </w:p>
        </w:tc>
      </w:tr>
      <w:tr w14:paraId="16032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6897E45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71B8A7D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数据库软件 MySQL</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3CCF7F4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SUN</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4D9CED9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295AD9F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4AF46A9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定期更新、升级</w:t>
            </w:r>
          </w:p>
        </w:tc>
      </w:tr>
      <w:tr w14:paraId="5D346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2E856BD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19</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168FD23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机房消防设备</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1AF9E3E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江西省剑安消防</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144E606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7DBA22D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79F02C6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维护设备正常运行，1月一次设备维护、除尘、保养</w:t>
            </w:r>
          </w:p>
        </w:tc>
      </w:tr>
      <w:tr w14:paraId="69B93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1B719C6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1C47B41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针式票据打印机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6EC4724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爱普生</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3878C0F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6237EC8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36BF186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w:t>
            </w:r>
          </w:p>
        </w:tc>
      </w:tr>
      <w:tr w14:paraId="566BE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9CC2E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21</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63CD5F7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网络电话机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0CCEA01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北恩</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1C15B15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43548FC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207E7D3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w:t>
            </w:r>
          </w:p>
        </w:tc>
      </w:tr>
      <w:tr w14:paraId="1B739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1DE235C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22</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1BDA0CB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风机、新风</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67DE8ED5">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4"/>
                <w:szCs w:val="24"/>
                <w:highlight w:val="none"/>
                <w:u w:val="none"/>
              </w:rPr>
            </w:pP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75CD571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54FF6F6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7AECFB0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w:t>
            </w:r>
          </w:p>
        </w:tc>
      </w:tr>
      <w:tr w14:paraId="0BAD7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0582CC6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23</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0CA2387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人员电脑</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B44F37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联想M420</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1AEAA1F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16EDB4B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60A0C3C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w:t>
            </w:r>
          </w:p>
        </w:tc>
      </w:tr>
      <w:tr w14:paraId="4A800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530D4AC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24</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7154EFB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北三环十三个涵洞监控设备</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68F38C5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海康威视</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0FC15CF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0BFA4B3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09B7D41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w:t>
            </w:r>
          </w:p>
        </w:tc>
      </w:tr>
      <w:tr w14:paraId="2009A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5F0F6CD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25</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4089C08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对讲机平台</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59FAE91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联想SR550</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401218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44E4ED5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05E7974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w:t>
            </w:r>
          </w:p>
        </w:tc>
      </w:tr>
      <w:tr w14:paraId="47866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2A703DA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26</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233EC27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对讲机便携控制台</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36A2D8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联想 s2 5th Gen</w:t>
            </w: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3B7D57B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5FC352C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788E093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w:t>
            </w:r>
          </w:p>
        </w:tc>
      </w:tr>
      <w:tr w14:paraId="6B55D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281" w:type="dxa"/>
            <w:gridSpan w:val="5"/>
            <w:tcBorders>
              <w:top w:val="single" w:color="000000" w:sz="4" w:space="0"/>
              <w:left w:val="single" w:color="000000" w:sz="4" w:space="0"/>
              <w:bottom w:val="single" w:color="000000" w:sz="4" w:space="0"/>
              <w:right w:val="single" w:color="000000" w:sz="4" w:space="0"/>
            </w:tcBorders>
            <w:noWrap/>
            <w:vAlign w:val="center"/>
          </w:tcPr>
          <w:p w14:paraId="391FC5E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第三</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760D1D4F">
            <w:pPr>
              <w:keepNext w:val="0"/>
              <w:keepLines w:val="0"/>
              <w:pageBreakBefore w:val="0"/>
              <w:widowControl/>
              <w:kinsoku/>
              <w:wordWrap/>
              <w:overflowPunct/>
              <w:topLinePunct w:val="0"/>
              <w:autoSpaceDE/>
              <w:autoSpaceDN/>
              <w:bidi w:val="0"/>
              <w:adjustRightInd/>
              <w:snapToGrid/>
              <w:spacing w:line="400" w:lineRule="exact"/>
              <w:rPr>
                <w:rFonts w:hint="eastAsia" w:ascii="宋体" w:hAnsi="宋体" w:eastAsia="宋体" w:cs="宋体"/>
                <w:i w:val="0"/>
                <w:iCs w:val="0"/>
                <w:color w:val="auto"/>
                <w:sz w:val="24"/>
                <w:szCs w:val="24"/>
                <w:highlight w:val="none"/>
                <w:u w:val="none"/>
              </w:rPr>
            </w:pPr>
          </w:p>
        </w:tc>
      </w:tr>
      <w:tr w14:paraId="13199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780" w:type="dxa"/>
            <w:tcBorders>
              <w:top w:val="single" w:color="000000" w:sz="4" w:space="0"/>
              <w:left w:val="single" w:color="000000" w:sz="4" w:space="0"/>
              <w:bottom w:val="single" w:color="000000" w:sz="4" w:space="0"/>
              <w:right w:val="single" w:color="000000" w:sz="4" w:space="0"/>
            </w:tcBorders>
            <w:noWrap/>
            <w:vAlign w:val="center"/>
          </w:tcPr>
          <w:p w14:paraId="09E76F7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00D150F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电费（100瓦设备）</w:t>
            </w:r>
          </w:p>
        </w:tc>
        <w:tc>
          <w:tcPr>
            <w:tcW w:w="1351" w:type="dxa"/>
            <w:tcBorders>
              <w:top w:val="single" w:color="000000" w:sz="4" w:space="0"/>
              <w:left w:val="single" w:color="000000" w:sz="4" w:space="0"/>
              <w:bottom w:val="single" w:color="000000" w:sz="4" w:space="0"/>
              <w:right w:val="single" w:color="000000" w:sz="4" w:space="0"/>
            </w:tcBorders>
            <w:noWrap/>
            <w:vAlign w:val="center"/>
          </w:tcPr>
          <w:p w14:paraId="4C6A6A7A">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4"/>
                <w:szCs w:val="24"/>
                <w:highlight w:val="none"/>
                <w:u w:val="none"/>
              </w:rPr>
            </w:pP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12F1234A">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4"/>
                <w:szCs w:val="24"/>
                <w:highlight w:val="none"/>
                <w:u w:val="none"/>
              </w:rPr>
            </w:pP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64D3AFE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73</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06ED02B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73个摄像头，每个摄像头功率约100W</w:t>
            </w:r>
          </w:p>
        </w:tc>
      </w:tr>
      <w:tr w14:paraId="261B6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80" w:type="dxa"/>
            <w:tcBorders>
              <w:top w:val="single" w:color="000000" w:sz="4" w:space="0"/>
              <w:left w:val="single" w:color="000000" w:sz="4" w:space="0"/>
              <w:bottom w:val="single" w:color="000000" w:sz="4" w:space="0"/>
              <w:right w:val="single" w:color="000000" w:sz="4" w:space="0"/>
            </w:tcBorders>
            <w:noWrap/>
            <w:vAlign w:val="center"/>
          </w:tcPr>
          <w:p w14:paraId="04D62EF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5EF2C7D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电视通讯费</w:t>
            </w:r>
          </w:p>
        </w:tc>
        <w:tc>
          <w:tcPr>
            <w:tcW w:w="1351" w:type="dxa"/>
            <w:tcBorders>
              <w:top w:val="single" w:color="000000" w:sz="4" w:space="0"/>
              <w:left w:val="single" w:color="000000" w:sz="4" w:space="0"/>
              <w:bottom w:val="single" w:color="000000" w:sz="4" w:space="0"/>
              <w:right w:val="single" w:color="000000" w:sz="4" w:space="0"/>
            </w:tcBorders>
            <w:noWrap/>
            <w:vAlign w:val="center"/>
          </w:tcPr>
          <w:p w14:paraId="1F24815D">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4"/>
                <w:szCs w:val="24"/>
                <w:highlight w:val="none"/>
                <w:u w:val="none"/>
              </w:rPr>
            </w:pP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4105A61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ign w:val="center"/>
          </w:tcPr>
          <w:p w14:paraId="0647ECD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608EDF7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每年缴纳</w:t>
            </w:r>
          </w:p>
        </w:tc>
      </w:tr>
      <w:tr w14:paraId="3FD46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0" w:type="dxa"/>
            <w:tcBorders>
              <w:top w:val="single" w:color="000000" w:sz="4" w:space="0"/>
              <w:left w:val="single" w:color="000000" w:sz="4" w:space="0"/>
              <w:bottom w:val="single" w:color="000000" w:sz="4" w:space="0"/>
              <w:right w:val="single" w:color="000000" w:sz="4" w:space="0"/>
            </w:tcBorders>
            <w:noWrap/>
            <w:vAlign w:val="center"/>
          </w:tcPr>
          <w:p w14:paraId="606993F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1527C37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杀毒软件</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6353AD78">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4"/>
                <w:szCs w:val="24"/>
                <w:highlight w:val="none"/>
                <w:u w:val="none"/>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46BF445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77ABB39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08D6A37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w:t>
            </w:r>
          </w:p>
        </w:tc>
      </w:tr>
      <w:tr w14:paraId="4A2E9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281" w:type="dxa"/>
            <w:gridSpan w:val="5"/>
            <w:tcBorders>
              <w:top w:val="single" w:color="000000" w:sz="4" w:space="0"/>
              <w:left w:val="single" w:color="000000" w:sz="4" w:space="0"/>
              <w:bottom w:val="single" w:color="000000" w:sz="4" w:space="0"/>
              <w:right w:val="single" w:color="000000" w:sz="4" w:space="0"/>
            </w:tcBorders>
            <w:noWrap/>
            <w:vAlign w:val="center"/>
          </w:tcPr>
          <w:p w14:paraId="0D4E8CF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第四</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02B24D44">
            <w:pPr>
              <w:keepNext w:val="0"/>
              <w:keepLines w:val="0"/>
              <w:pageBreakBefore w:val="0"/>
              <w:widowControl/>
              <w:kinsoku/>
              <w:wordWrap/>
              <w:overflowPunct/>
              <w:topLinePunct w:val="0"/>
              <w:autoSpaceDE/>
              <w:autoSpaceDN/>
              <w:bidi w:val="0"/>
              <w:adjustRightInd/>
              <w:snapToGrid/>
              <w:spacing w:line="400" w:lineRule="exact"/>
              <w:rPr>
                <w:rFonts w:hint="eastAsia" w:ascii="宋体" w:hAnsi="宋体" w:eastAsia="宋体" w:cs="宋体"/>
                <w:b/>
                <w:bCs/>
                <w:i w:val="0"/>
                <w:iCs w:val="0"/>
                <w:color w:val="auto"/>
                <w:sz w:val="24"/>
                <w:szCs w:val="24"/>
                <w:highlight w:val="none"/>
                <w:u w:val="none"/>
              </w:rPr>
            </w:pPr>
          </w:p>
        </w:tc>
      </w:tr>
      <w:tr w14:paraId="7B8BE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961FE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68990BD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移动监控车运行及维护</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537984B6">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4"/>
                <w:szCs w:val="24"/>
                <w:highlight w:val="none"/>
                <w:u w:val="none"/>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28D60E8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666EBD2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7553423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保证车辆正常运行</w:t>
            </w:r>
          </w:p>
        </w:tc>
      </w:tr>
      <w:tr w14:paraId="15049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7A55DD1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388FDF7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移动巡检车辆</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01446F49">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4"/>
                <w:szCs w:val="24"/>
                <w:highlight w:val="none"/>
                <w:u w:val="none"/>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1F59411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05C248C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7C70D0E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保证车辆正常运行</w:t>
            </w:r>
          </w:p>
        </w:tc>
      </w:tr>
      <w:tr w14:paraId="1A5EE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741ECA6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5992C9E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监控点取电位置意外变更</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60930105">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4"/>
                <w:szCs w:val="24"/>
                <w:highlight w:val="none"/>
                <w:u w:val="none"/>
              </w:rPr>
            </w:pPr>
          </w:p>
        </w:tc>
        <w:tc>
          <w:tcPr>
            <w:tcW w:w="924" w:type="dxa"/>
            <w:tcBorders>
              <w:top w:val="single" w:color="000000" w:sz="4" w:space="0"/>
              <w:left w:val="single" w:color="000000" w:sz="4" w:space="0"/>
              <w:bottom w:val="single" w:color="000000" w:sz="4" w:space="0"/>
              <w:right w:val="single" w:color="000000" w:sz="4" w:space="0"/>
            </w:tcBorders>
            <w:noWrap w:val="0"/>
            <w:vAlign w:val="center"/>
          </w:tcPr>
          <w:p w14:paraId="7E0DC63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点</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0389EE5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5B609FC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预估监控点取电变更</w:t>
            </w:r>
          </w:p>
        </w:tc>
      </w:tr>
      <w:tr w14:paraId="51F08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6B783FB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101C066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监控、设备箱、防雷设施维护</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6E000F00">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4"/>
                <w:szCs w:val="24"/>
                <w:highlight w:val="none"/>
                <w:u w:val="none"/>
              </w:rPr>
            </w:pP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0A723EF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点</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36E7D4D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73</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6E6362F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w:t>
            </w:r>
          </w:p>
        </w:tc>
      </w:tr>
      <w:tr w14:paraId="75293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40C1B28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2EC7F21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道路视频监控设备清洁</w:t>
            </w:r>
          </w:p>
        </w:tc>
        <w:tc>
          <w:tcPr>
            <w:tcW w:w="1351" w:type="dxa"/>
            <w:tcBorders>
              <w:top w:val="single" w:color="000000" w:sz="4" w:space="0"/>
              <w:left w:val="single" w:color="000000" w:sz="4" w:space="0"/>
              <w:bottom w:val="single" w:color="000000" w:sz="4" w:space="0"/>
              <w:right w:val="single" w:color="000000" w:sz="4" w:space="0"/>
            </w:tcBorders>
            <w:noWrap/>
            <w:vAlign w:val="center"/>
          </w:tcPr>
          <w:p w14:paraId="7AE3F9AF">
            <w:pPr>
              <w:keepNext w:val="0"/>
              <w:keepLines w:val="0"/>
              <w:pageBreakBefore w:val="0"/>
              <w:widowControl/>
              <w:kinsoku/>
              <w:wordWrap/>
              <w:overflowPunct/>
              <w:topLinePunct w:val="0"/>
              <w:autoSpaceDE/>
              <w:autoSpaceDN/>
              <w:bidi w:val="0"/>
              <w:adjustRightInd/>
              <w:snapToGrid/>
              <w:spacing w:line="400" w:lineRule="exact"/>
              <w:rPr>
                <w:rFonts w:hint="eastAsia" w:ascii="宋体" w:hAnsi="宋体" w:eastAsia="宋体" w:cs="宋体"/>
                <w:i w:val="0"/>
                <w:iCs w:val="0"/>
                <w:color w:val="auto"/>
                <w:sz w:val="24"/>
                <w:szCs w:val="24"/>
                <w:highlight w:val="none"/>
                <w:u w:val="none"/>
              </w:rPr>
            </w:pP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1F1CD40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台次</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6298649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73</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61EE256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维护设备正常运行，半年进行一次清洁</w:t>
            </w:r>
          </w:p>
        </w:tc>
      </w:tr>
      <w:tr w14:paraId="23952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398D4FA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2F328A8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对讲机平台软件运维</w:t>
            </w:r>
          </w:p>
        </w:tc>
        <w:tc>
          <w:tcPr>
            <w:tcW w:w="1351" w:type="dxa"/>
            <w:tcBorders>
              <w:top w:val="single" w:color="000000" w:sz="4" w:space="0"/>
              <w:left w:val="single" w:color="000000" w:sz="4" w:space="0"/>
              <w:bottom w:val="single" w:color="000000" w:sz="4" w:space="0"/>
              <w:right w:val="single" w:color="000000" w:sz="4" w:space="0"/>
            </w:tcBorders>
            <w:noWrap/>
            <w:vAlign w:val="center"/>
          </w:tcPr>
          <w:p w14:paraId="08EE3F46">
            <w:pPr>
              <w:keepNext w:val="0"/>
              <w:keepLines w:val="0"/>
              <w:pageBreakBefore w:val="0"/>
              <w:widowControl/>
              <w:kinsoku/>
              <w:wordWrap/>
              <w:overflowPunct/>
              <w:topLinePunct w:val="0"/>
              <w:autoSpaceDE/>
              <w:autoSpaceDN/>
              <w:bidi w:val="0"/>
              <w:adjustRightInd/>
              <w:snapToGrid/>
              <w:spacing w:line="400" w:lineRule="exact"/>
              <w:rPr>
                <w:rFonts w:hint="eastAsia" w:ascii="宋体" w:hAnsi="宋体" w:eastAsia="宋体" w:cs="宋体"/>
                <w:i w:val="0"/>
                <w:iCs w:val="0"/>
                <w:color w:val="auto"/>
                <w:sz w:val="24"/>
                <w:szCs w:val="24"/>
                <w:highlight w:val="none"/>
                <w:u w:val="none"/>
              </w:rPr>
            </w:pP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35CA3A2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次</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01AA7F0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482BEAC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系统正常运行</w:t>
            </w:r>
          </w:p>
        </w:tc>
      </w:tr>
      <w:tr w14:paraId="4B15B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1B81CA2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3DC1A64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触摸一体机86寸</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5F629C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鸿合</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64DA8A8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574EDC8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566A1B6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w:t>
            </w:r>
          </w:p>
        </w:tc>
      </w:tr>
      <w:tr w14:paraId="23A17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09F276C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18D0060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机房调试移动电脑</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4E19BD1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联想</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786DB61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4861B1B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6DFFC05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w:t>
            </w:r>
          </w:p>
        </w:tc>
      </w:tr>
      <w:tr w14:paraId="55DCB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80" w:type="dxa"/>
            <w:tcBorders>
              <w:top w:val="single" w:color="000000" w:sz="4" w:space="0"/>
              <w:left w:val="single" w:color="000000" w:sz="4" w:space="0"/>
              <w:bottom w:val="single" w:color="000000" w:sz="4" w:space="0"/>
              <w:right w:val="single" w:color="000000" w:sz="4" w:space="0"/>
            </w:tcBorders>
            <w:noWrap w:val="0"/>
            <w:vAlign w:val="center"/>
          </w:tcPr>
          <w:p w14:paraId="1C77914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2176" w:type="dxa"/>
            <w:tcBorders>
              <w:top w:val="single" w:color="000000" w:sz="4" w:space="0"/>
              <w:left w:val="single" w:color="000000" w:sz="4" w:space="0"/>
              <w:bottom w:val="single" w:color="000000" w:sz="4" w:space="0"/>
              <w:right w:val="single" w:color="000000" w:sz="4" w:space="0"/>
            </w:tcBorders>
            <w:noWrap w:val="0"/>
            <w:vAlign w:val="center"/>
          </w:tcPr>
          <w:p w14:paraId="478FFE8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指挥大厅空调设备</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090352B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格力</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24C4289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06EFDA3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14:paraId="4D27EA1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维护设备正常运行</w:t>
            </w:r>
          </w:p>
        </w:tc>
      </w:tr>
    </w:tbl>
    <w:p w14:paraId="59389A26">
      <w:pPr>
        <w:pStyle w:val="2"/>
        <w:spacing w:line="360" w:lineRule="auto"/>
        <w:rPr>
          <w:rFonts w:hint="eastAsia" w:ascii="宋体" w:hAnsi="宋体" w:eastAsia="宋体" w:cs="宋体"/>
          <w:color w:val="auto"/>
          <w:sz w:val="24"/>
          <w:szCs w:val="24"/>
          <w:highlight w:val="none"/>
          <w:lang w:val="en-US" w:eastAsia="zh-CN"/>
        </w:rPr>
      </w:pPr>
    </w:p>
    <w:p w14:paraId="40A6120E">
      <w:pPr>
        <w:pStyle w:val="2"/>
        <w:spacing w:line="360" w:lineRule="auto"/>
        <w:rPr>
          <w:rFonts w:hint="eastAsia" w:ascii="宋体" w:hAnsi="宋体" w:eastAsia="宋体" w:cs="宋体"/>
          <w:color w:val="auto"/>
          <w:sz w:val="24"/>
          <w:szCs w:val="24"/>
          <w:highlight w:val="none"/>
          <w:lang w:val="en-US" w:eastAsia="zh-CN"/>
        </w:rPr>
      </w:pPr>
    </w:p>
    <w:p w14:paraId="52420315">
      <w:pPr>
        <w:pStyle w:val="2"/>
        <w:spacing w:line="360" w:lineRule="auto"/>
        <w:rPr>
          <w:rFonts w:hint="eastAsia" w:ascii="宋体" w:hAnsi="宋体" w:eastAsia="宋体" w:cs="宋体"/>
          <w:color w:val="auto"/>
          <w:sz w:val="24"/>
          <w:szCs w:val="24"/>
          <w:highlight w:val="none"/>
          <w:lang w:val="en-US" w:eastAsia="zh-CN"/>
        </w:rPr>
      </w:pPr>
    </w:p>
    <w:p w14:paraId="4D967B58">
      <w:pPr>
        <w:pStyle w:val="6"/>
        <w:spacing w:line="360" w:lineRule="auto"/>
        <w:ind w:left="0" w:leftChars="0" w:firstLine="0" w:firstLineChars="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2、软件服务内容</w:t>
      </w:r>
    </w:p>
    <w:tbl>
      <w:tblPr>
        <w:tblStyle w:val="7"/>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7"/>
        <w:gridCol w:w="997"/>
        <w:gridCol w:w="1972"/>
        <w:gridCol w:w="1560"/>
        <w:gridCol w:w="784"/>
        <w:gridCol w:w="1347"/>
        <w:gridCol w:w="860"/>
      </w:tblGrid>
      <w:tr w14:paraId="7E3D7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85" w:type="pct"/>
            <w:tcBorders>
              <w:top w:val="single" w:color="000000" w:sz="4" w:space="0"/>
              <w:left w:val="single" w:color="000000" w:sz="4" w:space="0"/>
              <w:bottom w:val="single" w:color="000000" w:sz="4" w:space="0"/>
              <w:right w:val="single" w:color="000000" w:sz="4" w:space="0"/>
            </w:tcBorders>
            <w:noWrap/>
            <w:vAlign w:val="center"/>
          </w:tcPr>
          <w:p w14:paraId="36FD8569">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序号</w:t>
            </w:r>
          </w:p>
        </w:tc>
        <w:tc>
          <w:tcPr>
            <w:tcW w:w="1742" w:type="pct"/>
            <w:gridSpan w:val="2"/>
            <w:tcBorders>
              <w:top w:val="single" w:color="000000" w:sz="4" w:space="0"/>
              <w:left w:val="single" w:color="000000" w:sz="4" w:space="0"/>
              <w:bottom w:val="single" w:color="000000" w:sz="4" w:space="0"/>
              <w:right w:val="single" w:color="000000" w:sz="4" w:space="0"/>
            </w:tcBorders>
            <w:noWrap/>
            <w:vAlign w:val="center"/>
          </w:tcPr>
          <w:p w14:paraId="5BE7EF65">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产品名称</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4E7F0175">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规格型号</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6CBCD1BA">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lang w:eastAsia="zh-CN"/>
              </w:rPr>
            </w:pPr>
            <w:r>
              <w:rPr>
                <w:rFonts w:hint="eastAsia" w:ascii="宋体" w:hAnsi="宋体" w:eastAsia="宋体" w:cs="宋体"/>
                <w:i w:val="0"/>
                <w:iCs w:val="0"/>
                <w:color w:val="auto"/>
                <w:sz w:val="24"/>
                <w:szCs w:val="24"/>
                <w:highlight w:val="none"/>
                <w:u w:val="none"/>
                <w:lang w:eastAsia="zh-CN"/>
              </w:rPr>
              <w:t>单位</w:t>
            </w:r>
          </w:p>
        </w:tc>
        <w:tc>
          <w:tcPr>
            <w:tcW w:w="790" w:type="pct"/>
            <w:tcBorders>
              <w:top w:val="single" w:color="000000" w:sz="4" w:space="0"/>
              <w:left w:val="single" w:color="000000" w:sz="4" w:space="0"/>
              <w:bottom w:val="single" w:color="000000" w:sz="4" w:space="0"/>
              <w:right w:val="single" w:color="000000" w:sz="4" w:space="0"/>
            </w:tcBorders>
            <w:noWrap/>
            <w:vAlign w:val="center"/>
          </w:tcPr>
          <w:p w14:paraId="71B77982">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制造商</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149C6C37">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数量</w:t>
            </w:r>
          </w:p>
        </w:tc>
      </w:tr>
      <w:tr w14:paraId="0D3F7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nil"/>
              <w:left w:val="single" w:color="000000" w:sz="4" w:space="0"/>
              <w:bottom w:val="single" w:color="000000" w:sz="4" w:space="0"/>
              <w:right w:val="single" w:color="000000" w:sz="4" w:space="0"/>
            </w:tcBorders>
            <w:noWrap w:val="0"/>
            <w:vAlign w:val="center"/>
          </w:tcPr>
          <w:p w14:paraId="5E21D472">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742" w:type="pct"/>
            <w:gridSpan w:val="2"/>
            <w:tcBorders>
              <w:top w:val="nil"/>
              <w:left w:val="single" w:color="000000" w:sz="4" w:space="0"/>
              <w:bottom w:val="single" w:color="000000" w:sz="4" w:space="0"/>
              <w:right w:val="single" w:color="000000" w:sz="4" w:space="0"/>
            </w:tcBorders>
            <w:noWrap w:val="0"/>
            <w:vAlign w:val="center"/>
          </w:tcPr>
          <w:p w14:paraId="14E61BA6">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监督中心受理子系统</w:t>
            </w:r>
          </w:p>
        </w:tc>
        <w:tc>
          <w:tcPr>
            <w:tcW w:w="915" w:type="pct"/>
            <w:tcBorders>
              <w:top w:val="nil"/>
              <w:left w:val="single" w:color="000000" w:sz="4" w:space="0"/>
              <w:bottom w:val="single" w:color="000000" w:sz="4" w:space="0"/>
              <w:right w:val="single" w:color="000000" w:sz="4" w:space="0"/>
            </w:tcBorders>
            <w:noWrap w:val="0"/>
            <w:vAlign w:val="center"/>
          </w:tcPr>
          <w:p w14:paraId="554ECA0D">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nil"/>
              <w:left w:val="single" w:color="000000" w:sz="4" w:space="0"/>
              <w:bottom w:val="single" w:color="000000" w:sz="4" w:space="0"/>
              <w:right w:val="single" w:color="000000" w:sz="4" w:space="0"/>
            </w:tcBorders>
            <w:noWrap w:val="0"/>
            <w:vAlign w:val="center"/>
          </w:tcPr>
          <w:p w14:paraId="04C6529B">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nil"/>
              <w:left w:val="single" w:color="000000" w:sz="4" w:space="0"/>
              <w:bottom w:val="single" w:color="000000" w:sz="4" w:space="0"/>
              <w:right w:val="single" w:color="000000" w:sz="4" w:space="0"/>
            </w:tcBorders>
            <w:noWrap w:val="0"/>
            <w:vAlign w:val="center"/>
          </w:tcPr>
          <w:p w14:paraId="1D4902E4">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nil"/>
              <w:left w:val="single" w:color="000000" w:sz="4" w:space="0"/>
              <w:bottom w:val="single" w:color="000000" w:sz="4" w:space="0"/>
              <w:right w:val="single" w:color="000000" w:sz="4" w:space="0"/>
            </w:tcBorders>
            <w:noWrap w:val="0"/>
            <w:vAlign w:val="center"/>
          </w:tcPr>
          <w:p w14:paraId="5A915060">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47515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3F77774B">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742" w:type="pct"/>
            <w:gridSpan w:val="2"/>
            <w:tcBorders>
              <w:top w:val="single" w:color="000000" w:sz="4" w:space="0"/>
              <w:left w:val="single" w:color="000000" w:sz="4" w:space="0"/>
              <w:bottom w:val="single" w:color="000000" w:sz="4" w:space="0"/>
              <w:right w:val="single" w:color="000000" w:sz="4" w:space="0"/>
            </w:tcBorders>
            <w:noWrap w:val="0"/>
            <w:vAlign w:val="center"/>
          </w:tcPr>
          <w:p w14:paraId="0D2DF1A9">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协同工作子系统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49A56623">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48DF0419">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5BDE51B7">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77D213C9">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689C3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0581D0D0">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742" w:type="pct"/>
            <w:gridSpan w:val="2"/>
            <w:tcBorders>
              <w:top w:val="single" w:color="000000" w:sz="4" w:space="0"/>
              <w:left w:val="single" w:color="000000" w:sz="4" w:space="0"/>
              <w:bottom w:val="single" w:color="000000" w:sz="4" w:space="0"/>
              <w:right w:val="single" w:color="000000" w:sz="4" w:space="0"/>
            </w:tcBorders>
            <w:noWrap w:val="0"/>
            <w:vAlign w:val="center"/>
          </w:tcPr>
          <w:p w14:paraId="5366AAA8">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地理编码子系统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2B6CD20A">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733D00A3">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0CD50BF6">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0DC545DA">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62C43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674CACB1">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742" w:type="pct"/>
            <w:gridSpan w:val="2"/>
            <w:tcBorders>
              <w:top w:val="single" w:color="000000" w:sz="4" w:space="0"/>
              <w:left w:val="single" w:color="000000" w:sz="4" w:space="0"/>
              <w:bottom w:val="single" w:color="000000" w:sz="4" w:space="0"/>
              <w:right w:val="single" w:color="000000" w:sz="4" w:space="0"/>
            </w:tcBorders>
            <w:noWrap w:val="0"/>
            <w:vAlign w:val="center"/>
          </w:tcPr>
          <w:p w14:paraId="43C23F14">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监督指挥子系统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7C1779D8">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7256E1B9">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7748B990">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50E1B0D2">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69C46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5E5DE117">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1742" w:type="pct"/>
            <w:gridSpan w:val="2"/>
            <w:tcBorders>
              <w:top w:val="single" w:color="000000" w:sz="4" w:space="0"/>
              <w:left w:val="single" w:color="000000" w:sz="4" w:space="0"/>
              <w:bottom w:val="single" w:color="000000" w:sz="4" w:space="0"/>
              <w:right w:val="single" w:color="000000" w:sz="4" w:space="0"/>
            </w:tcBorders>
            <w:noWrap w:val="0"/>
            <w:vAlign w:val="center"/>
          </w:tcPr>
          <w:p w14:paraId="34FD9016">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综合评价子系统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6908ECD8">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3AB4BA9B">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1B842A02">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211D6764">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100FE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16662EF5">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1742" w:type="pct"/>
            <w:gridSpan w:val="2"/>
            <w:tcBorders>
              <w:top w:val="single" w:color="000000" w:sz="4" w:space="0"/>
              <w:left w:val="single" w:color="000000" w:sz="4" w:space="0"/>
              <w:bottom w:val="single" w:color="000000" w:sz="4" w:space="0"/>
              <w:right w:val="single" w:color="000000" w:sz="4" w:space="0"/>
            </w:tcBorders>
            <w:noWrap w:val="0"/>
            <w:vAlign w:val="center"/>
          </w:tcPr>
          <w:p w14:paraId="7F031A75">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应用维护子系统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7F7E02F7">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727ED271">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02E90C73">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2F7BAB93">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54769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3BE69024">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1742" w:type="pct"/>
            <w:gridSpan w:val="2"/>
            <w:tcBorders>
              <w:top w:val="single" w:color="000000" w:sz="4" w:space="0"/>
              <w:left w:val="single" w:color="000000" w:sz="4" w:space="0"/>
              <w:bottom w:val="single" w:color="000000" w:sz="4" w:space="0"/>
              <w:right w:val="single" w:color="000000" w:sz="4" w:space="0"/>
            </w:tcBorders>
            <w:noWrap w:val="0"/>
            <w:vAlign w:val="center"/>
          </w:tcPr>
          <w:p w14:paraId="0E00A14A">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基础数据资源管理子系统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623CCBDA">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10944A89">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0A0EACBC">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3B406A5A">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48CF9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126DBBEB">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1742" w:type="pct"/>
            <w:gridSpan w:val="2"/>
            <w:tcBorders>
              <w:top w:val="single" w:color="000000" w:sz="4" w:space="0"/>
              <w:left w:val="single" w:color="000000" w:sz="4" w:space="0"/>
              <w:bottom w:val="single" w:color="000000" w:sz="4" w:space="0"/>
              <w:right w:val="single" w:color="000000" w:sz="4" w:space="0"/>
            </w:tcBorders>
            <w:noWrap w:val="0"/>
            <w:vAlign w:val="center"/>
          </w:tcPr>
          <w:p w14:paraId="1DE35752">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数据交换子系统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42FED404">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37A0B9A3">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408E56E8">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252608AB">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25E03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0BF38DD2">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1742" w:type="pct"/>
            <w:gridSpan w:val="2"/>
            <w:tcBorders>
              <w:top w:val="single" w:color="000000" w:sz="4" w:space="0"/>
              <w:left w:val="single" w:color="000000" w:sz="4" w:space="0"/>
              <w:bottom w:val="single" w:color="000000" w:sz="4" w:space="0"/>
              <w:right w:val="single" w:color="000000" w:sz="4" w:space="0"/>
            </w:tcBorders>
            <w:noWrap w:val="0"/>
            <w:vAlign w:val="center"/>
          </w:tcPr>
          <w:p w14:paraId="44317D02">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案件智能派遣子系统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3E5C3A7E">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110C84A2">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5E6727B8">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5A9C6411">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696DF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48171FBE">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1742" w:type="pct"/>
            <w:gridSpan w:val="2"/>
            <w:tcBorders>
              <w:top w:val="single" w:color="000000" w:sz="4" w:space="0"/>
              <w:left w:val="single" w:color="000000" w:sz="4" w:space="0"/>
              <w:bottom w:val="single" w:color="000000" w:sz="4" w:space="0"/>
              <w:right w:val="single" w:color="000000" w:sz="4" w:space="0"/>
            </w:tcBorders>
            <w:noWrap w:val="0"/>
            <w:vAlign w:val="center"/>
          </w:tcPr>
          <w:p w14:paraId="6237AB49">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PC  端即时通讯子系统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2546685B">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06F60D77">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3BF7B41D">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50CACB7C">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2C17F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75D37833">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1742" w:type="pct"/>
            <w:gridSpan w:val="2"/>
            <w:tcBorders>
              <w:top w:val="single" w:color="000000" w:sz="4" w:space="0"/>
              <w:left w:val="single" w:color="000000" w:sz="4" w:space="0"/>
              <w:bottom w:val="single" w:color="000000" w:sz="4" w:space="0"/>
              <w:right w:val="single" w:color="000000" w:sz="4" w:space="0"/>
            </w:tcBorders>
            <w:noWrap w:val="0"/>
            <w:vAlign w:val="center"/>
          </w:tcPr>
          <w:p w14:paraId="1A942E1F">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防汛排查子系统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5464B1B0">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4C29BB74">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56D28F55">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59BFF3BB">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44501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194CDBEA">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585" w:type="pct"/>
            <w:vMerge w:val="restart"/>
            <w:tcBorders>
              <w:top w:val="single" w:color="000000" w:sz="4" w:space="0"/>
              <w:left w:val="single" w:color="000000" w:sz="4" w:space="0"/>
              <w:bottom w:val="single" w:color="000000" w:sz="4" w:space="0"/>
              <w:right w:val="single" w:color="000000" w:sz="4" w:space="0"/>
            </w:tcBorders>
            <w:noWrap w:val="0"/>
            <w:vAlign w:val="center"/>
          </w:tcPr>
          <w:p w14:paraId="05350753">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城管服务 APP</w:t>
            </w:r>
          </w:p>
        </w:tc>
        <w:tc>
          <w:tcPr>
            <w:tcW w:w="1157" w:type="pct"/>
            <w:tcBorders>
              <w:top w:val="single" w:color="000000" w:sz="4" w:space="0"/>
              <w:left w:val="single" w:color="000000" w:sz="4" w:space="0"/>
              <w:bottom w:val="single" w:color="000000" w:sz="4" w:space="0"/>
              <w:right w:val="single" w:color="000000" w:sz="4" w:space="0"/>
            </w:tcBorders>
            <w:noWrap w:val="0"/>
            <w:vAlign w:val="center"/>
          </w:tcPr>
          <w:p w14:paraId="41C76FFF">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无线数据采集子系统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622753E6">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007FC591">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7071CF5C">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57E96CE3">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774AC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3CDAC7A7">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14:paraId="2CDF2E13">
            <w:pPr>
              <w:keepNext w:val="0"/>
              <w:keepLines w:val="0"/>
              <w:pageBreakBefore w:val="0"/>
              <w:kinsoku/>
              <w:wordWrap/>
              <w:overflowPunct/>
              <w:topLinePunct w:val="0"/>
              <w:bidi w:val="0"/>
              <w:spacing w:line="360" w:lineRule="auto"/>
              <w:jc w:val="center"/>
              <w:rPr>
                <w:rFonts w:hint="eastAsia" w:ascii="宋体" w:hAnsi="宋体" w:eastAsia="宋体" w:cs="宋体"/>
                <w:i w:val="0"/>
                <w:iCs w:val="0"/>
                <w:color w:val="auto"/>
                <w:sz w:val="24"/>
                <w:szCs w:val="24"/>
                <w:highlight w:val="none"/>
                <w:u w:val="none"/>
              </w:rPr>
            </w:pPr>
          </w:p>
        </w:tc>
        <w:tc>
          <w:tcPr>
            <w:tcW w:w="1157" w:type="pct"/>
            <w:tcBorders>
              <w:top w:val="single" w:color="000000" w:sz="4" w:space="0"/>
              <w:left w:val="single" w:color="000000" w:sz="4" w:space="0"/>
              <w:bottom w:val="single" w:color="000000" w:sz="4" w:space="0"/>
              <w:right w:val="single" w:color="000000" w:sz="4" w:space="0"/>
            </w:tcBorders>
            <w:noWrap w:val="0"/>
            <w:vAlign w:val="center"/>
          </w:tcPr>
          <w:p w14:paraId="382E2B6F">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领导移动督办子系统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489FEE06">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61B03908">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6AF0655E">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67306E86">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35677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49A8F063">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w:t>
            </w:r>
          </w:p>
        </w:tc>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3FC7DD2">
            <w:pPr>
              <w:keepNext w:val="0"/>
              <w:keepLines w:val="0"/>
              <w:pageBreakBefore w:val="0"/>
              <w:kinsoku/>
              <w:wordWrap/>
              <w:overflowPunct/>
              <w:topLinePunct w:val="0"/>
              <w:bidi w:val="0"/>
              <w:spacing w:line="360" w:lineRule="auto"/>
              <w:jc w:val="center"/>
              <w:rPr>
                <w:rFonts w:hint="eastAsia" w:ascii="宋体" w:hAnsi="宋体" w:eastAsia="宋体" w:cs="宋体"/>
                <w:i w:val="0"/>
                <w:iCs w:val="0"/>
                <w:color w:val="auto"/>
                <w:sz w:val="24"/>
                <w:szCs w:val="24"/>
                <w:highlight w:val="none"/>
                <w:u w:val="none"/>
              </w:rPr>
            </w:pPr>
          </w:p>
        </w:tc>
        <w:tc>
          <w:tcPr>
            <w:tcW w:w="1157" w:type="pct"/>
            <w:tcBorders>
              <w:top w:val="single" w:color="000000" w:sz="4" w:space="0"/>
              <w:left w:val="single" w:color="000000" w:sz="4" w:space="0"/>
              <w:bottom w:val="single" w:color="000000" w:sz="4" w:space="0"/>
              <w:right w:val="single" w:color="000000" w:sz="4" w:space="0"/>
            </w:tcBorders>
            <w:noWrap w:val="0"/>
            <w:vAlign w:val="center"/>
          </w:tcPr>
          <w:p w14:paraId="65C671C5">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移动处置子系统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3A137947">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536C1AC7">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41CFDF4F">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473F35BB">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732B9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1B08FABE">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19D8538">
            <w:pPr>
              <w:keepNext w:val="0"/>
              <w:keepLines w:val="0"/>
              <w:pageBreakBefore w:val="0"/>
              <w:kinsoku/>
              <w:wordWrap/>
              <w:overflowPunct/>
              <w:topLinePunct w:val="0"/>
              <w:bidi w:val="0"/>
              <w:spacing w:line="360" w:lineRule="auto"/>
              <w:jc w:val="center"/>
              <w:rPr>
                <w:rFonts w:hint="eastAsia" w:ascii="宋体" w:hAnsi="宋体" w:eastAsia="宋体" w:cs="宋体"/>
                <w:i w:val="0"/>
                <w:iCs w:val="0"/>
                <w:color w:val="auto"/>
                <w:sz w:val="24"/>
                <w:szCs w:val="24"/>
                <w:highlight w:val="none"/>
                <w:u w:val="none"/>
              </w:rPr>
            </w:pPr>
          </w:p>
        </w:tc>
        <w:tc>
          <w:tcPr>
            <w:tcW w:w="1157" w:type="pct"/>
            <w:tcBorders>
              <w:top w:val="single" w:color="000000" w:sz="4" w:space="0"/>
              <w:left w:val="single" w:color="000000" w:sz="4" w:space="0"/>
              <w:bottom w:val="single" w:color="000000" w:sz="4" w:space="0"/>
              <w:right w:val="single" w:color="000000" w:sz="4" w:space="0"/>
            </w:tcBorders>
            <w:noWrap w:val="0"/>
            <w:vAlign w:val="center"/>
          </w:tcPr>
          <w:p w14:paraId="4F8892CC">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移动端即时通讯子系统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67568160">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233F85C5">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2B835AB3">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5840FAF5">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4D530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19E2ACA6">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585" w:type="pct"/>
            <w:vMerge w:val="restart"/>
            <w:tcBorders>
              <w:top w:val="single" w:color="000000" w:sz="4" w:space="0"/>
              <w:left w:val="single" w:color="000000" w:sz="4" w:space="0"/>
              <w:bottom w:val="single" w:color="000000" w:sz="4" w:space="0"/>
              <w:right w:val="single" w:color="000000" w:sz="4" w:space="0"/>
            </w:tcBorders>
            <w:noWrap w:val="0"/>
            <w:vAlign w:val="center"/>
          </w:tcPr>
          <w:p w14:paraId="0AB29204">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综合执法应</w:t>
            </w:r>
            <w:r>
              <w:rPr>
                <w:rStyle w:val="10"/>
                <w:rFonts w:hint="eastAsia" w:ascii="宋体" w:hAnsi="宋体" w:eastAsia="宋体" w:cs="宋体"/>
                <w:color w:val="auto"/>
                <w:sz w:val="24"/>
                <w:szCs w:val="24"/>
                <w:highlight w:val="none"/>
                <w:lang w:val="en-US" w:eastAsia="zh-CN" w:bidi="ar"/>
              </w:rPr>
              <w:t xml:space="preserve"> </w:t>
            </w:r>
            <w:r>
              <w:rPr>
                <w:rFonts w:hint="eastAsia" w:ascii="宋体" w:hAnsi="宋体" w:eastAsia="宋体" w:cs="宋体"/>
                <w:i w:val="0"/>
                <w:iCs w:val="0"/>
                <w:color w:val="auto"/>
                <w:kern w:val="0"/>
                <w:sz w:val="24"/>
                <w:szCs w:val="24"/>
                <w:highlight w:val="none"/>
                <w:u w:val="none"/>
                <w:lang w:val="en-US" w:eastAsia="zh-CN" w:bidi="ar"/>
              </w:rPr>
              <w:t>用平台建设</w:t>
            </w:r>
          </w:p>
        </w:tc>
        <w:tc>
          <w:tcPr>
            <w:tcW w:w="1157" w:type="pct"/>
            <w:tcBorders>
              <w:top w:val="single" w:color="000000" w:sz="4" w:space="0"/>
              <w:left w:val="single" w:color="000000" w:sz="4" w:space="0"/>
              <w:bottom w:val="single" w:color="000000" w:sz="4" w:space="0"/>
              <w:right w:val="single" w:color="000000" w:sz="4" w:space="0"/>
            </w:tcBorders>
            <w:noWrap w:val="0"/>
            <w:vAlign w:val="center"/>
          </w:tcPr>
          <w:p w14:paraId="21C16770">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移动执法子系统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0A9C02C8">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0DA8DF58">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13485327">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18E0BBDA">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00045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00BF1A6F">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17</w:t>
            </w:r>
          </w:p>
        </w:tc>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14:paraId="6C99B2AD">
            <w:pPr>
              <w:keepNext w:val="0"/>
              <w:keepLines w:val="0"/>
              <w:pageBreakBefore w:val="0"/>
              <w:kinsoku/>
              <w:wordWrap/>
              <w:overflowPunct/>
              <w:topLinePunct w:val="0"/>
              <w:bidi w:val="0"/>
              <w:spacing w:line="360" w:lineRule="auto"/>
              <w:jc w:val="center"/>
              <w:rPr>
                <w:rFonts w:hint="eastAsia" w:ascii="宋体" w:hAnsi="宋体" w:eastAsia="宋体" w:cs="宋体"/>
                <w:i w:val="0"/>
                <w:iCs w:val="0"/>
                <w:color w:val="auto"/>
                <w:sz w:val="24"/>
                <w:szCs w:val="24"/>
                <w:highlight w:val="none"/>
                <w:u w:val="none"/>
              </w:rPr>
            </w:pPr>
          </w:p>
        </w:tc>
        <w:tc>
          <w:tcPr>
            <w:tcW w:w="1157" w:type="pct"/>
            <w:tcBorders>
              <w:top w:val="single" w:color="000000" w:sz="4" w:space="0"/>
              <w:left w:val="single" w:color="000000" w:sz="4" w:space="0"/>
              <w:bottom w:val="single" w:color="000000" w:sz="4" w:space="0"/>
              <w:right w:val="single" w:color="000000" w:sz="4" w:space="0"/>
            </w:tcBorders>
            <w:noWrap w:val="0"/>
            <w:vAlign w:val="center"/>
          </w:tcPr>
          <w:p w14:paraId="3C480EAD">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受理平台子系统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193724A1">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5F1F4E14">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5C083F36">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2C4CDB57">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0ED5E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2333BEE0">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w:t>
            </w:r>
          </w:p>
        </w:tc>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14:paraId="7ED21BF7">
            <w:pPr>
              <w:keepNext w:val="0"/>
              <w:keepLines w:val="0"/>
              <w:pageBreakBefore w:val="0"/>
              <w:kinsoku/>
              <w:wordWrap/>
              <w:overflowPunct/>
              <w:topLinePunct w:val="0"/>
              <w:bidi w:val="0"/>
              <w:spacing w:line="360" w:lineRule="auto"/>
              <w:jc w:val="center"/>
              <w:rPr>
                <w:rFonts w:hint="eastAsia" w:ascii="宋体" w:hAnsi="宋体" w:eastAsia="宋体" w:cs="宋体"/>
                <w:i w:val="0"/>
                <w:iCs w:val="0"/>
                <w:color w:val="auto"/>
                <w:sz w:val="24"/>
                <w:szCs w:val="24"/>
                <w:highlight w:val="none"/>
                <w:u w:val="none"/>
              </w:rPr>
            </w:pPr>
          </w:p>
        </w:tc>
        <w:tc>
          <w:tcPr>
            <w:tcW w:w="1157" w:type="pct"/>
            <w:tcBorders>
              <w:top w:val="single" w:color="000000" w:sz="4" w:space="0"/>
              <w:left w:val="single" w:color="000000" w:sz="4" w:space="0"/>
              <w:bottom w:val="single" w:color="000000" w:sz="4" w:space="0"/>
              <w:right w:val="single" w:color="000000" w:sz="4" w:space="0"/>
            </w:tcBorders>
            <w:noWrap w:val="0"/>
            <w:vAlign w:val="center"/>
          </w:tcPr>
          <w:p w14:paraId="2B6A5250">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执法办案子系统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27DF38FE">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56C50462">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38FA7523">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59D24078">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24220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6EB05C02">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19</w:t>
            </w:r>
          </w:p>
        </w:tc>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4E353CC">
            <w:pPr>
              <w:keepNext w:val="0"/>
              <w:keepLines w:val="0"/>
              <w:pageBreakBefore w:val="0"/>
              <w:kinsoku/>
              <w:wordWrap/>
              <w:overflowPunct/>
              <w:topLinePunct w:val="0"/>
              <w:bidi w:val="0"/>
              <w:spacing w:line="360" w:lineRule="auto"/>
              <w:jc w:val="center"/>
              <w:rPr>
                <w:rFonts w:hint="eastAsia" w:ascii="宋体" w:hAnsi="宋体" w:eastAsia="宋体" w:cs="宋体"/>
                <w:i w:val="0"/>
                <w:iCs w:val="0"/>
                <w:color w:val="auto"/>
                <w:sz w:val="24"/>
                <w:szCs w:val="24"/>
                <w:highlight w:val="none"/>
                <w:u w:val="none"/>
              </w:rPr>
            </w:pPr>
          </w:p>
        </w:tc>
        <w:tc>
          <w:tcPr>
            <w:tcW w:w="1157" w:type="pct"/>
            <w:tcBorders>
              <w:top w:val="single" w:color="000000" w:sz="4" w:space="0"/>
              <w:left w:val="single" w:color="000000" w:sz="4" w:space="0"/>
              <w:bottom w:val="single" w:color="000000" w:sz="4" w:space="0"/>
              <w:right w:val="single" w:color="000000" w:sz="4" w:space="0"/>
            </w:tcBorders>
            <w:noWrap w:val="0"/>
            <w:vAlign w:val="center"/>
          </w:tcPr>
          <w:p w14:paraId="1ECB9638">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法律法规子系统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212FA840">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6421B802">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4F011670">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03BF8AAA">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0AA95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5A7B0DF0">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4AA71FC">
            <w:pPr>
              <w:keepNext w:val="0"/>
              <w:keepLines w:val="0"/>
              <w:pageBreakBefore w:val="0"/>
              <w:kinsoku/>
              <w:wordWrap/>
              <w:overflowPunct/>
              <w:topLinePunct w:val="0"/>
              <w:bidi w:val="0"/>
              <w:spacing w:line="360" w:lineRule="auto"/>
              <w:jc w:val="center"/>
              <w:rPr>
                <w:rFonts w:hint="eastAsia" w:ascii="宋体" w:hAnsi="宋体" w:eastAsia="宋体" w:cs="宋体"/>
                <w:i w:val="0"/>
                <w:iCs w:val="0"/>
                <w:color w:val="auto"/>
                <w:sz w:val="24"/>
                <w:szCs w:val="24"/>
                <w:highlight w:val="none"/>
                <w:u w:val="none"/>
              </w:rPr>
            </w:pPr>
          </w:p>
        </w:tc>
        <w:tc>
          <w:tcPr>
            <w:tcW w:w="1157" w:type="pct"/>
            <w:tcBorders>
              <w:top w:val="single" w:color="000000" w:sz="4" w:space="0"/>
              <w:left w:val="single" w:color="000000" w:sz="4" w:space="0"/>
              <w:bottom w:val="single" w:color="000000" w:sz="4" w:space="0"/>
              <w:right w:val="single" w:color="000000" w:sz="4" w:space="0"/>
            </w:tcBorders>
            <w:noWrap w:val="0"/>
            <w:vAlign w:val="center"/>
          </w:tcPr>
          <w:p w14:paraId="11D199C7">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统计查询子系统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34130F3E">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5FAD5072">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4A996ADB">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237E3C9B">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1C79F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64E5C1BD">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21</w:t>
            </w:r>
          </w:p>
        </w:tc>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14:paraId="649BFC25">
            <w:pPr>
              <w:keepNext w:val="0"/>
              <w:keepLines w:val="0"/>
              <w:pageBreakBefore w:val="0"/>
              <w:kinsoku/>
              <w:wordWrap/>
              <w:overflowPunct/>
              <w:topLinePunct w:val="0"/>
              <w:bidi w:val="0"/>
              <w:spacing w:line="360" w:lineRule="auto"/>
              <w:jc w:val="center"/>
              <w:rPr>
                <w:rFonts w:hint="eastAsia" w:ascii="宋体" w:hAnsi="宋体" w:eastAsia="宋体" w:cs="宋体"/>
                <w:i w:val="0"/>
                <w:iCs w:val="0"/>
                <w:color w:val="auto"/>
                <w:sz w:val="24"/>
                <w:szCs w:val="24"/>
                <w:highlight w:val="none"/>
                <w:u w:val="none"/>
              </w:rPr>
            </w:pPr>
          </w:p>
        </w:tc>
        <w:tc>
          <w:tcPr>
            <w:tcW w:w="1157" w:type="pct"/>
            <w:tcBorders>
              <w:top w:val="single" w:color="000000" w:sz="4" w:space="0"/>
              <w:left w:val="single" w:color="000000" w:sz="4" w:space="0"/>
              <w:bottom w:val="single" w:color="000000" w:sz="4" w:space="0"/>
              <w:right w:val="single" w:color="000000" w:sz="4" w:space="0"/>
            </w:tcBorders>
            <w:noWrap w:val="0"/>
            <w:vAlign w:val="center"/>
          </w:tcPr>
          <w:p w14:paraId="07A02319">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应用维护子系统</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74F29295">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iUrban2012</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12244971">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348E4E79">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48CAA686">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6F5D7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0C6B36">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22</w:t>
            </w:r>
          </w:p>
        </w:tc>
        <w:tc>
          <w:tcPr>
            <w:tcW w:w="585" w:type="pct"/>
            <w:vMerge w:val="continue"/>
            <w:tcBorders>
              <w:top w:val="single" w:color="000000" w:sz="4" w:space="0"/>
              <w:left w:val="single" w:color="000000" w:sz="4" w:space="0"/>
              <w:bottom w:val="single" w:color="000000" w:sz="4" w:space="0"/>
              <w:right w:val="single" w:color="000000" w:sz="4" w:space="0"/>
            </w:tcBorders>
            <w:noWrap w:val="0"/>
            <w:vAlign w:val="center"/>
          </w:tcPr>
          <w:p w14:paraId="66C1CF28">
            <w:pPr>
              <w:keepNext w:val="0"/>
              <w:keepLines w:val="0"/>
              <w:pageBreakBefore w:val="0"/>
              <w:kinsoku/>
              <w:wordWrap/>
              <w:overflowPunct/>
              <w:topLinePunct w:val="0"/>
              <w:bidi w:val="0"/>
              <w:spacing w:line="360" w:lineRule="auto"/>
              <w:jc w:val="center"/>
              <w:rPr>
                <w:rFonts w:hint="eastAsia" w:ascii="宋体" w:hAnsi="宋体" w:eastAsia="宋体" w:cs="宋体"/>
                <w:i w:val="0"/>
                <w:iCs w:val="0"/>
                <w:color w:val="auto"/>
                <w:sz w:val="24"/>
                <w:szCs w:val="24"/>
                <w:highlight w:val="none"/>
                <w:u w:val="none"/>
              </w:rPr>
            </w:pPr>
          </w:p>
        </w:tc>
        <w:tc>
          <w:tcPr>
            <w:tcW w:w="1157" w:type="pct"/>
            <w:tcBorders>
              <w:top w:val="single" w:color="000000" w:sz="4" w:space="0"/>
              <w:left w:val="single" w:color="000000" w:sz="4" w:space="0"/>
              <w:bottom w:val="single" w:color="000000" w:sz="4" w:space="0"/>
              <w:right w:val="single" w:color="000000" w:sz="4" w:space="0"/>
            </w:tcBorders>
            <w:noWrap w:val="0"/>
            <w:vAlign w:val="center"/>
          </w:tcPr>
          <w:p w14:paraId="651E8B4C">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执法数据库建设</w:t>
            </w:r>
          </w:p>
        </w:tc>
        <w:tc>
          <w:tcPr>
            <w:tcW w:w="915" w:type="pct"/>
            <w:tcBorders>
              <w:top w:val="single" w:color="000000" w:sz="4" w:space="0"/>
              <w:left w:val="single" w:color="000000" w:sz="4" w:space="0"/>
              <w:bottom w:val="single" w:color="000000" w:sz="4" w:space="0"/>
              <w:right w:val="single" w:color="000000" w:sz="4" w:space="0"/>
            </w:tcBorders>
            <w:noWrap w:val="0"/>
            <w:vAlign w:val="center"/>
          </w:tcPr>
          <w:p w14:paraId="3A7551F3">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定制</w:t>
            </w:r>
          </w:p>
        </w:tc>
        <w:tc>
          <w:tcPr>
            <w:tcW w:w="460" w:type="pct"/>
            <w:tcBorders>
              <w:top w:val="single" w:color="000000" w:sz="4" w:space="0"/>
              <w:left w:val="single" w:color="000000" w:sz="4" w:space="0"/>
              <w:bottom w:val="single" w:color="000000" w:sz="4" w:space="0"/>
              <w:right w:val="single" w:color="000000" w:sz="4" w:space="0"/>
            </w:tcBorders>
            <w:noWrap w:val="0"/>
            <w:vAlign w:val="center"/>
          </w:tcPr>
          <w:p w14:paraId="24F0C45D">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90" w:type="pct"/>
            <w:tcBorders>
              <w:top w:val="single" w:color="000000" w:sz="4" w:space="0"/>
              <w:left w:val="single" w:color="000000" w:sz="4" w:space="0"/>
              <w:bottom w:val="single" w:color="000000" w:sz="4" w:space="0"/>
              <w:right w:val="single" w:color="000000" w:sz="4" w:space="0"/>
            </w:tcBorders>
            <w:noWrap w:val="0"/>
            <w:vAlign w:val="center"/>
          </w:tcPr>
          <w:p w14:paraId="09F6FAC0">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数字政通</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14:paraId="44AB2C2A">
            <w:pPr>
              <w:keepNext w:val="0"/>
              <w:keepLines w:val="0"/>
              <w:pageBreakBefore w:val="0"/>
              <w:widowControl/>
              <w:suppressLineNumbers w:val="0"/>
              <w:kinsoku/>
              <w:wordWrap/>
              <w:overflowPunct/>
              <w:topLinePunct w:val="0"/>
              <w:bidi w:val="0"/>
              <w:spacing w:line="36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bl>
    <w:p w14:paraId="53CF4700">
      <w:pPr>
        <w:spacing w:line="360" w:lineRule="auto"/>
        <w:rPr>
          <w:rFonts w:hint="eastAsia" w:ascii="宋体" w:hAnsi="宋体" w:eastAsia="宋体" w:cs="宋体"/>
          <w:color w:val="auto"/>
          <w:sz w:val="24"/>
          <w:szCs w:val="24"/>
          <w:highlight w:val="none"/>
        </w:rPr>
      </w:pPr>
    </w:p>
    <w:p w14:paraId="49169C96">
      <w:pPr>
        <w:numPr>
          <w:ilvl w:val="0"/>
          <w:numId w:val="0"/>
        </w:numPr>
        <w:rPr>
          <w:rFonts w:hint="eastAsia"/>
          <w:color w:val="auto"/>
          <w:highlight w:val="none"/>
        </w:rPr>
      </w:pPr>
    </w:p>
    <w:p w14:paraId="09B6AD8C">
      <w:pPr>
        <w:adjustRightInd w:val="0"/>
        <w:snapToGrid w:val="0"/>
        <w:spacing w:line="360" w:lineRule="auto"/>
        <w:jc w:val="center"/>
        <w:rPr>
          <w:rFonts w:hint="eastAsia" w:ascii="宋体" w:hAnsi="宋体" w:eastAsia="宋体" w:cs="宋体"/>
          <w:b/>
          <w:bCs/>
          <w:color w:val="auto"/>
          <w:sz w:val="56"/>
          <w:szCs w:val="56"/>
          <w:highlight w:val="none"/>
          <w:lang w:val="en-US" w:eastAsia="zh-CN"/>
        </w:rPr>
      </w:pPr>
      <w:r>
        <w:rPr>
          <w:rFonts w:hint="eastAsia" w:ascii="宋体" w:hAnsi="宋体" w:eastAsia="宋体" w:cs="宋体"/>
          <w:color w:val="auto"/>
          <w:highlight w:val="none"/>
        </w:rPr>
        <w:t xml:space="preserve"> </w:t>
      </w:r>
    </w:p>
    <w:p w14:paraId="38343787">
      <w:pPr>
        <w:pStyle w:val="11"/>
        <w:spacing w:line="360" w:lineRule="auto"/>
        <w:rPr>
          <w:rFonts w:hint="eastAsia" w:ascii="宋体" w:hAnsi="宋体" w:eastAsia="宋体" w:cs="宋体"/>
          <w:color w:val="auto"/>
          <w:sz w:val="24"/>
          <w:szCs w:val="24"/>
          <w:highlight w:val="none"/>
        </w:rPr>
      </w:pPr>
    </w:p>
    <w:p w14:paraId="5E911865">
      <w:bookmarkStart w:id="33" w:name="_GoBack"/>
      <w:bookmarkEnd w:id="3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186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qFormat/>
    <w:uiPriority w:val="0"/>
    <w:pPr>
      <w:spacing w:after="120"/>
    </w:pPr>
    <w:rPr>
      <w:rFonts w:ascii="Times New Roman"/>
    </w:rPr>
  </w:style>
  <w:style w:type="paragraph" w:styleId="4">
    <w:name w:val="Body Text Indent"/>
    <w:basedOn w:val="1"/>
    <w:qFormat/>
    <w:uiPriority w:val="0"/>
    <w:pPr>
      <w:widowControl/>
      <w:ind w:firstLine="652" w:firstLineChars="233"/>
    </w:pPr>
    <w:rPr>
      <w:rFonts w:ascii="Times New Roman"/>
      <w:sz w:val="28"/>
    </w:rPr>
  </w:style>
  <w:style w:type="paragraph" w:styleId="5">
    <w:name w:val="Body Text First Indent"/>
    <w:basedOn w:val="3"/>
    <w:next w:val="1"/>
    <w:unhideWhenUsed/>
    <w:qFormat/>
    <w:uiPriority w:val="0"/>
    <w:pPr>
      <w:ind w:firstLine="420" w:firstLineChars="100"/>
    </w:pPr>
    <w:rPr>
      <w:rFonts w:hAnsi="Times New Roman"/>
      <w:sz w:val="18"/>
      <w:szCs w:val="18"/>
    </w:rPr>
  </w:style>
  <w:style w:type="paragraph" w:styleId="6">
    <w:name w:val="Body Text First Indent 2"/>
    <w:basedOn w:val="4"/>
    <w:next w:val="5"/>
    <w:unhideWhenUsed/>
    <w:qFormat/>
    <w:uiPriority w:val="99"/>
    <w:pPr>
      <w:ind w:firstLine="0"/>
    </w:pPr>
    <w:rPr>
      <w:rFonts w:cs="Times New Roman"/>
    </w:rPr>
  </w:style>
  <w:style w:type="paragraph" w:customStyle="1" w:styleId="9">
    <w:name w:val="列出段落6"/>
    <w:basedOn w:val="1"/>
    <w:qFormat/>
    <w:uiPriority w:val="99"/>
    <w:pPr>
      <w:widowControl w:val="0"/>
      <w:adjustRightInd/>
      <w:snapToGrid/>
      <w:spacing w:after="0"/>
      <w:ind w:firstLine="420" w:firstLineChars="200"/>
      <w:jc w:val="both"/>
    </w:pPr>
    <w:rPr>
      <w:rFonts w:ascii="Times New Roman" w:hAnsi="Times New Roman" w:eastAsia="宋体"/>
      <w:kern w:val="2"/>
      <w:sz w:val="21"/>
      <w:szCs w:val="24"/>
    </w:rPr>
  </w:style>
  <w:style w:type="character" w:customStyle="1" w:styleId="10">
    <w:name w:val="font31"/>
    <w:basedOn w:val="8"/>
    <w:qFormat/>
    <w:uiPriority w:val="0"/>
    <w:rPr>
      <w:rFonts w:hint="default" w:ascii="Calibri" w:hAnsi="Calibri" w:cs="Calibri"/>
      <w:color w:val="000000"/>
      <w:sz w:val="20"/>
      <w:szCs w:val="20"/>
      <w:u w:val="none"/>
    </w:rPr>
  </w:style>
  <w:style w:type="paragraph" w:customStyle="1" w:styleId="11">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2026-05-22T08:23:50Z</dcterms:created>
  <dc:creator>正翼</dc:creator>
  <cp:lastModifiedBy>WPS_1544074700</cp:lastModifiedBy>
  <dcterms:modified xsi:type="dcterms:W3CDTF">2026-05-22T08:24:31Z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eyJoZGlkIjoiMmM0ZjhkOTlmOGVhY2Q5MmU1MDI5MDcwM2E2OTg1ZjEiLCJ1c2VySWQiOiI0Mzk3ODY0MTQifQ==</vt:lpwstr>
  </property>
  <property fmtid="{D5CDD505-2E9C-101B-9397-08002B2CF9AE}" pid="4" name="ICV">
    <vt:lpwstr>6D21AA7E3BF34AA695F4E9BC632966AD_12</vt:lpwstr>
  </property>
</Properties>
</file>