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582ED">
      <w:pPr>
        <w:spacing w:line="360" w:lineRule="auto"/>
        <w:jc w:val="center"/>
        <w:rPr>
          <w:rFonts w:hint="eastAsia" w:ascii="宋体" w:hAnsi="宋体" w:eastAsia="宋体" w:cs="宋体"/>
          <w:sz w:val="28"/>
          <w:szCs w:val="28"/>
        </w:rPr>
      </w:pPr>
      <w:r>
        <w:rPr>
          <w:rFonts w:hint="eastAsia" w:ascii="宋体" w:hAnsi="宋体" w:eastAsia="宋体" w:cs="宋体"/>
          <w:sz w:val="28"/>
          <w:szCs w:val="28"/>
        </w:rPr>
        <w:t>蓝田县滋水小学餐饮服务食材采购项目</w:t>
      </w:r>
    </w:p>
    <w:p w14:paraId="2DD2E21F">
      <w:pPr>
        <w:spacing w:line="360" w:lineRule="auto"/>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采购需求（货物类）</w:t>
      </w:r>
    </w:p>
    <w:p w14:paraId="2791093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一、</w:t>
      </w:r>
      <w:r>
        <w:rPr>
          <w:rFonts w:hint="eastAsia" w:ascii="宋体" w:hAnsi="宋体" w:eastAsia="宋体" w:cs="宋体"/>
          <w:sz w:val="24"/>
          <w:szCs w:val="24"/>
        </w:rPr>
        <w:t>项目概况</w:t>
      </w:r>
    </w:p>
    <w:p w14:paraId="211E6C90">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蓝田县滋水小学供应豆制品，调料，干货，水果和蔬菜等;现有学生约3500人用餐，每周一至周五(正常开学时间)负责日常餐厅原材料的供应，保证餐厅正常开餐</w:t>
      </w:r>
      <w:r>
        <w:rPr>
          <w:rFonts w:hint="eastAsia" w:ascii="宋体" w:hAnsi="宋体" w:eastAsia="宋体" w:cs="宋体"/>
          <w:sz w:val="24"/>
          <w:szCs w:val="24"/>
          <w:lang w:eastAsia="zh-CN"/>
        </w:rPr>
        <w:t>。</w:t>
      </w:r>
    </w:p>
    <w:p w14:paraId="796D25E5">
      <w:pPr>
        <w:pStyle w:val="3"/>
        <w:keepNext w:val="0"/>
        <w:keepLines w:val="0"/>
        <w:pageBreakBefore w:val="0"/>
        <w:kinsoku/>
        <w:wordWrap/>
        <w:overflowPunct/>
        <w:topLinePunct w:val="0"/>
        <w:bidi w:val="0"/>
        <w:spacing w:before="0" w:beforeAutospacing="0" w:after="0" w:afterAutospacing="0" w:line="360" w:lineRule="auto"/>
        <w:ind w:left="0" w:right="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采购内容</w:t>
      </w:r>
    </w:p>
    <w:p w14:paraId="35C3D887">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（一）配送清单</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2398"/>
        <w:gridCol w:w="2367"/>
        <w:gridCol w:w="1618"/>
      </w:tblGrid>
      <w:tr w14:paraId="70375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56E1A218">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序号</w:t>
            </w:r>
          </w:p>
        </w:tc>
        <w:tc>
          <w:tcPr>
            <w:tcW w:w="2398" w:type="dxa"/>
          </w:tcPr>
          <w:p w14:paraId="1B294D1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品名</w:t>
            </w:r>
          </w:p>
        </w:tc>
        <w:tc>
          <w:tcPr>
            <w:tcW w:w="2367" w:type="dxa"/>
          </w:tcPr>
          <w:p w14:paraId="640783FB">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规格</w:t>
            </w:r>
          </w:p>
        </w:tc>
        <w:tc>
          <w:tcPr>
            <w:tcW w:w="1618" w:type="dxa"/>
          </w:tcPr>
          <w:p w14:paraId="3A8FEB7C">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单位</w:t>
            </w:r>
          </w:p>
        </w:tc>
      </w:tr>
      <w:tr w14:paraId="5E0A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5452D124">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w:t>
            </w:r>
          </w:p>
        </w:tc>
        <w:tc>
          <w:tcPr>
            <w:tcW w:w="2398" w:type="dxa"/>
          </w:tcPr>
          <w:p w14:paraId="16CFEE6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豆制品</w:t>
            </w:r>
          </w:p>
        </w:tc>
        <w:tc>
          <w:tcPr>
            <w:tcW w:w="2367" w:type="dxa"/>
          </w:tcPr>
          <w:p w14:paraId="719CED42">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计重</w:t>
            </w:r>
          </w:p>
        </w:tc>
        <w:tc>
          <w:tcPr>
            <w:tcW w:w="1618" w:type="dxa"/>
          </w:tcPr>
          <w:p w14:paraId="4CAB9A51">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斤</w:t>
            </w:r>
          </w:p>
        </w:tc>
      </w:tr>
      <w:tr w14:paraId="336E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141053D5">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w:t>
            </w:r>
          </w:p>
        </w:tc>
        <w:tc>
          <w:tcPr>
            <w:tcW w:w="2398" w:type="dxa"/>
          </w:tcPr>
          <w:p w14:paraId="4DC3CE4F">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水果</w:t>
            </w:r>
          </w:p>
        </w:tc>
        <w:tc>
          <w:tcPr>
            <w:tcW w:w="2367" w:type="dxa"/>
          </w:tcPr>
          <w:p w14:paraId="31089908">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计重</w:t>
            </w:r>
          </w:p>
        </w:tc>
        <w:tc>
          <w:tcPr>
            <w:tcW w:w="1618" w:type="dxa"/>
          </w:tcPr>
          <w:p w14:paraId="22D431D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斤</w:t>
            </w:r>
          </w:p>
        </w:tc>
      </w:tr>
      <w:tr w14:paraId="42B9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60EE8BE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w:t>
            </w:r>
          </w:p>
        </w:tc>
        <w:tc>
          <w:tcPr>
            <w:tcW w:w="2398" w:type="dxa"/>
          </w:tcPr>
          <w:p w14:paraId="39C0398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蔬菜</w:t>
            </w:r>
          </w:p>
        </w:tc>
        <w:tc>
          <w:tcPr>
            <w:tcW w:w="2367" w:type="dxa"/>
          </w:tcPr>
          <w:p w14:paraId="289B914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计重</w:t>
            </w:r>
          </w:p>
        </w:tc>
        <w:tc>
          <w:tcPr>
            <w:tcW w:w="1618" w:type="dxa"/>
          </w:tcPr>
          <w:p w14:paraId="23E7F7B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斤</w:t>
            </w:r>
          </w:p>
        </w:tc>
      </w:tr>
      <w:tr w14:paraId="0C1D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938D14B">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w:t>
            </w:r>
          </w:p>
        </w:tc>
        <w:tc>
          <w:tcPr>
            <w:tcW w:w="2398" w:type="dxa"/>
          </w:tcPr>
          <w:p w14:paraId="528FDB1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鸡肉</w:t>
            </w:r>
          </w:p>
        </w:tc>
        <w:tc>
          <w:tcPr>
            <w:tcW w:w="2367" w:type="dxa"/>
          </w:tcPr>
          <w:p w14:paraId="2E1AFAE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计重</w:t>
            </w:r>
          </w:p>
        </w:tc>
        <w:tc>
          <w:tcPr>
            <w:tcW w:w="1618" w:type="dxa"/>
          </w:tcPr>
          <w:p w14:paraId="6A3DB31F">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斤</w:t>
            </w:r>
          </w:p>
        </w:tc>
      </w:tr>
      <w:tr w14:paraId="5D74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3E6227F7">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5</w:t>
            </w:r>
          </w:p>
        </w:tc>
        <w:tc>
          <w:tcPr>
            <w:tcW w:w="2398" w:type="dxa"/>
          </w:tcPr>
          <w:p w14:paraId="6BF2B66F">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盐</w:t>
            </w:r>
          </w:p>
        </w:tc>
        <w:tc>
          <w:tcPr>
            <w:tcW w:w="2367" w:type="dxa"/>
          </w:tcPr>
          <w:p w14:paraId="1BE0D94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350g／袋</w:t>
            </w:r>
          </w:p>
        </w:tc>
        <w:tc>
          <w:tcPr>
            <w:tcW w:w="1618" w:type="dxa"/>
          </w:tcPr>
          <w:p w14:paraId="75287E9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袋</w:t>
            </w:r>
          </w:p>
        </w:tc>
      </w:tr>
      <w:tr w14:paraId="1F45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7E3DC0BC">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6</w:t>
            </w:r>
          </w:p>
        </w:tc>
        <w:tc>
          <w:tcPr>
            <w:tcW w:w="2398" w:type="dxa"/>
          </w:tcPr>
          <w:p w14:paraId="70B18E03">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鸡汁</w:t>
            </w:r>
          </w:p>
        </w:tc>
        <w:tc>
          <w:tcPr>
            <w:tcW w:w="2367" w:type="dxa"/>
          </w:tcPr>
          <w:p w14:paraId="25F9442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1L／瓶</w:t>
            </w:r>
          </w:p>
        </w:tc>
        <w:tc>
          <w:tcPr>
            <w:tcW w:w="1618" w:type="dxa"/>
          </w:tcPr>
          <w:p w14:paraId="602082DD">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r w14:paraId="671B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5D2709E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7</w:t>
            </w:r>
          </w:p>
        </w:tc>
        <w:tc>
          <w:tcPr>
            <w:tcW w:w="2398" w:type="dxa"/>
          </w:tcPr>
          <w:p w14:paraId="6BE4E95C">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鸡精</w:t>
            </w:r>
          </w:p>
        </w:tc>
        <w:tc>
          <w:tcPr>
            <w:tcW w:w="2367" w:type="dxa"/>
          </w:tcPr>
          <w:p w14:paraId="5F756FE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454g／袋</w:t>
            </w:r>
          </w:p>
        </w:tc>
        <w:tc>
          <w:tcPr>
            <w:tcW w:w="1618" w:type="dxa"/>
          </w:tcPr>
          <w:p w14:paraId="7673ABD1">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袋</w:t>
            </w:r>
          </w:p>
        </w:tc>
      </w:tr>
      <w:tr w14:paraId="75F6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DBF34F6">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8</w:t>
            </w:r>
          </w:p>
        </w:tc>
        <w:tc>
          <w:tcPr>
            <w:tcW w:w="2398" w:type="dxa"/>
          </w:tcPr>
          <w:p w14:paraId="6BEACC4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十三香</w:t>
            </w:r>
          </w:p>
        </w:tc>
        <w:tc>
          <w:tcPr>
            <w:tcW w:w="2367" w:type="dxa"/>
          </w:tcPr>
          <w:p w14:paraId="65F85CE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45g／盒</w:t>
            </w:r>
          </w:p>
        </w:tc>
        <w:tc>
          <w:tcPr>
            <w:tcW w:w="1618" w:type="dxa"/>
          </w:tcPr>
          <w:p w14:paraId="7B4B2012">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盒</w:t>
            </w:r>
          </w:p>
        </w:tc>
      </w:tr>
      <w:tr w14:paraId="2241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28B5118B">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9</w:t>
            </w:r>
          </w:p>
        </w:tc>
        <w:tc>
          <w:tcPr>
            <w:tcW w:w="2398" w:type="dxa"/>
          </w:tcPr>
          <w:p w14:paraId="2E573E54">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红烧酱汁</w:t>
            </w:r>
          </w:p>
        </w:tc>
        <w:tc>
          <w:tcPr>
            <w:tcW w:w="2367" w:type="dxa"/>
          </w:tcPr>
          <w:p w14:paraId="0E4916D5">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1.9L／桶</w:t>
            </w:r>
          </w:p>
        </w:tc>
        <w:tc>
          <w:tcPr>
            <w:tcW w:w="1618" w:type="dxa"/>
          </w:tcPr>
          <w:p w14:paraId="1663C41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桶</w:t>
            </w:r>
          </w:p>
        </w:tc>
      </w:tr>
      <w:tr w14:paraId="60A0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5787955D">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10</w:t>
            </w:r>
          </w:p>
        </w:tc>
        <w:tc>
          <w:tcPr>
            <w:tcW w:w="2398" w:type="dxa"/>
          </w:tcPr>
          <w:p w14:paraId="4E110D51">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辣面</w:t>
            </w:r>
          </w:p>
        </w:tc>
        <w:tc>
          <w:tcPr>
            <w:tcW w:w="2367" w:type="dxa"/>
          </w:tcPr>
          <w:p w14:paraId="648BD463">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406g／袋</w:t>
            </w:r>
          </w:p>
        </w:tc>
        <w:tc>
          <w:tcPr>
            <w:tcW w:w="1618" w:type="dxa"/>
          </w:tcPr>
          <w:p w14:paraId="2920B0F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袋</w:t>
            </w:r>
          </w:p>
        </w:tc>
      </w:tr>
      <w:tr w14:paraId="58E6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61785948">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11</w:t>
            </w:r>
          </w:p>
        </w:tc>
        <w:tc>
          <w:tcPr>
            <w:tcW w:w="2398" w:type="dxa"/>
          </w:tcPr>
          <w:p w14:paraId="0C1C8821">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香醋</w:t>
            </w:r>
          </w:p>
        </w:tc>
        <w:tc>
          <w:tcPr>
            <w:tcW w:w="2367" w:type="dxa"/>
          </w:tcPr>
          <w:p w14:paraId="32B19C0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875ml／瓶</w:t>
            </w:r>
          </w:p>
        </w:tc>
        <w:tc>
          <w:tcPr>
            <w:tcW w:w="1618" w:type="dxa"/>
          </w:tcPr>
          <w:p w14:paraId="7B145389">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r w14:paraId="55C5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EE1AD1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12</w:t>
            </w:r>
          </w:p>
        </w:tc>
        <w:tc>
          <w:tcPr>
            <w:tcW w:w="2398" w:type="dxa"/>
            <w:shd w:val="clear" w:color="auto" w:fill="auto"/>
            <w:vAlign w:val="top"/>
          </w:tcPr>
          <w:p w14:paraId="35926E11">
            <w:pPr>
              <w:pStyle w:val="2"/>
              <w:keepNext w:val="0"/>
              <w:keepLines w:val="0"/>
              <w:pageBreakBefore w:val="0"/>
              <w:kinsoku/>
              <w:wordWrap/>
              <w:overflowPunct/>
              <w:topLinePunct w:val="0"/>
              <w:bidi w:val="0"/>
              <w:spacing w:line="360" w:lineRule="auto"/>
              <w:ind w:left="120" w:leftChars="0"/>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白醋</w:t>
            </w:r>
          </w:p>
        </w:tc>
        <w:tc>
          <w:tcPr>
            <w:tcW w:w="2367" w:type="dxa"/>
            <w:shd w:val="clear" w:color="auto" w:fill="auto"/>
            <w:vAlign w:val="top"/>
          </w:tcPr>
          <w:p w14:paraId="21A412FD">
            <w:pPr>
              <w:pStyle w:val="2"/>
              <w:keepNext w:val="0"/>
              <w:keepLines w:val="0"/>
              <w:pageBreakBefore w:val="0"/>
              <w:kinsoku/>
              <w:wordWrap/>
              <w:overflowPunct/>
              <w:topLinePunct w:val="0"/>
              <w:bidi w:val="0"/>
              <w:spacing w:line="360" w:lineRule="auto"/>
              <w:ind w:left="120" w:leftChars="0"/>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875ml／瓶</w:t>
            </w:r>
          </w:p>
        </w:tc>
        <w:tc>
          <w:tcPr>
            <w:tcW w:w="1618" w:type="dxa"/>
            <w:shd w:val="clear" w:color="auto" w:fill="auto"/>
            <w:vAlign w:val="top"/>
          </w:tcPr>
          <w:p w14:paraId="7979B8DA">
            <w:pPr>
              <w:pStyle w:val="2"/>
              <w:keepNext w:val="0"/>
              <w:keepLines w:val="0"/>
              <w:pageBreakBefore w:val="0"/>
              <w:kinsoku/>
              <w:wordWrap/>
              <w:overflowPunct/>
              <w:topLinePunct w:val="0"/>
              <w:bidi w:val="0"/>
              <w:spacing w:line="360" w:lineRule="auto"/>
              <w:ind w:left="120" w:leftChars="0"/>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r w14:paraId="1FB0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4691F67">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13</w:t>
            </w:r>
          </w:p>
        </w:tc>
        <w:tc>
          <w:tcPr>
            <w:tcW w:w="2398" w:type="dxa"/>
          </w:tcPr>
          <w:p w14:paraId="51620F63">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生抽</w:t>
            </w:r>
          </w:p>
        </w:tc>
        <w:tc>
          <w:tcPr>
            <w:tcW w:w="2367" w:type="dxa"/>
          </w:tcPr>
          <w:p w14:paraId="15CA48C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1.9L／桶</w:t>
            </w:r>
          </w:p>
        </w:tc>
        <w:tc>
          <w:tcPr>
            <w:tcW w:w="1618" w:type="dxa"/>
          </w:tcPr>
          <w:p w14:paraId="237F3E23">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桶</w:t>
            </w:r>
          </w:p>
        </w:tc>
      </w:tr>
      <w:tr w14:paraId="4F18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3A66E27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14</w:t>
            </w:r>
          </w:p>
        </w:tc>
        <w:tc>
          <w:tcPr>
            <w:tcW w:w="2398" w:type="dxa"/>
          </w:tcPr>
          <w:p w14:paraId="4F9C3B7D">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料酒</w:t>
            </w:r>
          </w:p>
        </w:tc>
        <w:tc>
          <w:tcPr>
            <w:tcW w:w="2367" w:type="dxa"/>
          </w:tcPr>
          <w:p w14:paraId="4D8EA952">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1.9L／桶</w:t>
            </w:r>
          </w:p>
        </w:tc>
        <w:tc>
          <w:tcPr>
            <w:tcW w:w="1618" w:type="dxa"/>
          </w:tcPr>
          <w:p w14:paraId="4C6C51CB">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桶</w:t>
            </w:r>
          </w:p>
        </w:tc>
      </w:tr>
      <w:tr w14:paraId="1B46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36E17D05">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15</w:t>
            </w:r>
          </w:p>
        </w:tc>
        <w:tc>
          <w:tcPr>
            <w:tcW w:w="2398" w:type="dxa"/>
          </w:tcPr>
          <w:p w14:paraId="29A1BAF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蚝油</w:t>
            </w:r>
          </w:p>
        </w:tc>
        <w:tc>
          <w:tcPr>
            <w:tcW w:w="2367" w:type="dxa"/>
          </w:tcPr>
          <w:p w14:paraId="30374F1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700g／瓶</w:t>
            </w:r>
          </w:p>
        </w:tc>
        <w:tc>
          <w:tcPr>
            <w:tcW w:w="1618" w:type="dxa"/>
          </w:tcPr>
          <w:p w14:paraId="6EE0E802">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r w14:paraId="599B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091BAD44">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16</w:t>
            </w:r>
          </w:p>
        </w:tc>
        <w:tc>
          <w:tcPr>
            <w:tcW w:w="2398" w:type="dxa"/>
          </w:tcPr>
          <w:p w14:paraId="7AD4BFB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火锅底料</w:t>
            </w:r>
          </w:p>
        </w:tc>
        <w:tc>
          <w:tcPr>
            <w:tcW w:w="2367" w:type="dxa"/>
          </w:tcPr>
          <w:p w14:paraId="43F0B52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400g／袋</w:t>
            </w:r>
          </w:p>
        </w:tc>
        <w:tc>
          <w:tcPr>
            <w:tcW w:w="1618" w:type="dxa"/>
          </w:tcPr>
          <w:p w14:paraId="007DCE0D">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袋</w:t>
            </w:r>
          </w:p>
        </w:tc>
      </w:tr>
      <w:tr w14:paraId="0BA38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8BE264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17</w:t>
            </w:r>
          </w:p>
        </w:tc>
        <w:tc>
          <w:tcPr>
            <w:tcW w:w="2398" w:type="dxa"/>
          </w:tcPr>
          <w:p w14:paraId="51397D57">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strike w:val="0"/>
                <w:dstrike w:val="0"/>
                <w:color w:val="auto"/>
                <w:spacing w:val="0"/>
                <w:kern w:val="2"/>
                <w:sz w:val="24"/>
                <w:szCs w:val="24"/>
                <w:highlight w:val="none"/>
                <w:lang w:val="en-US" w:eastAsia="zh-CN" w:bidi="ar-SA"/>
              </w:rPr>
              <w:t>风味豆豉</w:t>
            </w:r>
          </w:p>
        </w:tc>
        <w:tc>
          <w:tcPr>
            <w:tcW w:w="2367" w:type="dxa"/>
          </w:tcPr>
          <w:p w14:paraId="20C02947">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280g／袋</w:t>
            </w:r>
          </w:p>
        </w:tc>
        <w:tc>
          <w:tcPr>
            <w:tcW w:w="1618" w:type="dxa"/>
          </w:tcPr>
          <w:p w14:paraId="7CD6B6D4">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r w14:paraId="1E92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4FD72DA0">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18</w:t>
            </w:r>
          </w:p>
        </w:tc>
        <w:tc>
          <w:tcPr>
            <w:tcW w:w="2398" w:type="dxa"/>
          </w:tcPr>
          <w:p w14:paraId="1D3A2F3E">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番茄酱</w:t>
            </w:r>
          </w:p>
        </w:tc>
        <w:tc>
          <w:tcPr>
            <w:tcW w:w="2367" w:type="dxa"/>
          </w:tcPr>
          <w:p w14:paraId="76A4013A">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850g／桶</w:t>
            </w:r>
          </w:p>
        </w:tc>
        <w:tc>
          <w:tcPr>
            <w:tcW w:w="1618" w:type="dxa"/>
          </w:tcPr>
          <w:p w14:paraId="41752386">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桶</w:t>
            </w:r>
          </w:p>
        </w:tc>
      </w:tr>
      <w:tr w14:paraId="7399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80" w:type="dxa"/>
          </w:tcPr>
          <w:p w14:paraId="7DCF8C66">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19</w:t>
            </w:r>
          </w:p>
        </w:tc>
        <w:tc>
          <w:tcPr>
            <w:tcW w:w="2398" w:type="dxa"/>
          </w:tcPr>
          <w:p w14:paraId="4522461B">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香油</w:t>
            </w:r>
          </w:p>
        </w:tc>
        <w:tc>
          <w:tcPr>
            <w:tcW w:w="2367" w:type="dxa"/>
          </w:tcPr>
          <w:p w14:paraId="55787A78">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320ml／瓶</w:t>
            </w:r>
          </w:p>
        </w:tc>
        <w:tc>
          <w:tcPr>
            <w:tcW w:w="1618" w:type="dxa"/>
          </w:tcPr>
          <w:p w14:paraId="372FE3F5">
            <w:pPr>
              <w:pStyle w:val="2"/>
              <w:keepNext w:val="0"/>
              <w:keepLines w:val="0"/>
              <w:pageBreakBefore w:val="0"/>
              <w:kinsoku/>
              <w:wordWrap/>
              <w:overflowPunct/>
              <w:topLinePunct w:val="0"/>
              <w:bidi w:val="0"/>
              <w:spacing w:line="360" w:lineRule="auto"/>
              <w:jc w:val="center"/>
              <w:outlineLvl w:val="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瓶</w:t>
            </w:r>
          </w:p>
        </w:tc>
      </w:tr>
    </w:tbl>
    <w:p w14:paraId="2FE65208">
      <w:pPr>
        <w:pStyle w:val="9"/>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注:规格仅为参考值，以实际供货规格为准。</w:t>
      </w:r>
    </w:p>
    <w:p w14:paraId="06B9C36B">
      <w:pPr>
        <w:pStyle w:val="9"/>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pacing w:val="0"/>
          <w:sz w:val="24"/>
          <w:szCs w:val="24"/>
          <w:highlight w:val="none"/>
          <w:lang w:val="en-US" w:eastAsia="zh-CN"/>
        </w:rPr>
      </w:pPr>
      <w:bookmarkStart w:id="0" w:name="_GoBack"/>
      <w:bookmarkEnd w:id="0"/>
      <w:r>
        <w:rPr>
          <w:rFonts w:hint="eastAsia" w:ascii="宋体" w:hAnsi="宋体" w:eastAsia="宋体" w:cs="宋体"/>
          <w:b/>
          <w:bCs/>
          <w:spacing w:val="0"/>
          <w:sz w:val="24"/>
          <w:szCs w:val="24"/>
          <w:highlight w:val="none"/>
          <w:lang w:val="en-US" w:eastAsia="zh-CN"/>
        </w:rPr>
        <w:t>（二）具体要求：</w:t>
      </w:r>
    </w:p>
    <w:p w14:paraId="2B76BF0A">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（1）所有货物均须符合《中华人民共和国食品安全法》，须具备所配送产品的检测报告或食品检验合格证。</w:t>
      </w:r>
    </w:p>
    <w:p w14:paraId="5989B45E">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（2）水果蔬菜必须保证新鲜，果蔬必须符合GB2763 食品中农药最大残留限量标准并具有农药残留检验记录；</w:t>
      </w:r>
    </w:p>
    <w:p w14:paraId="69B8A997">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（3）调味品要品质好，无霉变、无杂质。定型包装调味品必须保证质量并提供相关证明材料（包含但不限于“SC”食品生产许可证、质量检测报告等）；</w:t>
      </w:r>
    </w:p>
    <w:p w14:paraId="78E35182">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干鲜蔬菜类：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无须二次处理可以直接进行熟加工。无黄叶、老叶主要指青菜、白菜类不能有老叶，鲜蒜、香葱等的杆部应当见白；无浸水、泡水或注水主要指白菜类(含花菜)、瓜果类、鲜菌类及根(块)茎类蔬菜不能浸水、泡水或注水。</w:t>
      </w:r>
    </w:p>
    <w:p w14:paraId="48A16EA1">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（5）豆制品：豆腐、豆腐干、红豆等；须保证食材干净、不含非食品用化学物质、按统一标准加工、码放整齐、无须二次处理可以直接进行熟加工。</w:t>
      </w:r>
    </w:p>
    <w:p w14:paraId="13D2ED9A">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trike w:val="0"/>
          <w:dstrike w:val="0"/>
          <w:spacing w:val="0"/>
          <w:sz w:val="24"/>
          <w:szCs w:val="24"/>
          <w:highlight w:val="none"/>
          <w:lang w:val="en-US" w:eastAsia="zh-CN"/>
        </w:rPr>
      </w:pPr>
      <w:r>
        <w:rPr>
          <w:rFonts w:hint="eastAsia" w:ascii="宋体" w:hAnsi="宋体" w:eastAsia="宋体" w:cs="宋体"/>
          <w:strike w:val="0"/>
          <w:dstrike w:val="0"/>
          <w:spacing w:val="0"/>
          <w:sz w:val="24"/>
          <w:szCs w:val="24"/>
          <w:highlight w:val="none"/>
          <w:lang w:val="en-US" w:eastAsia="zh-CN"/>
        </w:rPr>
        <w:t>（6）鸡肉：供应商提供的肉品应有相应资质的屠宰场所屠杀的生鲜禽畜肉，符合国家相关质量标准和卫生标准，保证产品新鲜、无异味、无变质。非病死禽畜肉；非“注水”禽畜肉，有相应的检验、检疫合格证明，供采购人随时抽查。新鲜的肉类，表面有光泽，颜色均匀，有弹性，不得呈现青紫色死斑。供应价格不得高于市场同品质价格。</w:t>
      </w:r>
    </w:p>
    <w:p w14:paraId="40BDC277">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（7）货物包装应完好无破漏，内容物无腐败霉变或影响使用，不存在危及人身、财产安全的不合理危险的情况。</w:t>
      </w:r>
    </w:p>
    <w:p w14:paraId="281A6998">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8）食品包装标签应符合《食品安全国家标准预包装食品标签通则》（GB7718-2011）要求，包括食品名称、配料表、净含量、规格、制造商（或）经销者的名称、地址和联系方式、生产日期和保质期、贮存条件、食品生产许可证编号、产品标准代号等内容。</w:t>
      </w:r>
    </w:p>
    <w:p w14:paraId="78011C84">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9）供应商配送的货物应当符合《中华人民共和国产品质量法》和《中华人民共和国食品安全法》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被有毒有害物质污染，可能对人体健康有害的物品。</w:t>
      </w:r>
    </w:p>
    <w:p w14:paraId="3CFFD1C9">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（10）不得提供未经检疫或者检疫不合格的水果蔬菜，农药残留检测报告供采购人随时抽查，抽查发现供应商提供的物资合格证明材料与本批次物资不符时，每次给予1000元处罚。</w:t>
      </w:r>
    </w:p>
    <w:p w14:paraId="6E2B9F9E">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（11）不得提供来历不明、不能提供相应产品标签的散装物品。</w:t>
      </w:r>
    </w:p>
    <w:p w14:paraId="24ECED1D">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12）当天送达货物，在检查过程中发现存在变质腐败、油脂酸败、霉变、生虫、污秽不洁、混有异物或者其他感官性状异常、含有毒有害物质或者被有毒有害物质污染，可能对人体健康有害的物品，供应商必须在当天及时更换货物，如有造成的损失由供应商承担。</w:t>
      </w:r>
    </w:p>
    <w:p w14:paraId="54EBA66C">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（13）供应商提供的货物必须达到国家规定的卫生安全标准，抽查发现供应商提供的报告与本批次物资不符时，采购人按本批物资量合同价值的3 倍给予处罚。</w:t>
      </w:r>
    </w:p>
    <w:p w14:paraId="7EDF972F">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（14）货物在送达采购人指定地点时保质期剩余时间应在三分之二以上。</w:t>
      </w:r>
    </w:p>
    <w:p w14:paraId="2D546215">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（15）如因供应商提供的货物，因质量等问题而使采购人人员发生食物中毒事件的，供应商将承担相应的法律责任。</w:t>
      </w:r>
    </w:p>
    <w:p w14:paraId="527BDB30">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（16）因投诉而送检的货物经检验不合格的，所产生的所有费用（检验费、赔偿金、罚款等费用）由供应商承担。</w:t>
      </w:r>
    </w:p>
    <w:p w14:paraId="1E830F71">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（17）质量标准按照最新颁布的国家标准、行业标准或制造商企业标准确定，上述标准不一致的，以严格标准为准。</w:t>
      </w:r>
    </w:p>
    <w:p w14:paraId="3181BEE1">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（18）乙方所提供货物还应符合国家和陕西省有关安全、环保规定。</w:t>
      </w:r>
    </w:p>
    <w:p w14:paraId="69509245">
      <w:pPr>
        <w:pStyle w:val="9"/>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（三）包装要求与运输方式运输要求</w:t>
      </w:r>
    </w:p>
    <w:p w14:paraId="20A288B6">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1.除合同另有规定外，乙方提供的全部货物(产品)均应按标准保护措施进行包装，该包装应适应于远距离运输、防潮、防震防锈和防野蛮装卸，以确保货物(产品)安全运抵指定地点。</w:t>
      </w:r>
    </w:p>
    <w:p w14:paraId="70F366B8">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2.每一包装单元应附详细的装箱单和质量合格证。</w:t>
      </w:r>
    </w:p>
    <w:p w14:paraId="5D05AA8E">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用于配送食品的车辆要有合法手续，配送货物途中发生一切事故由乙方全权承担。固定专人配送，配送车辆人员要有明显标识。需要保鲜运输的，乙方必须使用厢式食品专用冷藏车辆运输，不得敞露运输，严禁将肉类(水产品)、水果和蔬菜拼箱混装。每次配送到校，需认真做好交接手续。</w:t>
      </w:r>
    </w:p>
    <w:p w14:paraId="0D8981D3">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运输车辆应当保持清洁，无霉斑、鼠迹、苍蝇、蟑螂，不得存放有毒、有害物品及个人生活用品。周转包装容器和车辆在每次配送前应进行清洗消毒。保证周转包装容器和运输车辆的清洁卫生和防止食品在运输过程中受到污染。</w:t>
      </w:r>
    </w:p>
    <w:p w14:paraId="436E394D">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5.配送要求:</w:t>
      </w:r>
    </w:p>
    <w:p w14:paraId="518A3F63">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蔬菜水果类每日配送，当日配送种类与数量以采购人书面（电话或微信信息）采购单为准，采购人根据需求开出采购的品种及数量，供应方须在前一天早上7点配送至采购人指定地点。如遇采购人出现突发状况时，供应商必须在第一时间内将货物配送到位。</w:t>
      </w:r>
    </w:p>
    <w:p w14:paraId="478E83F1">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（2）将货物按要求保质保量送到采购人指定地点，并提供本批次货物的货物清单（含货物种类、数量、价格等）、水果农残检测报告等资料。</w:t>
      </w:r>
    </w:p>
    <w:p w14:paraId="01432A26">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（3）提供的货物若出现不合格产品或在运输途中出现破损的，应在接到采购人通知后及时响应并进行处理。未能及时送货的，因延误送货对采购人造成的一切损失由供应商承担和赔偿。</w:t>
      </w:r>
    </w:p>
    <w:p w14:paraId="78464CE5">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（4）必须将所报项目的服务人员在采购人相关科室备案，保证采购人在有供货需求时能顺利联系到服务人员。</w:t>
      </w:r>
    </w:p>
    <w:p w14:paraId="5F17EBBF">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（5）提供的货物必须是通过正规渠道采购，若发现供应商提供的产品属于假货，采购人有权进行处罚并终止合同。</w:t>
      </w:r>
    </w:p>
    <w:p w14:paraId="458322EB">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（6）应急性配送：接到采购人临时性的采购订单通知后，应在2小时内送达指定区域。</w:t>
      </w:r>
    </w:p>
    <w:p w14:paraId="7219C847">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配送费用：送货过程中产生的所有费用由供应商承担。</w:t>
      </w:r>
    </w:p>
    <w:p w14:paraId="5D6623EB">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（7）配送人员：配送工作人员需持本人有效的健康证上岗，并向学校提供配送人员健康证复印件；身体健康，无犯罪记录。</w:t>
      </w:r>
    </w:p>
    <w:p w14:paraId="76C8EE8D">
      <w:pPr>
        <w:pStyle w:val="9"/>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（四）货物验收</w:t>
      </w:r>
    </w:p>
    <w:p w14:paraId="6DEF8FED">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1.甲方负责做好食品的接收、储藏、发放等相关手续。接收食品时，校方要做好每批次货物的检查，确认食品标识码、生产日期、保质期、核对配送数量，各项合格后校方在接货单上签名盖章。</w:t>
      </w:r>
    </w:p>
    <w:p w14:paraId="0EB40595">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2.甲方有权利对乙方供应产品按次随机抽查，抽查时乙方人员随同进行，甲方负责监督查验乙方的资质及检查乙方配送食品的质量标准。</w:t>
      </w:r>
    </w:p>
    <w:p w14:paraId="1B940FC6">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3.货物验收依据：</w:t>
      </w:r>
    </w:p>
    <w:p w14:paraId="36F59C6F">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（1）招标文件；</w:t>
      </w:r>
    </w:p>
    <w:p w14:paraId="337854FC">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（2）投标文件；</w:t>
      </w:r>
    </w:p>
    <w:p w14:paraId="7A096596">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（3）采购合同及补充协议；</w:t>
      </w:r>
    </w:p>
    <w:p w14:paraId="54122A42">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（4）质检部门抽样检查货物（产品）合格的检测报告。</w:t>
      </w:r>
    </w:p>
    <w:p w14:paraId="589B4354">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4.货物验收时发现问题的处理办法：</w:t>
      </w:r>
    </w:p>
    <w:p w14:paraId="437F4D6D">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（1）乙方提供不符合招标文件和本合同规定的货物（产品），甲方有权拒绝接受；</w:t>
      </w:r>
    </w:p>
    <w:p w14:paraId="0DF7C0A0">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（2）如发现所交付的货物有短装、次品、损坏或其它不符合标准及本合同规定之情形者，甲方有权要求更换货物（产品），乙方无条件第一时间进行更换配送，由此产生相关费用由乙方承担。</w:t>
      </w:r>
    </w:p>
    <w:p w14:paraId="08F53539">
      <w:pPr>
        <w:pStyle w:val="9"/>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（五）售后服务</w:t>
      </w:r>
    </w:p>
    <w:p w14:paraId="062912FA">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1.乙方应按照国家有关法律法规和“三包”规定以及招标文件要求和投标文件的“服务承诺”提供服务。</w:t>
      </w:r>
    </w:p>
    <w:p w14:paraId="26EDB8E2">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紧急情况处理：学生食用后出现头晕、呕吐、腹痛等症状时，应立即送到校医务室或就近医院检查治疗，并立即通知乙方，由双方将食物样品送交校卫生、质检部门进行检验，因产品质量产生的所有责任问题全部由乙方承担。</w:t>
      </w:r>
    </w:p>
    <w:p w14:paraId="52D8647D">
      <w:pPr>
        <w:pStyle w:val="9"/>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3.产品坏包处理：甲方所辖学校若发现产品出现胀包、破损、变质等问题应立即制止学生食用，并及时通知乙方对产品进行退换，乙方要无条件一比一退换。</w:t>
      </w:r>
    </w:p>
    <w:p w14:paraId="2D912720">
      <w:pPr>
        <w:keepNext w:val="0"/>
        <w:keepLines w:val="0"/>
        <w:pageBreakBefore w:val="0"/>
        <w:kinsoku/>
        <w:wordWrap/>
        <w:overflowPunct/>
        <w:topLinePunct w:val="0"/>
        <w:bidi w:val="0"/>
        <w:spacing w:beforeAutospacing="0" w:afterAutospacing="0" w:line="360" w:lineRule="auto"/>
        <w:ind w:left="0" w:right="0"/>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eastAsia="zh-CN"/>
        </w:rPr>
        <w:t>三</w:t>
      </w:r>
      <w:r>
        <w:rPr>
          <w:rFonts w:hint="eastAsia" w:ascii="宋体" w:hAnsi="宋体" w:eastAsia="宋体" w:cs="宋体"/>
          <w:b/>
          <w:color w:val="auto"/>
          <w:spacing w:val="0"/>
          <w:sz w:val="24"/>
          <w:szCs w:val="24"/>
          <w:highlight w:val="none"/>
          <w:u w:val="none"/>
        </w:rPr>
        <w:t>、商务要求</w:t>
      </w:r>
    </w:p>
    <w:p w14:paraId="4BDC3BF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一</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送货地点：蓝田县滋水小学</w:t>
      </w:r>
    </w:p>
    <w:p w14:paraId="181CD6F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（二）供货期：</w:t>
      </w:r>
      <w:r>
        <w:rPr>
          <w:rFonts w:hint="eastAsia" w:ascii="宋体" w:hAnsi="宋体" w:eastAsia="宋体" w:cs="宋体"/>
          <w:sz w:val="24"/>
          <w:szCs w:val="24"/>
          <w:lang w:val="en-US" w:eastAsia="zh-CN"/>
        </w:rPr>
        <w:t>2026年9月1日至2027年7月5日</w:t>
      </w:r>
      <w:r>
        <w:rPr>
          <w:rFonts w:hint="eastAsia" w:ascii="宋体" w:hAnsi="宋体" w:eastAsia="宋体" w:cs="宋体"/>
          <w:color w:val="auto"/>
          <w:spacing w:val="0"/>
          <w:sz w:val="24"/>
          <w:szCs w:val="24"/>
          <w:highlight w:val="none"/>
          <w:lang w:val="en-US" w:eastAsia="zh-CN"/>
        </w:rPr>
        <w:t>，配送时间以采购人通知为准。</w:t>
      </w:r>
    </w:p>
    <w:p w14:paraId="0B398A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三</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付款方式：</w:t>
      </w:r>
      <w:r>
        <w:rPr>
          <w:rFonts w:hint="eastAsia" w:ascii="宋体" w:hAnsi="宋体" w:eastAsia="宋体" w:cs="宋体"/>
          <w:spacing w:val="0"/>
          <w:sz w:val="24"/>
          <w:szCs w:val="24"/>
          <w:highlight w:val="none"/>
          <w:lang w:val="en-US" w:eastAsia="zh-CN"/>
        </w:rPr>
        <w:t>根据实际采购量据实结算。每周学校及供应商共同市场询价，依据询价单及报价折扣率确定采购单价。每月供应商将发票递交至学校财务室后据实结算。</w:t>
      </w:r>
    </w:p>
    <w:p w14:paraId="53EECDD2">
      <w:pPr>
        <w:spacing w:line="360" w:lineRule="auto"/>
        <w:ind w:firstLine="480"/>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779FA"/>
    <w:rsid w:val="25063EE8"/>
    <w:rsid w:val="362844E8"/>
    <w:rsid w:val="6B1E31B4"/>
    <w:rsid w:val="73E90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tabs>
        <w:tab w:val="left" w:pos="1134"/>
      </w:tabs>
      <w:spacing w:line="360" w:lineRule="auto"/>
      <w:ind w:left="0"/>
      <w:outlineLvl w:val="0"/>
    </w:pPr>
    <w:rPr>
      <w:rFonts w:ascii="宋体" w:hAnsi="宋体" w:eastAsia="宋体" w:cs="Times New Roman"/>
      <w:b/>
      <w:bCs/>
      <w:sz w:val="44"/>
      <w:szCs w:val="28"/>
      <w:lang w:eastAsia="en-US"/>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14"/>
      <w:szCs w:val="14"/>
      <w:lang w:val="en-US" w:eastAsia="en-US" w:bidi="ar-SA"/>
    </w:rPr>
  </w:style>
  <w:style w:type="table" w:styleId="5">
    <w:name w:val="Table Grid"/>
    <w:basedOn w:val="4"/>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7">
    <w:name w:val="Table Text"/>
    <w:basedOn w:val="1"/>
    <w:semiHidden/>
    <w:qFormat/>
    <w:uiPriority w:val="0"/>
    <w:rPr>
      <w:rFonts w:ascii="宋体" w:hAnsi="宋体" w:eastAsia="宋体" w:cs="宋体"/>
      <w:sz w:val="20"/>
      <w:szCs w:val="20"/>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3321</Words>
  <Characters>3426</Characters>
  <Lines>0</Lines>
  <Paragraphs>0</Paragraphs>
  <TotalTime>28</TotalTime>
  <ScaleCrop>false</ScaleCrop>
  <LinksUpToDate>false</LinksUpToDate>
  <CharactersWithSpaces>3428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2026-05-06T08:21:00Z</dcterms:created>
  <dc:creator>MyPC</dc:creator>
  <cp:lastModifiedBy>Administrator</cp:lastModifiedBy>
  <dcterms:modified xsi:type="dcterms:W3CDTF">2026-05-26T09:32:26Z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eyJoZGlkIjoiMzIyY2ZlMTg4ZGY0MDcxYjM1OTAzZTczOTEzNDRkZTUiLCJ1c2VySWQiOiIyNzA2MDkxMDAifQ==</vt:lpwstr>
  </property>
  <property fmtid="{D5CDD505-2E9C-101B-9397-08002B2CF9AE}" pid="4" name="ICV">
    <vt:lpwstr>5B76139093924A4CB47918D4F082A2EB_13</vt:lpwstr>
  </property>
</Properties>
</file>