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版本号：HSZ2026—CGZB—02320260714001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富平县2026年防灾减灾农作物病虫害防控项目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HSZ2026—CGZB—023</w:t>
      </w:r>
      <w:r>
        <w:br/>
      </w:r>
      <w:r>
        <w:br/>
      </w:r>
      <w:r>
        <w:br/>
      </w:r>
    </w:p>
    <w:p>
      <w:pPr>
        <w:pStyle w:val="null3"/>
        <w:jc w:val="center"/>
        <w:outlineLvl w:val="2"/>
      </w:pPr>
      <w:r>
        <w:rPr>
          <w:rFonts w:ascii="仿宋_GB2312" w:hAnsi="仿宋_GB2312" w:cs="仿宋_GB2312" w:eastAsia="仿宋_GB2312"/>
          <w:sz w:val="28"/>
          <w:b/>
        </w:rPr>
        <w:t>富平县农业技术推广中心</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富平县农业技术推广中心</w:t>
      </w:r>
      <w:r>
        <w:rPr>
          <w:rFonts w:ascii="仿宋_GB2312" w:hAnsi="仿宋_GB2312" w:cs="仿宋_GB2312" w:eastAsia="仿宋_GB2312"/>
        </w:rPr>
        <w:t>委托，拟对</w:t>
      </w:r>
      <w:r>
        <w:rPr>
          <w:rFonts w:ascii="仿宋_GB2312" w:hAnsi="仿宋_GB2312" w:cs="仿宋_GB2312" w:eastAsia="仿宋_GB2312"/>
        </w:rPr>
        <w:t>富平县2026年防灾减灾农作物病虫害防控项目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富平县2026年防灾减灾农作物病虫害防控项目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采购杀虫剂、杀菌剂、叶面肥及飞防作业。</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采购包1（杀虫剂、杀菌剂、叶面肥等）：属于专门面向中小企业采购。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4、缴纳税收的要求：提供依法缴纳税收的良好记录（提供投标文件递交截止时间前六个月内任意一个月份的缴纳凭据复印件或扫描件。依法免税或开标前一年内零申报的投标人应提供相关证明文件）；</w:t>
      </w:r>
    </w:p>
    <w:p>
      <w:pPr>
        <w:pStyle w:val="null3"/>
      </w:pPr>
      <w:r>
        <w:rPr>
          <w:rFonts w:ascii="仿宋_GB2312" w:hAnsi="仿宋_GB2312" w:cs="仿宋_GB2312" w:eastAsia="仿宋_GB2312"/>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8、投标保证金要求：提供投标保证金银行转账凭证及基本存款账户信息证明资料或金融机构、担保机构出具的保函复印件或扫描件；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11、面向中小企业采购政策落实情况：本项目专门面向中小企业采购，投标人须提供《中小企业声明函》；</w:t>
      </w:r>
    </w:p>
    <w:p>
      <w:pPr>
        <w:pStyle w:val="null3"/>
      </w:pPr>
      <w:r>
        <w:rPr>
          <w:rFonts w:ascii="仿宋_GB2312" w:hAnsi="仿宋_GB2312" w:cs="仿宋_GB2312" w:eastAsia="仿宋_GB2312"/>
        </w:rPr>
        <w:t>12、投标人特定资格要求：①投标人为制造商须具备药品三证（农药登记证、农药生产许可证、产品标准证）；投标人为代理商须提供农药经营许可证及药品三证（农药登记证、农药生产许可证、产品标准证）复印件加盖制造商单位公章；②投标人为制造商的须提供农业部门批准核发肥料登记证或农业农村部肥料备案信息系统备案截图或省级农业农村部门肥料备案信息系统备案截图；投标人为代理商须提供制造商农业部门批准核发肥料登记证复印件或农业农村部肥料备案信息系统备案截图或省级农业农村部门肥料备案信息系统备案截图加盖制造商单位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王高荣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0913-8203048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采购包1：496,800.00元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招标代理服务收费管理暂行办法》的通知（计价格〔2002〕1980号）计算，按照《国家发展改革委办公厅关于招标代理服务收费有关问题的通知》（发改办价格〔2003〕857号）规定向中标人收取。 若本次招标失败（非代理机构原因），代理服务费由采购人支付。具体金额以代理公司开具的税票为准，中标人在领取中标（成交）通知书时向采购代理机构一次性支付；费用以转账、电汇或现金等形式缴纳。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富平县农业技术推广中心</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联系人：王丽萍</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采购杀虫剂、杀菌剂、叶面肥及飞防作业</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496,800.00</w:t>
      </w:r>
    </w:p>
    <w:p>
      <w:pPr>
        <w:pStyle w:val="null3"/>
      </w:pPr>
      <w:r>
        <w:rPr>
          <w:rFonts w:ascii="仿宋_GB2312" w:hAnsi="仿宋_GB2312" w:cs="仿宋_GB2312" w:eastAsia="仿宋_GB2312"/>
        </w:rPr>
        <w:t>采购包最高限价（元）: 496,800.00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杀虫剂、杀菌剂、叶面肥及飞防作业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496,800.00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标的名称：杀虫剂、杀菌剂、叶面肥及飞防作业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3"/>
              <w:gridCol w:w="270"/>
              <w:gridCol w:w="464"/>
              <w:gridCol w:w="1616"/>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杀虫剂</w:t>
                  </w:r>
                </w:p>
                <w:p>
                  <w:pPr>
                    <w:pStyle w:val="null3"/>
                    <w:jc w:val="center"/>
                  </w:pPr>
                  <w:r>
                    <w:rPr>
                      <w:rFonts w:ascii="仿宋_GB2312" w:hAnsi="仿宋_GB2312" w:cs="仿宋_GB2312" w:eastAsia="仿宋_GB2312"/>
                      <w:sz w:val="21"/>
                    </w:rPr>
                    <w:t>（核心产品）</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按农业部登记药剂的推荐剂量，计</w:t>
                  </w:r>
                  <w:r>
                    <w:rPr>
                      <w:rFonts w:ascii="仿宋_GB2312" w:hAnsi="仿宋_GB2312" w:cs="仿宋_GB2312" w:eastAsia="仿宋_GB2312"/>
                      <w:sz w:val="21"/>
                    </w:rPr>
                    <w:t>3</w:t>
                  </w:r>
                  <w:r>
                    <w:rPr>
                      <w:rFonts w:ascii="仿宋_GB2312" w:hAnsi="仿宋_GB2312" w:cs="仿宋_GB2312" w:eastAsia="仿宋_GB2312"/>
                      <w:sz w:val="21"/>
                    </w:rPr>
                    <w:t>万亩。</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在作物上应用安全，防治粘虫、玉米螟、棉铃虫等害虫的复配制剂、总有效成分</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杀菌剂</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按农业部登记药剂的推荐剂量，计</w:t>
                  </w:r>
                  <w:r>
                    <w:rPr>
                      <w:rFonts w:ascii="仿宋_GB2312" w:hAnsi="仿宋_GB2312" w:cs="仿宋_GB2312" w:eastAsia="仿宋_GB2312"/>
                      <w:sz w:val="21"/>
                    </w:rPr>
                    <w:t>3</w:t>
                  </w:r>
                  <w:r>
                    <w:rPr>
                      <w:rFonts w:ascii="仿宋_GB2312" w:hAnsi="仿宋_GB2312" w:cs="仿宋_GB2312" w:eastAsia="仿宋_GB2312"/>
                      <w:sz w:val="21"/>
                    </w:rPr>
                    <w:t>万亩。</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在作物上应用安全，防治玉米大、小斑病等病害的单剂或复配制剂，总有效成分</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叶面肥</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100g/亩，计3万亩。</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在作物上应用的大量元素水溶性叶面肥，氮磷钾总含量</w:t>
                  </w:r>
                  <w:r>
                    <w:rPr>
                      <w:rFonts w:ascii="仿宋_GB2312" w:hAnsi="仿宋_GB2312" w:cs="仿宋_GB2312" w:eastAsia="仿宋_GB2312"/>
                      <w:sz w:val="21"/>
                    </w:rPr>
                    <w:t>≥</w:t>
                  </w:r>
                  <w:r>
                    <w:rPr>
                      <w:rFonts w:ascii="仿宋_GB2312" w:hAnsi="仿宋_GB2312" w:cs="仿宋_GB2312" w:eastAsia="仿宋_GB2312"/>
                      <w:sz w:val="21"/>
                    </w:rPr>
                    <w:t>400g/L</w:t>
                  </w:r>
                  <w:r>
                    <w:rPr>
                      <w:rFonts w:ascii="仿宋_GB2312" w:hAnsi="仿宋_GB2312" w:cs="仿宋_GB2312" w:eastAsia="仿宋_GB2312"/>
                      <w:sz w:val="21"/>
                    </w:rPr>
                    <w:t>；磷酸二氢钾有效成分≥</w:t>
                  </w:r>
                  <w:r>
                    <w:rPr>
                      <w:rFonts w:ascii="仿宋_GB2312" w:hAnsi="仿宋_GB2312" w:cs="仿宋_GB2312" w:eastAsia="仿宋_GB2312"/>
                      <w:sz w:val="21"/>
                    </w:rPr>
                    <w:t>98%</w:t>
                  </w:r>
                  <w:r>
                    <w:rPr>
                      <w:rFonts w:ascii="仿宋_GB2312" w:hAnsi="仿宋_GB2312" w:cs="仿宋_GB2312" w:eastAsia="仿宋_GB2312"/>
                      <w:sz w:val="21"/>
                    </w:rPr>
                    <w:t>。</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飞防作业</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万亩</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项目区统防覆盖率</w:t>
                  </w:r>
                  <w:r>
                    <w:rPr>
                      <w:rFonts w:ascii="仿宋_GB2312" w:hAnsi="仿宋_GB2312" w:cs="仿宋_GB2312" w:eastAsia="仿宋_GB2312"/>
                      <w:sz w:val="21"/>
                    </w:rPr>
                    <w:t>100%</w:t>
                  </w:r>
                  <w:r>
                    <w:rPr>
                      <w:rFonts w:ascii="仿宋_GB2312" w:hAnsi="仿宋_GB2312" w:cs="仿宋_GB2312" w:eastAsia="仿宋_GB2312"/>
                      <w:sz w:val="21"/>
                    </w:rPr>
                    <w:t>，总体防效</w:t>
                  </w:r>
                  <w:r>
                    <w:rPr>
                      <w:rFonts w:ascii="仿宋_GB2312" w:hAnsi="仿宋_GB2312" w:cs="仿宋_GB2312" w:eastAsia="仿宋_GB2312"/>
                      <w:sz w:val="21"/>
                    </w:rPr>
                    <w:t>90%</w:t>
                  </w:r>
                  <w:r>
                    <w:rPr>
                      <w:rFonts w:ascii="仿宋_GB2312" w:hAnsi="仿宋_GB2312" w:cs="仿宋_GB2312" w:eastAsia="仿宋_GB2312"/>
                      <w:sz w:val="21"/>
                    </w:rPr>
                    <w:t>以上，危害损失率</w:t>
                  </w:r>
                  <w:r>
                    <w:rPr>
                      <w:rFonts w:ascii="仿宋_GB2312" w:hAnsi="仿宋_GB2312" w:cs="仿宋_GB2312" w:eastAsia="仿宋_GB2312"/>
                      <w:sz w:val="21"/>
                    </w:rPr>
                    <w:t>3%</w:t>
                  </w:r>
                  <w:r>
                    <w:rPr>
                      <w:rFonts w:ascii="仿宋_GB2312" w:hAnsi="仿宋_GB2312" w:cs="仿宋_GB2312" w:eastAsia="仿宋_GB2312"/>
                      <w:sz w:val="21"/>
                    </w:rPr>
                    <w:t>以下。</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合同签订后10日历天，按照采购人要求按时供货。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其他，该项目资金拨付到单位账户后，达到付款条件起30个工作日内，支付合同总金额的100.0%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按招标文件、投标文件、采购合同情况、项目检查情况等综合指标进行验收。各项指标均应符合验收标准及要求。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不少于1年。（供货时剩余保质期不少于包装保质期的三分之二）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时投标人无需提供纸质版投标文件。中标人在领取中标（成交）通知书前将纸质版投标文件打印胶装3份、电子版（U盘）文件3份提交至采购代理机构处，以便采购人进行留存备案等工作，中标人应保持投标文件纸质版内容与电子版内容完全一致，否则将承担一切法律责任。纸质版投标文件一律采用书籍（胶装）方式装订且单面或双面打印。 2、落实政府采购政策需满足的资格要求：（1）《国务院办公厅关于建立政府强制采购节能产品制度的通知》（国办发〔2007〕51号）； （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提供依法缴纳税收的良好记录（提供投标文件递交截止时间前六个月内任意一个月份的缴纳凭据复印件或扫描件。依法免税或开标前一年内零申报的投标人应提供相关证明文件）；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提供依法缴纳社会保障资金的良好记录（提供投标文件递交截止时间前六个月内任意一个月份的缴纳凭据复印件或扫描件。依法不需要缴纳社会保障资金的投标人应提供相关证明文件）；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投标保证金要求</w:t>
            </w:r>
          </w:p>
        </w:tc>
        <w:tc>
          <w:tcPr>
            <w:tcW w:type="dxa" w:w="3322"/>
          </w:tcPr>
          <w:p>
            <w:pPr>
              <w:pStyle w:val="null3"/>
            </w:pPr>
            <w:r>
              <w:rPr>
                <w:rFonts w:ascii="仿宋_GB2312" w:hAnsi="仿宋_GB2312" w:cs="仿宋_GB2312" w:eastAsia="仿宋_GB2312"/>
              </w:rPr>
              <w:t>提供投标保证金银行转账凭证及基本存款账户信息证明资料或金融机构、担保机构出具的保函复印件或扫描件；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中小企业声明函 资格审查资料.docx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投标人特定资格要求</w:t>
            </w:r>
          </w:p>
        </w:tc>
        <w:tc>
          <w:tcPr>
            <w:tcW w:type="dxa" w:w="3322"/>
          </w:tcPr>
          <w:p>
            <w:pPr>
              <w:pStyle w:val="null3"/>
            </w:pPr>
            <w:r>
              <w:rPr>
                <w:rFonts w:ascii="仿宋_GB2312" w:hAnsi="仿宋_GB2312" w:cs="仿宋_GB2312" w:eastAsia="仿宋_GB2312"/>
              </w:rPr>
              <w:t>①投标人为制造商须具备药品三证（农药登记证、农药生产许可证、产品标准证）；投标人为代理商须提供农药经营许可证及药品三证（农药登记证、农药生产许可证、产品标准证）复印件加盖制造商单位公章；②投标人为制造商的须提供农业部门批准核发肥料登记证或农业农村部肥料备案信息系统备案截图或省级农业农村部门肥料备案信息系统备案截图；投标人为代理商须提供制造商农业部门批准核发肥料登记证复印件或农业农村部肥料备案信息系统备案截图或省级农业农村部门肥料备案信息系统备案截图加盖制造商单位公章。</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投标函 残疾人福利性单位声明函 技术响应偏离表.docx 标的清单 投标文件封面 资格审查资料.docx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1、报价唯一，且不能高于最高限价； 2、投标人的报价明显低于其他通过符合性审查投标人的报价时，按照财政部87号令第六十条的相关规定进行处理。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投标文件的签署、加盖印章合格、有效</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投标函 残疾人福利性单位声明函 技术响应偏离表.docx 标的清单 投标文件封面 资格审查资料.docx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 xml:space="preserve"> 符合或优于招标文件要求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其他招标文件或法律法规明确规定投标无效的事项</w:t>
            </w:r>
          </w:p>
        </w:tc>
        <w:tc>
          <w:tcPr>
            <w:tcW w:type="dxa" w:w="3322"/>
          </w:tcPr>
          <w:p>
            <w:pPr>
              <w:pStyle w:val="null3"/>
            </w:pPr>
            <w:r>
              <w:rPr>
                <w:rFonts w:ascii="仿宋_GB2312" w:hAnsi="仿宋_GB2312" w:cs="仿宋_GB2312" w:eastAsia="仿宋_GB2312"/>
              </w:rPr>
              <w:t>无其他招标文件或法律法规明确规定投标无效的事项</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投标函 残疾人福利性单位声明函 技术响应偏离表.docx 标的清单 投标文件封面 资格审查资料.docx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1、对照招标文件，对技术参数和要求等内容做出的实质性响应，按其响应程度计分，产品品牌、规格、型号描述详细，性能全部满足招标文件得基本分（20分）。 2、加分项（3分）：在基本分的基础上，响应产品技术参数经评标委员会认定确实优于招标文件规定的参数要求，并且对项目实施和应用有实质性提升的（提供证明材料），根据其响应程度进行相应加分，每正偏离一项加1分，最多加3分。未提供证明材料的不予加分。 注：若证明材料低于招标文件规定的相应参数时视为负偏离。</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根据项目需求编制实施方案：包含①供货、配送方案；②进度计划措施；③验收组织措施；④产品调换方案及应急预案；⑤台账建立和影像资料的留存方案；⑥病虫害防治措施及病虫害效益评估与风险控制措施。以上资料每提供一项得1.5分，最高得9分。 2、根据评审标准对投标人实施方案进行评审,每一条不符合本项目特点和实际需求,存在缺陷或实用性不强的扣0.5分，扣完为止。 3、评审标准： ①完整性：方案须全面，对评审内容中的各项要求有详细描述；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投标人根据本项目实际需求提供所投产品的的合法来源渠道证明文件(包括：1、彩页或说明书；2、出厂检验报告或第三方检测报告；3、投标人为生产商的提供自主生产的证明资料，投标人为代理商的提供产品制造商授权或销售协议或代理协议)，每个产品提供以上资料齐全的，得2分，最高得6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1、根据项目需求内容制定整体质量保证措施：包含①质量管理措施；②质量管理制度；③产品的质量保证方案及承诺；④飞防效果验收措施。以上资料每提供一项得1.5分，最高得6分。 2、根据评审标准对投标人整体质量保证措施进行评审，每一条不符合本项目特点和实际需求，存在缺陷或实用性不强的扣0.5分，扣完为止。 3、评审标准： ①完整性：方案须全面，对评审内容中的各项要求有详细描述； ②可实施性：切合本项目实际情况，实施步清晰、合理；③针对性：方案能够紧扣项目实际情况，内容科学合理。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项目需求提供专业的服务人员，每提供一名农业方面专业技术人员得1分，最多得5分；证明材料：①人员专业技术能力证明资料及身份证复印件或扫描件；②近6个月内任意一个月的社保缴纳证明或签订的劳动合同协议；材料不全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车辆、设备配置</w:t>
            </w:r>
          </w:p>
        </w:tc>
        <w:tc>
          <w:tcPr>
            <w:tcW w:type="dxa" w:w="2492"/>
          </w:tcPr>
          <w:p>
            <w:pPr>
              <w:pStyle w:val="null3"/>
            </w:pPr>
            <w:r>
              <w:rPr>
                <w:rFonts w:ascii="仿宋_GB2312" w:hAnsi="仿宋_GB2312" w:cs="仿宋_GB2312" w:eastAsia="仿宋_GB2312"/>
              </w:rPr>
              <w:t>根据项目需求配置专业运输车辆3辆、开展航化作业的无人机设备3台，每配置一辆得0.5分，最多得3分。证明材料:①运输车辆提供实景照片及有效车辆行驶证；②无人机提供购机发票或租赁合同、设备清单须注明型号、药箱容量、续航时间等关键参数；材料不全不予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采购需求提供售后服务方案：包含①售后服务方案、售后服务保障措施；②健全的售后服务机构、配备专职售后人员及售后服务承诺；③技术咨询及指导方案。以上资料每提供一项得1.5分，最高得4.5分。 1、根据评审标准对投标人培训方案及售后服务方案进行评审，每一条不符合本项目特点和实际需求，存在缺陷或实用性不强的扣0.5分，扣完为止。 2、评审标准： ①完整性：方案须全面，对评审内容中的各项要求有详细描述；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投标文件对交货时间、质量保修范围和保修期、支付约定等商务要求完全响应的计1.5分； 交货时间、质量保修范围和保修期每有一项优于招标文件加1分，最高加2分。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提供2023年6月1日至今类似项目的合同或中标（成交）通知书（以所提供资料的落款时间为准），每提供一份业绩计2分，最高10分。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1、经资格审查及符合性评审合格的投标文件，其投标报价有效； 2、投标报价得分=(评标基准价／投标报价)×30%×100； 3、评标基准价=各投标人报价中的最低价。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