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版本号：SXZHZB2026-ZC056-CS20260810001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西安高新区GX3-7-2号宗地土地整理项目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SXZHZB2026-ZC056-CS</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西安高新区GX3-7-2号宗地土地整理项目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SXZHZB2026-ZC056-CS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西安高新区GX3-7-2号宗地土地整理项目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西安高新区GX3-7-2号宗位于出口加工区B区，土地面积25.514亩。经高新区竣策勘测有限公司测量，其中：地面破除量2831.7平方米，土方内倒量25514.1立方米，垃圾清运量10205.6立方米。围墙筑砌517米。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采购包1（西安高新区GX3-7-2号宗地土地整理项目）：属于专门面向中小企业采购。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委托书/法定代表人（负责人）身份证明：法定代表人授权书（附法定代表人、被授权人有效期内的身份证正反面复印件）（法定代表人直接参加投标，须提供法定代表人有效期内的身份证正反面复印件）；</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3、资格证书：供应商须同时具备建设行政主管部门颁发的建筑工程施工总承包三级及以上资质，且具备合格有效的安全生产许可证；</w:t>
      </w:r>
    </w:p>
    <w:p>
      <w:pPr>
        <w:pStyle w:val="null3"/>
      </w:pPr>
      <w:r>
        <w:rPr>
          <w:rFonts w:ascii="仿宋_GB2312" w:hAnsi="仿宋_GB2312" w:cs="仿宋_GB2312" w:eastAsia="仿宋_GB2312"/>
        </w:rPr>
        <w:t>4、拟派项目经理资质和专业要求：拟派项目经理具备房屋建筑工程专业注册建造师二级及以上执业资格及其本人具有有效的安全生产考核合格证（建安B证），在本单位注册且无在建工程；</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029-81155732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采购包1：2,037,295.43元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3、成交单位的代理服务费交纳信息 开户名称：陕西纵横项目管理有限公司 开户银行：浙商银行股份有限公司西安未央路支行 账 号：7910000610120100029478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一、成交供应商符合国家现行有关施工质量验收规范“合格”要求 。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2,037,295.43</w:t>
      </w:r>
    </w:p>
    <w:p>
      <w:pPr>
        <w:pStyle w:val="null3"/>
      </w:pPr>
      <w:r>
        <w:rPr>
          <w:rFonts w:ascii="仿宋_GB2312" w:hAnsi="仿宋_GB2312" w:cs="仿宋_GB2312" w:eastAsia="仿宋_GB2312"/>
        </w:rPr>
        <w:t>采购包最高限价（元）: 2,037,295.43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西安高新区GX3-7-2号宗地土地整理项目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2,037,295.43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标的名称：西安高新区GX3-7-2号宗地土地整理项目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一）工程内容：西安高新区GX3-7-2号宗地位于出口加工区B区，土地面积25.514亩。经高新区竣策勘测有限公司测量，其中：地面破除量2831.7平方米，土方内倒量25514.1立方米，垃圾清运量10205.6立方米。围墙筑砌517米。</w:t>
            </w:r>
          </w:p>
          <w:p>
            <w:pPr>
              <w:pStyle w:val="null3"/>
            </w:pPr>
            <w:r>
              <w:rPr>
                <w:rFonts w:ascii="仿宋_GB2312" w:hAnsi="仿宋_GB2312" w:cs="仿宋_GB2312" w:eastAsia="仿宋_GB2312"/>
              </w:rPr>
              <w:t>（二）施工范围：完成西安高新区GX3-7-2号宗地土地整理项目招标的所有工作内容，具体以工程量清单及磋商文件规定的所有内容为准。</w:t>
            </w:r>
            <w:r>
              <w:br/>
            </w:r>
            <w:r>
              <w:rPr>
                <w:rFonts w:ascii="仿宋_GB2312" w:hAnsi="仿宋_GB2312" w:cs="仿宋_GB2312" w:eastAsia="仿宋_GB2312"/>
              </w:rPr>
              <w:t xml:space="preserve"> （三）工程地点：西安高新技术产业开发区出口加工区B区</w:t>
            </w:r>
          </w:p>
          <w:p>
            <w:pPr>
              <w:pStyle w:val="null3"/>
            </w:pPr>
            <w:r>
              <w:rPr>
                <w:rFonts w:ascii="仿宋_GB2312" w:hAnsi="仿宋_GB2312" w:cs="仿宋_GB2312" w:eastAsia="仿宋_GB2312"/>
              </w:rPr>
              <w:t>（四）工期：工期暂定60个自然日，具体开工日期以甲方通知进场日期为准。如遇特殊请况需延长工期，双方协商确定。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二、执行法律法规</w:t>
            </w:r>
          </w:p>
          <w:p>
            <w:pPr>
              <w:pStyle w:val="null3"/>
            </w:pPr>
            <w:r>
              <w:rPr>
                <w:rFonts w:ascii="仿宋_GB2312" w:hAnsi="仿宋_GB2312" w:cs="仿宋_GB2312" w:eastAsia="仿宋_GB2312"/>
              </w:rPr>
              <w:t>（一）执行的法律法规、技术规范包括但不限于以下规定、规范、标准：《安全生产法》、《建设工程安全生产管理条例》、《西安市扬尘污染防治条例》、《西安市房屋拆迁管理办法》、《西安市建筑垃圾管理办法》、《西安高新区治污减霾网格化管理工作实施方案》等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三、技术规范</w:t>
            </w:r>
          </w:p>
          <w:p>
            <w:pPr>
              <w:pStyle w:val="null3"/>
            </w:pPr>
            <w:r>
              <w:rPr>
                <w:rFonts w:ascii="仿宋_GB2312" w:hAnsi="仿宋_GB2312" w:cs="仿宋_GB2312" w:eastAsia="仿宋_GB2312"/>
              </w:rPr>
              <w:t>（一）拆除清运标准为从硬化地面开始下挖大于等于0.6米直见黄土，并完成场地平整。</w:t>
            </w:r>
          </w:p>
          <w:p>
            <w:pPr>
              <w:pStyle w:val="null3"/>
            </w:pPr>
            <w:r>
              <w:rPr>
                <w:rFonts w:ascii="仿宋_GB2312" w:hAnsi="仿宋_GB2312" w:cs="仿宋_GB2312" w:eastAsia="仿宋_GB2312"/>
              </w:rPr>
              <w:t>（二）配合文勘工作开展土方开挖及内倒工程，开挖深度暂定为1.5米，最终以文勘工作实际需要据实结算土方内倒工作量。</w:t>
            </w:r>
          </w:p>
          <w:p>
            <w:pPr>
              <w:pStyle w:val="null3"/>
            </w:pPr>
            <w:r>
              <w:rPr>
                <w:rFonts w:ascii="仿宋_GB2312" w:hAnsi="仿宋_GB2312" w:cs="仿宋_GB2312" w:eastAsia="仿宋_GB2312"/>
              </w:rPr>
              <w:t>（三）围墙采用水泥预制材料，高度2.2米，单面双色涂料粉刷。</w:t>
            </w:r>
          </w:p>
          <w:p>
            <w:pPr>
              <w:pStyle w:val="null3"/>
            </w:pPr>
            <w:r>
              <w:rPr>
                <w:rFonts w:ascii="仿宋_GB2312" w:hAnsi="仿宋_GB2312" w:cs="仿宋_GB2312" w:eastAsia="仿宋_GB2312"/>
              </w:rPr>
              <w:t>（四）拆除地上建筑物、构筑物及附属物，以及破除室内地坪、硬化道路产生的全部建筑垃圾，严格按照城市管理部门指定的运输路线和倾倒场地清运，不得冒尖装载、不得沿路抛洒。</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四、施工要求及质量验收</w:t>
            </w:r>
          </w:p>
          <w:p>
            <w:pPr>
              <w:pStyle w:val="null3"/>
            </w:pPr>
            <w:r>
              <w:rPr>
                <w:rFonts w:ascii="仿宋_GB2312" w:hAnsi="仿宋_GB2312" w:cs="仿宋_GB2312" w:eastAsia="仿宋_GB2312"/>
              </w:rPr>
              <w:t>（一）供应商必须配备足够的人员和充足的设备进入实施，确保按时保质保量完成任务。</w:t>
            </w:r>
          </w:p>
          <w:p>
            <w:pPr>
              <w:pStyle w:val="null3"/>
            </w:pPr>
            <w:r>
              <w:rPr>
                <w:rFonts w:ascii="仿宋_GB2312" w:hAnsi="仿宋_GB2312" w:cs="仿宋_GB2312" w:eastAsia="仿宋_GB2312"/>
              </w:rPr>
              <w:t>（二）必须严密组织，文明施工，做好四周维护及安全环保措施，所需费用由供应商承担，施工过程必须严格遵守政府相关规定。</w:t>
            </w:r>
          </w:p>
          <w:p>
            <w:pPr>
              <w:pStyle w:val="null3"/>
            </w:pPr>
            <w:r>
              <w:rPr>
                <w:rFonts w:ascii="仿宋_GB2312" w:hAnsi="仿宋_GB2312" w:cs="仿宋_GB2312" w:eastAsia="仿宋_GB2312"/>
              </w:rPr>
              <w:t>（三）严格遵守西安市关于控制扬尘污染、治污减霾的相关规定，并承担一切安全事故或违规处罚所带来的经济及法律责任。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（四）供应商负责现场安全管理工作，并承担全部责任及由此产生的全部费用，现场人员由供应商按照相关规定办理相关保险事宜。</w:t>
            </w:r>
          </w:p>
          <w:p>
            <w:pPr>
              <w:pStyle w:val="null3"/>
            </w:pPr>
            <w:r>
              <w:rPr>
                <w:rFonts w:ascii="仿宋_GB2312" w:hAnsi="仿宋_GB2312" w:cs="仿宋_GB2312" w:eastAsia="仿宋_GB2312"/>
              </w:rPr>
              <w:t>（五）在施工期间，注意行人安全，加强安全措施，并对施工人员进行安全教育。施工人员必须持证上岗。因采购人工作的特殊性，中标供应商在施工中做到必要的封闭性施工及施工公示。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五、安全要求</w:t>
            </w:r>
          </w:p>
          <w:p>
            <w:pPr>
              <w:pStyle w:val="null3"/>
            </w:pPr>
            <w:r>
              <w:rPr>
                <w:rFonts w:ascii="仿宋_GB2312" w:hAnsi="仿宋_GB2312" w:cs="仿宋_GB2312" w:eastAsia="仿宋_GB2312"/>
              </w:rPr>
              <w:t>（一）供应商应制定可靠的施工方案和安全事故应急救援方案，采取有效安全防护措施，确保无安全事故发生。</w:t>
            </w:r>
          </w:p>
          <w:p>
            <w:pPr>
              <w:pStyle w:val="null3"/>
            </w:pPr>
            <w:r>
              <w:rPr>
                <w:rFonts w:ascii="仿宋_GB2312" w:hAnsi="仿宋_GB2312" w:cs="仿宋_GB2312" w:eastAsia="仿宋_GB2312"/>
              </w:rPr>
              <w:t>（二）按规定配备专职安全员。现场项目经理和专职安全员必须持有安全生产考核合格证。各作业班组长和施工作业人员必须经安全技术培训方可上岗。</w:t>
            </w:r>
          </w:p>
          <w:p>
            <w:pPr>
              <w:pStyle w:val="null3"/>
            </w:pPr>
            <w:r>
              <w:rPr>
                <w:rFonts w:ascii="仿宋_GB2312" w:hAnsi="仿宋_GB2312" w:cs="仿宋_GB2312" w:eastAsia="仿宋_GB2312"/>
              </w:rPr>
              <w:t>（三）机械施工、运输严格遵守《建筑机械使用安全技术规程》，机械操作、驾驶人员必须持证上岗。</w:t>
            </w:r>
          </w:p>
          <w:p>
            <w:pPr>
              <w:pStyle w:val="null3"/>
            </w:pPr>
            <w:r>
              <w:rPr>
                <w:rFonts w:ascii="仿宋_GB2312" w:hAnsi="仿宋_GB2312" w:cs="仿宋_GB2312" w:eastAsia="仿宋_GB2312"/>
              </w:rPr>
              <w:t>（四）运输车辆驾驶人员应严格遵守《道路交通安全法》及相关法规，确保安全运输。</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六、工程量清单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项目类别</w:t>
                  </w:r>
                </w:p>
              </w:tc>
              <w:tc>
                <w:tcPr>
                  <w:tcW w:type="dxa" w:w="511"/>
                </w:tcPr>
                <w:p>
                  <w:pPr>
                    <w:pStyle w:val="null3"/>
                  </w:pPr>
                  <w:r>
                    <w:rPr>
                      <w:rFonts w:ascii="仿宋_GB2312" w:hAnsi="仿宋_GB2312" w:cs="仿宋_GB2312" w:eastAsia="仿宋_GB2312"/>
                    </w:rPr>
                    <w:t>暂定工程量</w:t>
                  </w:r>
                </w:p>
              </w:tc>
              <w:tc>
                <w:tcPr>
                  <w:tcW w:type="dxa" w:w="511"/>
                </w:tcPr>
                <w:p>
                  <w:pPr>
                    <w:pStyle w:val="null3"/>
                  </w:pPr>
                  <w:r>
                    <w:rPr>
                      <w:rFonts w:ascii="仿宋_GB2312" w:hAnsi="仿宋_GB2312" w:cs="仿宋_GB2312" w:eastAsia="仿宋_GB2312"/>
                    </w:rPr>
                    <w:t>全费用综合单价最高限价</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新建围墙</w:t>
                  </w:r>
                </w:p>
              </w:tc>
              <w:tc>
                <w:tcPr>
                  <w:tcW w:type="dxa" w:w="511"/>
                </w:tcPr>
                <w:p>
                  <w:pPr>
                    <w:pStyle w:val="null3"/>
                  </w:pPr>
                  <w:r>
                    <w:rPr>
                      <w:rFonts w:ascii="仿宋_GB2312" w:hAnsi="仿宋_GB2312" w:cs="仿宋_GB2312" w:eastAsia="仿宋_GB2312"/>
                    </w:rPr>
                    <w:t>517m</w:t>
                  </w:r>
                </w:p>
              </w:tc>
              <w:tc>
                <w:tcPr>
                  <w:tcW w:type="dxa" w:w="511"/>
                </w:tcPr>
                <w:p>
                  <w:pPr>
                    <w:pStyle w:val="null3"/>
                  </w:pPr>
                  <w:r>
                    <w:rPr>
                      <w:rFonts w:ascii="仿宋_GB2312" w:hAnsi="仿宋_GB2312" w:cs="仿宋_GB2312" w:eastAsia="仿宋_GB2312"/>
                    </w:rPr>
                    <w:t>430.00</w:t>
                  </w:r>
                </w:p>
              </w:tc>
              <w:tc>
                <w:tcPr>
                  <w:tcW w:type="dxa" w:w="511"/>
                </w:tcPr>
                <w:p>
                  <w:pPr>
                    <w:pStyle w:val="null3"/>
                  </w:pPr>
                  <w:r>
                    <w:rPr>
                      <w:rFonts w:ascii="仿宋_GB2312" w:hAnsi="仿宋_GB2312" w:cs="仿宋_GB2312" w:eastAsia="仿宋_GB2312"/>
                    </w:rPr>
                    <w:t>环保预制围墙</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水泥地面破除</w:t>
                  </w:r>
                </w:p>
              </w:tc>
              <w:tc>
                <w:tcPr>
                  <w:tcW w:type="dxa" w:w="511"/>
                </w:tcPr>
                <w:p>
                  <w:pPr>
                    <w:pStyle w:val="null3"/>
                  </w:pPr>
                  <w:r>
                    <w:rPr>
                      <w:rFonts w:ascii="仿宋_GB2312" w:hAnsi="仿宋_GB2312" w:cs="仿宋_GB2312" w:eastAsia="仿宋_GB2312"/>
                    </w:rPr>
                    <w:t>2831.7㎡</w:t>
                  </w:r>
                </w:p>
              </w:tc>
              <w:tc>
                <w:tcPr>
                  <w:tcW w:type="dxa" w:w="511"/>
                </w:tcPr>
                <w:p>
                  <w:pPr>
                    <w:pStyle w:val="null3"/>
                  </w:pPr>
                  <w:r>
                    <w:rPr>
                      <w:rFonts w:ascii="仿宋_GB2312" w:hAnsi="仿宋_GB2312" w:cs="仿宋_GB2312" w:eastAsia="仿宋_GB2312"/>
                    </w:rPr>
                    <w:t>17.00</w:t>
                  </w:r>
                </w:p>
              </w:tc>
              <w:tc>
                <w:tcPr>
                  <w:tcW w:type="dxa" w:w="511"/>
                </w:tcPr>
                <w:p>
                  <w:pPr>
                    <w:pStyle w:val="null3"/>
                  </w:pPr>
                  <w:r>
                    <w:rPr>
                      <w:rFonts w:ascii="仿宋_GB2312" w:hAnsi="仿宋_GB2312" w:cs="仿宋_GB2312" w:eastAsia="仿宋_GB2312"/>
                    </w:rPr>
                    <w:t>下挖深度≥0.6m至黄土裸露</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清运土方</w:t>
                  </w:r>
                </w:p>
              </w:tc>
              <w:tc>
                <w:tcPr>
                  <w:tcW w:type="dxa" w:w="511"/>
                </w:tcPr>
                <w:p>
                  <w:pPr>
                    <w:pStyle w:val="null3"/>
                  </w:pPr>
                  <w:r>
                    <w:rPr>
                      <w:rFonts w:ascii="仿宋_GB2312" w:hAnsi="仿宋_GB2312" w:cs="仿宋_GB2312" w:eastAsia="仿宋_GB2312"/>
                    </w:rPr>
                    <w:t>10205.6m³</w:t>
                  </w:r>
                </w:p>
              </w:tc>
              <w:tc>
                <w:tcPr>
                  <w:tcW w:type="dxa" w:w="511"/>
                </w:tcPr>
                <w:p>
                  <w:pPr>
                    <w:pStyle w:val="null3"/>
                  </w:pPr>
                  <w:r>
                    <w:rPr>
                      <w:rFonts w:ascii="仿宋_GB2312" w:hAnsi="仿宋_GB2312" w:cs="仿宋_GB2312" w:eastAsia="仿宋_GB2312"/>
                    </w:rPr>
                    <w:t>122.30</w:t>
                  </w:r>
                </w:p>
              </w:tc>
              <w:tc>
                <w:tcPr>
                  <w:tcW w:type="dxa" w:w="511"/>
                </w:tcPr>
                <w:p>
                  <w:pPr>
                    <w:pStyle w:val="null3"/>
                  </w:pPr>
                  <w:r>
                    <w:rPr>
                      <w:rFonts w:ascii="仿宋_GB2312" w:hAnsi="仿宋_GB2312" w:cs="仿宋_GB2312" w:eastAsia="仿宋_GB2312"/>
                    </w:rPr>
                    <w:t>清表垃圾(含破除地面垃圾)</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土方挖填及内倒</w:t>
                  </w:r>
                </w:p>
              </w:tc>
              <w:tc>
                <w:tcPr>
                  <w:tcW w:type="dxa" w:w="511"/>
                </w:tcPr>
                <w:p>
                  <w:pPr>
                    <w:pStyle w:val="null3"/>
                  </w:pPr>
                  <w:r>
                    <w:rPr>
                      <w:rFonts w:ascii="仿宋_GB2312" w:hAnsi="仿宋_GB2312" w:cs="仿宋_GB2312" w:eastAsia="仿宋_GB2312"/>
                    </w:rPr>
                    <w:t>25514.1m³</w:t>
                  </w:r>
                </w:p>
              </w:tc>
              <w:tc>
                <w:tcPr>
                  <w:tcW w:type="dxa" w:w="511"/>
                </w:tcPr>
                <w:p>
                  <w:pPr>
                    <w:pStyle w:val="null3"/>
                  </w:pPr>
                  <w:r>
                    <w:rPr>
                      <w:rFonts w:ascii="仿宋_GB2312" w:hAnsi="仿宋_GB2312" w:cs="仿宋_GB2312" w:eastAsia="仿宋_GB2312"/>
                    </w:rPr>
                    <w:t>20.33</w:t>
                  </w:r>
                </w:p>
              </w:tc>
              <w:tc>
                <w:tcPr>
                  <w:tcW w:type="dxa" w:w="511"/>
                </w:tcPr>
                <w:p>
                  <w:pPr>
                    <w:pStyle w:val="null3"/>
                  </w:pPr>
                  <w:r>
                    <w:rPr>
                      <w:rFonts w:ascii="仿宋_GB2312" w:hAnsi="仿宋_GB2312" w:cs="仿宋_GB2312" w:eastAsia="仿宋_GB2312"/>
                    </w:rPr>
                    <w:t>清表后下挖1.5m，进行文堪后回填、场平，内倒按1公里计算</w:t>
                  </w:r>
                </w:p>
              </w:tc>
            </w:tr>
            <w:tr>
              <w:tc>
                <w:tcPr>
                  <w:tcW w:type="dxa" w:w="2555"/>
                  <w:gridSpan w:val="5"/>
                </w:tcPr>
                <w:p>
                  <w:pPr>
                    <w:pStyle w:val="null3"/>
                  </w:pPr>
                  <w:r>
                    <w:rPr>
                      <w:rFonts w:ascii="仿宋_GB2312" w:hAnsi="仿宋_GB2312" w:cs="仿宋_GB2312" w:eastAsia="仿宋_GB2312"/>
                    </w:rPr>
                    <w:t>注：磋商报价超过采购预算、全费用综合单价最高限价超过相应单价最高限价的，按无效投标处理；最终根据实际工程量与成交单价据实结算。</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七、其他要求</w:t>
            </w:r>
          </w:p>
          <w:p>
            <w:pPr>
              <w:pStyle w:val="null3"/>
            </w:pPr>
            <w:r>
              <w:rPr>
                <w:rFonts w:ascii="仿宋_GB2312" w:hAnsi="仿宋_GB2312" w:cs="仿宋_GB2312" w:eastAsia="仿宋_GB2312"/>
              </w:rPr>
              <w:t>（一）施工单位负责协调周边关系。</w:t>
            </w:r>
          </w:p>
          <w:p>
            <w:pPr>
              <w:pStyle w:val="null3"/>
            </w:pPr>
            <w:r>
              <w:rPr>
                <w:rFonts w:ascii="仿宋_GB2312" w:hAnsi="仿宋_GB2312" w:cs="仿宋_GB2312" w:eastAsia="仿宋_GB2312"/>
              </w:rPr>
              <w:t>（二）负责协调垃圾清运过程中的一切问题，包含但不限于清运手续办理。同时具备处理垃圾消纳的能力。</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rPr>
              <w:t>八、支付方式</w:t>
            </w:r>
          </w:p>
          <w:p>
            <w:pPr>
              <w:pStyle w:val="null3"/>
            </w:pPr>
            <w:r>
              <w:rPr>
                <w:rFonts w:ascii="仿宋_GB2312" w:hAnsi="仿宋_GB2312" w:cs="仿宋_GB2312" w:eastAsia="仿宋_GB2312"/>
              </w:rPr>
              <w:t>（一）合同签订后，乙方进场施工30日内，甲方向乙方支付合同总价的30%；</w:t>
            </w:r>
            <w:r>
              <w:br/>
            </w:r>
            <w:r>
              <w:rPr>
                <w:rFonts w:ascii="仿宋_GB2312" w:hAnsi="仿宋_GB2312" w:cs="仿宋_GB2312" w:eastAsia="仿宋_GB2312"/>
              </w:rPr>
              <w:t xml:space="preserve"> （二）工程完工后，经甲方或甲方指派的监理单位验收合格及财政部门完成结算评审后，30日内支付剩余款项。</w:t>
            </w:r>
            <w:r>
              <w:br/>
            </w:r>
            <w:r>
              <w:rPr>
                <w:rFonts w:ascii="仿宋_GB2312" w:hAnsi="仿宋_GB2312" w:cs="仿宋_GB2312" w:eastAsia="仿宋_GB2312"/>
              </w:rPr>
              <w:t xml:space="preserve"> （三）每次付款前，乙方应向甲方提交含税正式发票，否则甲方有权拒绝付款。乙方不得因甲方资金暂时不到位而影响工期。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但不限于人工费、材料费、机械费、工程费、消纳费、管理费、风险费用、利润、税金等其他一切相关费用。供应商所报的价格应考虑到可能发生的所有与完成本项目相关服务及履行合同义务有关的一切费用。任何有选择的报价将不予接受，按无效磋商处理。 2、项目属性：工程 3、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按照西安市财政局关于促进政府采购公平竞争优化营商环境的通知&gt;(市财函(2021)431号)规定:投标人登记免费领取招标文件的，如不参与项目投标，应在递交投标文件截止时间前一日以书面形式告知采购代理机构。否则，采购代理机构可以向财政部门反映情况并提供相应的佐证。投标人一年内累计出现三次该情形，将被监管部门记录为失信行为。 5、本项目是否属于信用担保试点范围：否。 6、若为授权代表参加磋商，响应文件中需提供被授权代表开标前三个月内任意一个月在本单位的社保缴纳证明。 7、供应商提交二次最终报价时，须同步上传最终报价表。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法定代表人（负责人）授权委托书/法定代表人（负责人）身份证明</w:t>
            </w:r>
          </w:p>
        </w:tc>
        <w:tc>
          <w:tcPr>
            <w:tcW w:type="dxa" w:w="3322"/>
          </w:tcPr>
          <w:p>
            <w:pPr>
              <w:pStyle w:val="null3"/>
            </w:pPr>
            <w:r>
              <w:rPr>
                <w:rFonts w:ascii="仿宋_GB2312" w:hAnsi="仿宋_GB2312" w:cs="仿宋_GB2312" w:eastAsia="仿宋_GB2312"/>
              </w:rPr>
              <w:t>法定代表人授权书（附法定代表人、被授权人有效期内的身份证正反面复印件）（法定代表人直接参加投标，须提供法定代表人有效期内的身份证正反面复印件）；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供应商须同时具备建设行政主管部门颁发的建筑工程施工总承包三级及以上资质，且具备合格有效的安全生产许可证；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拟派项目经理具备房屋建筑工程专业注册建造师二级及以上执业资格及其本人具有有效的安全生产考核合格证（建安B证），在本单位注册且无在建工程；</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只能有一个有效报价，不得提交选择性报价，且报价不超过最高限价和相应单价最高限价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施工实施方案</w:t>
            </w:r>
          </w:p>
        </w:tc>
        <w:tc>
          <w:tcPr>
            <w:tcW w:type="dxa" w:w="2492"/>
          </w:tcPr>
          <w:p>
            <w:pPr>
              <w:pStyle w:val="null3"/>
            </w:pPr>
            <w:r>
              <w:rPr>
                <w:rFonts w:ascii="仿宋_GB2312" w:hAnsi="仿宋_GB2312" w:cs="仿宋_GB2312" w:eastAsia="仿宋_GB2312"/>
              </w:rPr>
              <w:t>一、评审内容 供应商针对本项目编制完善的施工实施方案，内容包含： ①施工部署；②施工方案；③进度计划和工期保证措施；④项目的材料及机具配备保证措施。 二、评审标准 1.完整性：方案必须全面，对评审内容中的各项要求有详细描述； 2.可实施性：切合本项目实际情况，提出步骤清晰、合理的方案； 3.针对性：方案能够紧扣项目实际情况，内容科学合理。 三、赋分标准 ①施工部署：每完全满足一个评审标准得2分，有瑕疵得1分，有缺项漏项得0分。满分6分； ②施工方案：每完全满足一个评审标准得2分，有瑕疵得1分，有缺项漏项得0分。满分6分； ③进度计划和工期保证措施：每完全满足一个评审标准得2分，有瑕疵得1分，有缺项漏项得0分。满分6分； ④项目的材料及机具配备保证措施：每完全满足一个评审标准得2分，满分6分；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保障管理方案</w:t>
            </w:r>
          </w:p>
        </w:tc>
        <w:tc>
          <w:tcPr>
            <w:tcW w:type="dxa" w:w="2492"/>
          </w:tcPr>
          <w:p>
            <w:pPr>
              <w:pStyle w:val="null3"/>
            </w:pPr>
            <w:r>
              <w:rPr>
                <w:rFonts w:ascii="仿宋_GB2312" w:hAnsi="仿宋_GB2312" w:cs="仿宋_GB2312" w:eastAsia="仿宋_GB2312"/>
              </w:rPr>
              <w:t>一、评审内容 供应商针对本项目编制完善的保障管理方案，内容包含： ①施工质量保证措施； ②安全文明施工方案； ③现场环保（噪音、扬尘）措施及运输保证措施； ④项目周边关系协调方案； ⑤突发事件应急保证措施。 二、评审标准 1.完整性：方案必须全面，对评审内容中的各项要求有详细描述； 2.可实施性：切合本项目实际情况，提出步骤清晰、合理的方案； 3.针对性：方案能够紧扣项目实际情况，内容科学合理。 三、赋分标准 ①施工质量保证措施：每完全满足一个评审标准得2分，有瑕疵得1分，有缺项漏项得0分。满分6分； ②安全文明施工方案：每完全满足一个评审标准得2分，有瑕疵得1分，有缺项漏项得0分。满分6分； ③现场环保（噪音、扬尘）措施及运输保证措施：每完全满足一个评审标准得2分，有瑕疵得1分，有缺项漏项得0分。满分6分； ④项目周边关系协调方案：每完全满足一个评审标准得2分，有瑕疵得1分，有缺项漏项得0分。满分6分； ⑤突发事件应急保证措施：每完全满足一个评审标准得2分，有瑕疵得1分，有缺项漏项得0分。满分6分。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项目部人员团队组成</w:t>
            </w:r>
          </w:p>
        </w:tc>
        <w:tc>
          <w:tcPr>
            <w:tcW w:type="dxa" w:w="2492"/>
          </w:tcPr>
          <w:p>
            <w:pPr>
              <w:pStyle w:val="null3"/>
            </w:pPr>
            <w:r>
              <w:rPr>
                <w:rFonts w:ascii="仿宋_GB2312" w:hAnsi="仿宋_GB2312" w:cs="仿宋_GB2312" w:eastAsia="仿宋_GB2312"/>
              </w:rPr>
              <w:t>一、评审内容： 项目部人员组成及架构。 二、评审标准： 1、完整性：组织机构的运行配备完善、各岗位人员分工明确合理。 2、针对性：人员数量充足，人员资格/年龄等符合采购需求。 3、专业性：人员相关岗位经验丰富，切合本项目实际情况。 三、赋分标准： 每完全满足一项评审标准得2分，满分6分。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提供2021年1月1日（以合同签订时间为准）以来的类似施工项目业绩（以合同关键页的扫描件为计分依据），每个有效业绩得5分，满分10分。 注：合同关键页须包括首页、金额页、加盖甲乙双方公章或合同章的合同关键页。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