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版本号：NBC-2026-ZFCS-G-5520260525002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东郊中学教学楼及教辅用房提升改造项目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NBC-2026-ZFCS-G-55</w:t>
      </w:r>
      <w:r>
        <w:br/>
      </w:r>
      <w:r>
        <w:br/>
      </w:r>
      <w:r>
        <w:br/>
      </w:r>
    </w:p>
    <w:p>
      <w:pPr>
        <w:pStyle w:val="null3"/>
        <w:jc w:val="center"/>
        <w:outlineLvl w:val="2"/>
      </w:pPr>
      <w:r>
        <w:rPr>
          <w:rFonts w:ascii="仿宋_GB2312" w:hAnsi="仿宋_GB2312" w:cs="仿宋_GB2312" w:eastAsia="仿宋_GB2312"/>
          <w:sz w:val="28"/>
          <w:b/>
        </w:rPr>
        <w:t>三原县东郊中学</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三原县东郊中学</w:t>
      </w:r>
      <w:r>
        <w:rPr>
          <w:rFonts w:ascii="仿宋_GB2312" w:hAnsi="仿宋_GB2312" w:cs="仿宋_GB2312" w:eastAsia="仿宋_GB2312"/>
        </w:rPr>
        <w:t>委托，拟对</w:t>
      </w:r>
      <w:r>
        <w:rPr>
          <w:rFonts w:ascii="仿宋_GB2312" w:hAnsi="仿宋_GB2312" w:cs="仿宋_GB2312" w:eastAsia="仿宋_GB2312"/>
        </w:rPr>
        <w:t>东郊中学教学楼及教辅用房提升改造项目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东郊中学教学楼及教辅用房提升改造项目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为完善学校基础设施建设，给师生提供良好的学习环境，本次对教学楼外立面整体提升改造。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采购包1（三原县东郊中学教学楼及教辅用房提升改造项目）：属于专门面向中小企业采购。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1、响应主体：具有独立承担民事责任能力的法人、其他组织或自然人，统一社会信用代码营业执照（自然人提供本人身份证）合法有效；</w:t>
      </w:r>
    </w:p>
    <w:p>
      <w:pPr>
        <w:pStyle w:val="null3"/>
      </w:pPr>
      <w:r>
        <w:rPr>
          <w:rFonts w:ascii="仿宋_GB2312" w:hAnsi="仿宋_GB2312" w:cs="仿宋_GB2312" w:eastAsia="仿宋_GB2312"/>
        </w:rPr>
        <w:t>2、财务状况报告：提供2024或2025年度经审计的财务审计报告（成立时间至磋商截止时间不足一年的可提供成立后任意时段的资产负债表）或磋商截止时间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3、社保缴纳证明：提供⾸次磋商响应⽂件递交截⽌时间前6个⽉内任意⼀个⽉的社会保障资金的凭据（专用收据或社会保险缴纳清单）。依法不需要缴纳社会保障资⾦的供应商应提供相关⽂件证明；</w:t>
      </w:r>
    </w:p>
    <w:p>
      <w:pPr>
        <w:pStyle w:val="null3"/>
      </w:pPr>
      <w:r>
        <w:rPr>
          <w:rFonts w:ascii="仿宋_GB2312" w:hAnsi="仿宋_GB2312" w:cs="仿宋_GB2312" w:eastAsia="仿宋_GB2312"/>
        </w:rPr>
        <w:t>4、税收缴纳证明：提供⾸次磋商响应⽂件递交截⽌时间前6个⽉内任意⼀个⽉的纳税证明或完税证明，纳税证明或完税证明上应有代收机构或税务机关的公章或业务专⽤章。依法免税的供应商应提供相关⽂件证明；</w:t>
      </w:r>
    </w:p>
    <w:p>
      <w:pPr>
        <w:pStyle w:val="null3"/>
      </w:pPr>
      <w:r>
        <w:rPr>
          <w:rFonts w:ascii="仿宋_GB2312" w:hAnsi="仿宋_GB2312" w:cs="仿宋_GB2312" w:eastAsia="仿宋_GB2312"/>
        </w:rPr>
        <w:t>5、书面声明：提供参加政府采购活动前3年内，在经营活动中没有重⼤违法记录的书⾯声明；</w:t>
      </w:r>
    </w:p>
    <w:p>
      <w:pPr>
        <w:pStyle w:val="null3"/>
      </w:pPr>
      <w:r>
        <w:rPr>
          <w:rFonts w:ascii="仿宋_GB2312" w:hAnsi="仿宋_GB2312" w:cs="仿宋_GB2312" w:eastAsia="仿宋_GB2312"/>
        </w:rPr>
        <w:t>6、履⾏合同承诺函：提供具有履⾏合同所必需的设备和专业技术能⼒的承诺函；</w:t>
      </w:r>
    </w:p>
    <w:p>
      <w:pPr>
        <w:pStyle w:val="null3"/>
      </w:pPr>
      <w:r>
        <w:rPr>
          <w:rFonts w:ascii="仿宋_GB2312" w:hAnsi="仿宋_GB2312" w:cs="仿宋_GB2312" w:eastAsia="仿宋_GB2312"/>
        </w:rPr>
        <w:t>7、法定代表⼈授权委托书：法定代表⼈直接参加磋商的，须提供法定代表⼈⾝份证明及其⾝份证电⼦件或扫描件；法定代表⼈授权他⼈参加磋商的，须提供法定代表⼈授权委托书（附法定代表⼈、被授权⼈⾝份证电⼦件或扫描件）；</w:t>
      </w:r>
    </w:p>
    <w:p>
      <w:pPr>
        <w:pStyle w:val="null3"/>
      </w:pPr>
      <w:r>
        <w:rPr>
          <w:rFonts w:ascii="仿宋_GB2312" w:hAnsi="仿宋_GB2312" w:cs="仿宋_GB2312" w:eastAsia="仿宋_GB2312"/>
        </w:rPr>
        <w:t>8、资质要求：供应商须具备建筑⼯程施⼯总承包三级及以上资质，且具备有效的安全⽣产许可证；</w:t>
      </w:r>
    </w:p>
    <w:p>
      <w:pPr>
        <w:pStyle w:val="null3"/>
      </w:pPr>
      <w:r>
        <w:rPr>
          <w:rFonts w:ascii="仿宋_GB2312" w:hAnsi="仿宋_GB2312" w:cs="仿宋_GB2312" w:eastAsia="仿宋_GB2312"/>
        </w:rPr>
        <w:t>9、项目经理要求：拟派项目经理须具备建筑工程专业二级及以上注册建造师资格，具备有效的安全生产考核合格证（B 证），在本单位注册，且无在建工程；</w:t>
      </w:r>
    </w:p>
    <w:p>
      <w:pPr>
        <w:pStyle w:val="null3"/>
      </w:pPr>
      <w:r>
        <w:rPr>
          <w:rFonts w:ascii="仿宋_GB2312" w:hAnsi="仿宋_GB2312" w:cs="仿宋_GB2312" w:eastAsia="仿宋_GB2312"/>
        </w:rPr>
        <w:t>10、信用信息：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11、本项⽬不接受联合体：本项目不接受联合体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三原县东郊中学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咸阳市三原县东三路北段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三原县东郊中学经办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13892003393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13032959385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采购包1：3,565,363.14元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发改办价格[2003]857号招标代理服务收费管理暂行办法文件按标准收取，由成交供应商在领取成交通知书之前，向采购代理机构一次支付全额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三原县东郊中学</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三原县东郊中学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三原县东郊中学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1、项目实施完成后，乙方进行自检并形成自检报告,如出现问题限期整改。自检通过后，乙方提出验收申请，使用单位组织相关人员进行最终验收； 2、甲方接到乙方的验收通知后，甲方验收组应对所有设施设备的规格、材料、产品合格证、运行情况等逐项进行验收，其中一项不合格不能通过验收； 3、所采购的所有设备自通过验收之日起进入质保期。 4、验收依据： 4.1、合同文本、合同附件、竞争性磋商文件、响应文件。 4.2、国内相应的标准、规范。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联系人：武鲍华</w:t>
      </w:r>
    </w:p>
    <w:p>
      <w:pPr>
        <w:pStyle w:val="null3"/>
      </w:pPr>
      <w:r>
        <w:rPr>
          <w:rFonts w:ascii="仿宋_GB2312" w:hAnsi="仿宋_GB2312" w:cs="仿宋_GB2312" w:eastAsia="仿宋_GB2312"/>
        </w:rPr>
        <w:t>联系电话：13032959385</w:t>
      </w:r>
    </w:p>
    <w:p>
      <w:pPr>
        <w:pStyle w:val="null3"/>
      </w:pPr>
      <w:r>
        <w:rPr>
          <w:rFonts w:ascii="仿宋_GB2312" w:hAnsi="仿宋_GB2312" w:cs="仿宋_GB2312" w:eastAsia="仿宋_GB2312"/>
        </w:rPr>
        <w:t>地址：陕西省西安市曲江新区南三环辅路以南曲江文创中心7幢1单元1701号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3,565,363.14</w:t>
      </w:r>
    </w:p>
    <w:p>
      <w:pPr>
        <w:pStyle w:val="null3"/>
      </w:pPr>
      <w:r>
        <w:rPr>
          <w:rFonts w:ascii="仿宋_GB2312" w:hAnsi="仿宋_GB2312" w:cs="仿宋_GB2312" w:eastAsia="仿宋_GB2312"/>
        </w:rPr>
        <w:t>采购包最高限价（元）: 3,565,363.14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东郊中学教学楼及教辅用房提升改造项目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3,565,363.14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标的名称：东郊中学教学楼及教辅用房提升改造项目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18"/>
                <w:b/>
              </w:rPr>
              <w:t>一、项</w:t>
            </w:r>
            <w:r>
              <w:rPr>
                <w:rFonts w:ascii="仿宋_GB2312" w:hAnsi="仿宋_GB2312" w:cs="仿宋_GB2312" w:eastAsia="仿宋_GB2312"/>
                <w:sz w:val="18"/>
                <w:b/>
              </w:rPr>
              <w:t>目名称：</w:t>
            </w:r>
            <w:r>
              <w:rPr>
                <w:rFonts w:ascii="仿宋_GB2312" w:hAnsi="仿宋_GB2312" w:cs="仿宋_GB2312" w:eastAsia="仿宋_GB2312"/>
                <w:sz w:val="18"/>
              </w:rPr>
              <w:t>三原县东郊中学教学楼及教辅用房提升改造项目</w:t>
            </w:r>
          </w:p>
          <w:p>
            <w:pPr>
              <w:pStyle w:val="null3"/>
              <w:ind w:firstLine="562"/>
              <w:jc w:val="left"/>
            </w:pPr>
            <w:r>
              <w:rPr>
                <w:rFonts w:ascii="仿宋_GB2312" w:hAnsi="仿宋_GB2312" w:cs="仿宋_GB2312" w:eastAsia="仿宋_GB2312"/>
                <w:sz w:val="18"/>
                <w:b/>
              </w:rPr>
              <w:t>二、工程范围及内容：</w:t>
            </w:r>
            <w:r>
              <w:rPr>
                <w:rFonts w:ascii="仿宋_GB2312" w:hAnsi="仿宋_GB2312" w:cs="仿宋_GB2312" w:eastAsia="仿宋_GB2312"/>
                <w:sz w:val="18"/>
              </w:rPr>
              <w:t>东郊中学教学楼1#楼至6#楼外立面改造及5#楼亭廊外立面、屋面改造及防腐木座椅。</w:t>
            </w:r>
          </w:p>
          <w:p>
            <w:pPr>
              <w:pStyle w:val="null3"/>
              <w:ind w:firstLine="562"/>
              <w:jc w:val="left"/>
            </w:pPr>
            <w:r>
              <w:rPr>
                <w:rFonts w:ascii="仿宋_GB2312" w:hAnsi="仿宋_GB2312" w:cs="仿宋_GB2312" w:eastAsia="仿宋_GB2312"/>
                <w:sz w:val="18"/>
                <w:b/>
              </w:rPr>
              <w:t>三、编制依据</w:t>
            </w:r>
          </w:p>
          <w:p>
            <w:pPr>
              <w:pStyle w:val="null3"/>
              <w:ind w:firstLine="563"/>
              <w:jc w:val="both"/>
            </w:pPr>
            <w:r>
              <w:rPr>
                <w:rFonts w:ascii="仿宋_GB2312" w:hAnsi="仿宋_GB2312" w:cs="仿宋_GB2312" w:eastAsia="仿宋_GB2312"/>
                <w:sz w:val="18"/>
              </w:rPr>
              <w:t>1、依据《陕西省建设工程费用规则》（2025）、《陕西省建设工程清单计价规则》（2025）、《陕西省房屋建筑与装饰工程基价表》(2025)、《陕西省通用安装工程基价表》（2025）、《陕西省房屋建筑与装饰工程消耗量定额》（2025）、《陕西省通用安装工程消耗量定额》（2025）；</w:t>
            </w:r>
          </w:p>
          <w:p>
            <w:pPr>
              <w:pStyle w:val="null3"/>
              <w:ind w:firstLine="563"/>
              <w:jc w:val="both"/>
            </w:pPr>
            <w:r>
              <w:rPr>
                <w:rFonts w:ascii="仿宋_GB2312" w:hAnsi="仿宋_GB2312" w:cs="仿宋_GB2312" w:eastAsia="仿宋_GB2312"/>
                <w:sz w:val="18"/>
              </w:rPr>
              <w:t>2、三原县东郊中学教学楼及教辅用房提升改造项目施工图纸。</w:t>
            </w:r>
          </w:p>
          <w:p>
            <w:pPr>
              <w:pStyle w:val="null3"/>
              <w:ind w:firstLine="563"/>
              <w:jc w:val="both"/>
            </w:pPr>
            <w:r>
              <w:rPr>
                <w:rFonts w:ascii="仿宋_GB2312" w:hAnsi="仿宋_GB2312" w:cs="仿宋_GB2312" w:eastAsia="仿宋_GB2312"/>
                <w:sz w:val="18"/>
              </w:rPr>
              <w:t>3、相关的标准图集、规范，常规的施工组织。</w:t>
            </w:r>
          </w:p>
          <w:p>
            <w:pPr>
              <w:pStyle w:val="null3"/>
              <w:ind w:firstLine="563"/>
              <w:jc w:val="both"/>
            </w:pPr>
            <w:r>
              <w:rPr>
                <w:rFonts w:ascii="仿宋_GB2312" w:hAnsi="仿宋_GB2312" w:cs="仿宋_GB2312" w:eastAsia="仿宋_GB2312"/>
                <w:sz w:val="18"/>
              </w:rPr>
              <w:t>4、依据政府文件：陕建管发〔2025〕10号文件。</w:t>
            </w:r>
          </w:p>
          <w:p>
            <w:pPr>
              <w:pStyle w:val="null3"/>
              <w:ind w:firstLine="563"/>
              <w:jc w:val="both"/>
            </w:pPr>
            <w:r>
              <w:rPr>
                <w:rFonts w:ascii="仿宋_GB2312" w:hAnsi="仿宋_GB2312" w:cs="仿宋_GB2312" w:eastAsia="仿宋_GB2312"/>
                <w:sz w:val="18"/>
              </w:rPr>
              <w:t>5、人工费取费标准：综合一类人工155元/工日，综合二类人工房屋建筑与装饰工程190元/工日，综合二类人工通用安装工程186元/工日，综合三类人工215元/工日。</w:t>
            </w:r>
          </w:p>
          <w:p>
            <w:pPr>
              <w:pStyle w:val="null3"/>
              <w:ind w:firstLine="563"/>
              <w:jc w:val="both"/>
            </w:pPr>
            <w:r>
              <w:rPr>
                <w:rFonts w:ascii="仿宋_GB2312" w:hAnsi="仿宋_GB2312" w:cs="仿宋_GB2312" w:eastAsia="仿宋_GB2312"/>
                <w:sz w:val="18"/>
              </w:rPr>
              <w:t>6、其他有关国家标准、规范等资料。</w:t>
            </w:r>
          </w:p>
          <w:p>
            <w:pPr>
              <w:pStyle w:val="null3"/>
              <w:ind w:firstLine="563"/>
              <w:jc w:val="both"/>
            </w:pPr>
            <w:r>
              <w:rPr>
                <w:rFonts w:ascii="仿宋_GB2312" w:hAnsi="仿宋_GB2312" w:cs="仿宋_GB2312" w:eastAsia="仿宋_GB2312"/>
                <w:sz w:val="18"/>
              </w:rPr>
              <w:t>7、计价软件采用广联达7.0（内核版本7.5000.23.1）。</w:t>
            </w:r>
          </w:p>
          <w:p>
            <w:pPr>
              <w:pStyle w:val="null3"/>
              <w:ind w:firstLine="563"/>
              <w:jc w:val="both"/>
            </w:pPr>
            <w:r>
              <w:rPr>
                <w:rFonts w:ascii="仿宋_GB2312" w:hAnsi="仿宋_GB2312" w:cs="仿宋_GB2312" w:eastAsia="仿宋_GB2312"/>
                <w:sz w:val="18"/>
              </w:rPr>
              <w:t>8、信息价依据《咸阳工程造价信息》2025年第五期。</w:t>
            </w:r>
          </w:p>
          <w:p>
            <w:pPr>
              <w:pStyle w:val="null3"/>
              <w:ind w:firstLine="563"/>
              <w:jc w:val="both"/>
            </w:pPr>
            <w:r>
              <w:rPr>
                <w:rFonts w:ascii="仿宋_GB2312" w:hAnsi="仿宋_GB2312" w:cs="仿宋_GB2312" w:eastAsia="仿宋_GB2312"/>
                <w:sz w:val="18"/>
                <w:b/>
              </w:rPr>
              <w:t>四、工程量清单</w:t>
            </w:r>
          </w:p>
          <w:p>
            <w:pPr>
              <w:pStyle w:val="null3"/>
              <w:ind w:firstLine="563"/>
              <w:jc w:val="both"/>
            </w:pPr>
            <w:r>
              <w:rPr>
                <w:rFonts w:ascii="仿宋_GB2312" w:hAnsi="仿宋_GB2312" w:cs="仿宋_GB2312" w:eastAsia="仿宋_GB2312"/>
                <w:sz w:val="18"/>
              </w:rPr>
              <w:t>详见附件</w:t>
            </w:r>
          </w:p>
          <w:p>
            <w:pPr>
              <w:pStyle w:val="null3"/>
              <w:ind w:firstLine="563"/>
              <w:jc w:val="both"/>
            </w:pPr>
            <w:r>
              <w:rPr>
                <w:rFonts w:ascii="仿宋_GB2312" w:hAnsi="仿宋_GB2312" w:cs="仿宋_GB2312" w:eastAsia="仿宋_GB2312"/>
                <w:sz w:val="18"/>
                <w:b/>
              </w:rPr>
              <w:t>五、商务要求</w:t>
            </w:r>
          </w:p>
          <w:p>
            <w:pPr>
              <w:pStyle w:val="null3"/>
              <w:ind w:firstLine="563"/>
              <w:jc w:val="both"/>
            </w:pPr>
            <w:r>
              <w:rPr>
                <w:rFonts w:ascii="仿宋_GB2312" w:hAnsi="仿宋_GB2312" w:cs="仿宋_GB2312" w:eastAsia="仿宋_GB2312"/>
                <w:sz w:val="18"/>
              </w:rPr>
              <w:t>工期：60天</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 xml:space="preserve"> 质量：达到国家施⼯验收规范“合格”标准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严格执⾏现⾏国家、⾏业及地⽅相关设计、施⼯规范与技术标准，⼯程质量达到合格等级，满⾜验收合格要求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本项⽬技术标准执⾏本项⽬设计⽂件及国家、陕西省相关规范、标准。 本⼯程的施⼯过程和成果必须同时符合国家有关 ⼯程建设标准强制性条⽂和国家或有关部⻔关于⼯程施⼯⽅⾯现⾏的标准、规范、规程、定额、办法、⽰例，以及陕西省关于 ⼯程施⼯⽅⾯的⽂件、规定及设计⽂件的要求。 1）、承包⼈在施⼯过程中使⽤或参考上述标准、规范以外的技术标准、规范 时，应征得业主或业主指定代表⼈的同意。在施⼯过程中，如果国家或有关部⻔颁布了新的技术标准或规范，则承包⼈应采⽤ 新的标准或规范进⾏施⼯。 2）、施⼯范围：施⼯图纸及⼯程量清单中全部内容。直⾄竣⼯验收合格并整体移交、⼯程保修期 内的缺陷修复和保修⼯作。同时承担相关协调⼯作。 3）、设备及材料选⽤:⼯程所⽤设备及材料应在满⾜使⽤功能的基础 上，按照经济合理的原则进⾏选择。 4）、⼯程涉及的劳动安全、节能、环保、消防等应严格按照国家有关法规执⾏。 5）、 质量标准：达到国家施⼯验收规范“合格”标准。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具有独立承担民事责任能力的法人、其他组织或自然人，统一社会信用代码营业执照（自然人提供本人身份证）合法有效；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成立时间至磋商截止时间不足一年的可提供成立后任意时段的资产负债表）或磋商截止时间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提供⾸次磋商响应⽂件递交截⽌时间前6个⽉内任意⼀个⽉的社会保障资金的凭据（专用收据或社会保险缴纳清单）。依法不需要缴纳社会保障资⾦的供应商应提供相关⽂件证明；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提供⾸次磋商响应⽂件递交截⽌时间前6个⽉内任意⼀个⽉的纳税证明或完税证明，纳税证明或完税证明上应有代收机构或税务机关的公章或业务专⽤章。依法免税的供应商应提供相关⽂件证明；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履⾏合同承诺函</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法定代表⼈直接参加磋商的，须提供法定代表⼈⾝份证明及其⾝份证电⼦件或扫描件；法定代表⼈授权他⼈参加磋商的，须提供法定代表⼈授权委托书（附法定代表⼈、被授权⼈⾝份证电⼦件或扫描件）；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供应商须具备建筑⼯程施⼯总承包三级及以上资质，且具备有效的安全⽣产许可证；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拟派项目经理须具备建筑工程专业二级及以上注册建造师资格，具备有效的安全生产考核合格证（B 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响应⽂件格式、语⾔、计量单位、报价货币</w:t>
            </w:r>
          </w:p>
        </w:tc>
        <w:tc>
          <w:tcPr>
            <w:tcW w:type="dxa" w:w="3322"/>
          </w:tcPr>
          <w:p>
            <w:pPr>
              <w:pStyle w:val="null3"/>
            </w:pPr>
            <w:r>
              <w:rPr>
                <w:rFonts w:ascii="仿宋_GB2312" w:hAnsi="仿宋_GB2312" w:cs="仿宋_GB2312" w:eastAsia="仿宋_GB2312"/>
              </w:rPr>
              <w:t>应符合“响应⽂件格式”和响应⽂件要求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响应文件封面 供应商应提交的相关资格证明材料.docx 项目管理机构组成表 残疾人福利性单位声明函 报价函 标的清单 供应商类似项目业绩一览表 供应商认为有必要提供的其它资料.docx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⼯程质量</w:t>
            </w:r>
          </w:p>
        </w:tc>
        <w:tc>
          <w:tcPr>
            <w:tcW w:type="dxa" w:w="3322"/>
          </w:tcPr>
          <w:p>
            <w:pPr>
              <w:pStyle w:val="null3"/>
            </w:pPr>
            <w:r>
              <w:rPr>
                <w:rFonts w:ascii="仿宋_GB2312" w:hAnsi="仿宋_GB2312" w:cs="仿宋_GB2312" w:eastAsia="仿宋_GB2312"/>
              </w:rPr>
              <w:t>应符合磋商⽂件的要求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符合竞争性磋商⽂件的要求</w:t>
            </w:r>
          </w:p>
        </w:tc>
        <w:tc>
          <w:tcPr>
            <w:tcW w:type="dxa" w:w="1661"/>
          </w:tcPr>
          <w:p>
            <w:pPr>
              <w:pStyle w:val="null3"/>
            </w:pPr>
            <w:r>
              <w:rPr>
                <w:rFonts w:ascii="仿宋_GB2312" w:hAnsi="仿宋_GB2312" w:cs="仿宋_GB2312" w:eastAsia="仿宋_GB2312"/>
              </w:rPr>
              <w:t>供应商应提交的相关资格证明材料.docx 报价函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⽆其他竞争性磋商⽂件或法律法规明确规定响应⽆效的事项</w:t>
            </w:r>
          </w:p>
        </w:tc>
        <w:tc>
          <w:tcPr>
            <w:tcW w:type="dxa" w:w="3322"/>
          </w:tcPr>
          <w:p>
            <w:pPr>
              <w:pStyle w:val="null3"/>
            </w:pPr>
            <w:r>
              <w:rPr>
                <w:rFonts w:ascii="仿宋_GB2312" w:hAnsi="仿宋_GB2312" w:cs="仿宋_GB2312" w:eastAsia="仿宋_GB2312"/>
              </w:rPr>
              <w:t>没有不符合竞争性磋商⽂件及法律法规规定的被视为⽆效响应的其他条款，不能有采购⼈不能接受的附加条件.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响应文件封面 供应商应提交的相关资格证明材料.docx 项目管理机构组成表 残疾人福利性单位声明函 报价函 标的清单 供应商类似项目业绩一览表 供应商认为有必要提供的其它资料.docx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施工方案内容至少包括：①施工准备；②施工方法；③重点难点工程分析及解决措施；④影响正常施工外在因素分析及对应预案等。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保证文明施工的技术组织措施和环境保护措施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 分，每有一个评审内容缺项扣2分，每有一项评审内容存在缺陷，扣1分，扣完为止，不计负分。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内容至少包括①施工进度横道图；②进度计划保证措施； ③工期目标控制和保证措施。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1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方案；3、针对性：方案能够紧扣项目实际情况，内容科学合理。上述4项评审内容全部满足评审标准得12分，每有一个评审内容缺项扣3分，每有一项评审内容存在缺陷，扣1分，扣完为止，不计负分。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主要材料及设备</w:t>
            </w:r>
          </w:p>
        </w:tc>
        <w:tc>
          <w:tcPr>
            <w:tcW w:type="dxa" w:w="2492"/>
          </w:tcPr>
          <w:p>
            <w:pPr>
              <w:pStyle w:val="null3"/>
            </w:pPr>
            <w:r>
              <w:rPr>
                <w:rFonts w:ascii="仿宋_GB2312" w:hAnsi="仿宋_GB2312" w:cs="仿宋_GB2312" w:eastAsia="仿宋_GB2312"/>
              </w:rPr>
              <w:t>一、评审内容： 内容至少包括①主要材料及设备管理措施； ②投⼊本项⽬使⽤的材料及设备品牌及安全； 二、评审标准：1、完善性：方案必须全面，对评审内容中的各项要求有详细阐述；2、可实施性：切合本项目实际情况，提出步骤清晰、合理的方案；3、针对性：方案能够紧扣项目实际情况，内容科学合理。 上述2项评审内容全部满足评审标准得6分，每有一个评审内容缺项扣3分，每有一项评审内容存在缺陷，扣1分，扣完为止，不计负分。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内容至少包括①管理机构的配备计划②组织机构的岗位职责③项目组配备人员的专业素质二、评审标准：1 、完善性：方案必须全面，对评审内容中的各项要求有详细阐述；2 、可实施性：切合本项目实际情况，提出步骤清晰、合理的方案；3 、针对性：方案能够紧扣项目实际情况，内容科学合理。 上述3项评审内容全部满足评审标准得9分，每有一个评审内容缺项扣3分，每有一项评审内容存在缺陷，扣1分，扣完为止，不计负分。（项目组配备人员须提供相关人员证书等） 说明：缺陷是指内容没有结合项目实际需求、虽有内容但不完善、内容表述前后不一致、套用其他项目方案或与项目需求不匹配及其 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供应商认为有必要提供的其它资料.docx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提供2023年01⽉01⽇以来类似项⽬业绩。以合同签订⽇期为准，并加盖供应商公章的合同关键⻚复印件为计分依据，每份合格业绩合同计1.5分，满分6分。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详见附件：供应商认为有必要提供的其它资料.docx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