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65F126">
      <w:pPr>
        <w:keepNext w:val="0"/>
        <w:keepLines w:val="0"/>
        <w:pageBreakBefore w:val="0"/>
        <w:widowControl/>
        <w:numPr>
          <w:ilvl w:val="0"/>
          <w:numId w:val="0"/>
        </w:numPr>
        <w:tabs>
          <w:tab w:val="left" w:pos="1755"/>
        </w:tabs>
        <w:kinsoku/>
        <w:wordWrap/>
        <w:overflowPunct/>
        <w:topLinePunct w:val="0"/>
        <w:autoSpaceDE/>
        <w:autoSpaceDN/>
        <w:bidi w:val="0"/>
        <w:adjustRightInd/>
        <w:snapToGrid/>
        <w:spacing w:before="0" w:after="0" w:line="360" w:lineRule="auto"/>
        <w:ind w:left="0" w:leftChars="0" w:firstLine="0" w:firstLineChars="0"/>
        <w:jc w:val="center"/>
        <w:textAlignment w:val="auto"/>
        <w:outlineLvl w:val="1"/>
        <w:rPr>
          <w:rFonts w:hint="eastAsia" w:ascii="仿宋" w:hAnsi="仿宋" w:eastAsia="仿宋" w:cs="仿宋"/>
          <w:b/>
          <w:bCs/>
          <w:snapToGrid/>
          <w:color w:val="auto"/>
          <w:kern w:val="2"/>
          <w:sz w:val="24"/>
          <w:szCs w:val="24"/>
          <w:highlight w:val="none"/>
          <w:lang w:eastAsia="zh-CN"/>
        </w:rPr>
      </w:pPr>
      <w:bookmarkStart w:id="0" w:name="_Toc6949"/>
      <w:r>
        <w:rPr>
          <w:rFonts w:hint="eastAsia" w:ascii="仿宋" w:hAnsi="仿宋" w:eastAsia="仿宋" w:cs="仿宋"/>
          <w:b/>
          <w:bCs/>
          <w:snapToGrid/>
          <w:color w:val="auto"/>
          <w:kern w:val="2"/>
          <w:sz w:val="24"/>
          <w:szCs w:val="24"/>
          <w:highlight w:val="none"/>
          <w:lang w:val="en-US" w:eastAsia="zh-CN"/>
        </w:rPr>
        <w:t>供应商</w:t>
      </w:r>
      <w:r>
        <w:rPr>
          <w:rFonts w:hint="eastAsia" w:ascii="仿宋" w:hAnsi="仿宋" w:eastAsia="仿宋" w:cs="仿宋"/>
          <w:b/>
          <w:bCs/>
          <w:snapToGrid/>
          <w:color w:val="auto"/>
          <w:kern w:val="2"/>
          <w:sz w:val="24"/>
          <w:szCs w:val="24"/>
          <w:highlight w:val="none"/>
          <w:lang w:eastAsia="zh-CN"/>
        </w:rPr>
        <w:t>认为有必要提供的其它资料</w:t>
      </w:r>
      <w:bookmarkEnd w:id="0"/>
    </w:p>
    <w:p w14:paraId="44B54C1C">
      <w:pPr>
        <w:keepNext w:val="0"/>
        <w:keepLines w:val="0"/>
        <w:pageBreakBefore w:val="0"/>
        <w:widowControl w:val="0"/>
        <w:tabs>
          <w:tab w:val="left" w:pos="1755"/>
        </w:tabs>
        <w:kinsoku/>
        <w:wordWrap/>
        <w:overflowPunct/>
        <w:topLinePunct w:val="0"/>
        <w:autoSpaceDE/>
        <w:autoSpaceDN/>
        <w:bidi w:val="0"/>
        <w:adjustRightInd/>
        <w:snapToGrid/>
        <w:spacing w:line="480" w:lineRule="auto"/>
        <w:jc w:val="center"/>
        <w:textAlignment w:val="auto"/>
        <w:outlineLvl w:val="2"/>
        <w:rPr>
          <w:rFonts w:hint="eastAsia" w:ascii="仿宋" w:hAnsi="仿宋" w:eastAsia="仿宋" w:cs="仿宋"/>
          <w:snapToGrid/>
          <w:color w:val="auto"/>
          <w:kern w:val="2"/>
          <w:sz w:val="24"/>
          <w:szCs w:val="24"/>
          <w:highlight w:val="none"/>
          <w:lang w:eastAsia="zh-CN"/>
        </w:rPr>
      </w:pPr>
      <w:bookmarkStart w:id="1" w:name="_Toc27714"/>
      <w:r>
        <w:rPr>
          <w:rFonts w:hint="eastAsia" w:ascii="仿宋" w:hAnsi="仿宋" w:eastAsia="仿宋" w:cs="仿宋"/>
          <w:b/>
          <w:bCs/>
          <w:snapToGrid/>
          <w:color w:val="auto"/>
          <w:kern w:val="2"/>
          <w:sz w:val="24"/>
          <w:szCs w:val="24"/>
          <w:highlight w:val="none"/>
          <w:lang w:eastAsia="zh-CN"/>
        </w:rPr>
        <w:t>（</w:t>
      </w:r>
      <w:r>
        <w:rPr>
          <w:rFonts w:hint="eastAsia" w:ascii="仿宋" w:hAnsi="仿宋" w:eastAsia="仿宋" w:cs="仿宋"/>
          <w:b/>
          <w:bCs/>
          <w:snapToGrid/>
          <w:color w:val="auto"/>
          <w:kern w:val="2"/>
          <w:sz w:val="24"/>
          <w:szCs w:val="24"/>
          <w:highlight w:val="none"/>
          <w:lang w:val="en-US" w:eastAsia="zh-CN"/>
        </w:rPr>
        <w:t>一</w:t>
      </w:r>
      <w:r>
        <w:rPr>
          <w:rFonts w:hint="eastAsia" w:ascii="仿宋" w:hAnsi="仿宋" w:eastAsia="仿宋" w:cs="仿宋"/>
          <w:b/>
          <w:bCs/>
          <w:snapToGrid/>
          <w:color w:val="auto"/>
          <w:kern w:val="2"/>
          <w:sz w:val="24"/>
          <w:szCs w:val="24"/>
          <w:highlight w:val="none"/>
          <w:lang w:eastAsia="zh-CN"/>
        </w:rPr>
        <w:t>）其它</w:t>
      </w:r>
      <w:bookmarkEnd w:id="1"/>
      <w:r>
        <w:rPr>
          <w:rFonts w:hint="eastAsia" w:ascii="仿宋" w:hAnsi="仿宋" w:eastAsia="仿宋" w:cs="仿宋"/>
          <w:b/>
          <w:bCs/>
          <w:snapToGrid/>
          <w:color w:val="auto"/>
          <w:kern w:val="2"/>
          <w:sz w:val="24"/>
          <w:szCs w:val="24"/>
          <w:highlight w:val="none"/>
          <w:lang w:eastAsia="zh-CN"/>
        </w:rPr>
        <w:t>资料</w:t>
      </w:r>
    </w:p>
    <w:p w14:paraId="24C3657B">
      <w:pPr>
        <w:widowControl w:val="0"/>
        <w:kinsoku/>
        <w:autoSpaceDE/>
        <w:autoSpaceDN/>
        <w:adjustRightInd/>
        <w:snapToGrid/>
        <w:spacing w:line="360" w:lineRule="auto"/>
        <w:ind w:firstLine="480" w:firstLineChars="200"/>
        <w:jc w:val="both"/>
        <w:textAlignment w:val="auto"/>
        <w:rPr>
          <w:rFonts w:hint="eastAsia" w:ascii="仿宋" w:hAnsi="仿宋" w:eastAsia="仿宋" w:cs="仿宋"/>
          <w:bCs/>
          <w:snapToGrid/>
          <w:color w:val="auto"/>
          <w:kern w:val="2"/>
          <w:sz w:val="24"/>
          <w:szCs w:val="24"/>
          <w:highlight w:val="none"/>
          <w:lang w:eastAsia="zh-CN"/>
        </w:rPr>
      </w:pPr>
      <w:r>
        <w:rPr>
          <w:rFonts w:hint="eastAsia" w:ascii="仿宋" w:hAnsi="仿宋" w:eastAsia="仿宋" w:cs="仿宋"/>
          <w:bCs/>
          <w:snapToGrid/>
          <w:color w:val="auto"/>
          <w:kern w:val="2"/>
          <w:sz w:val="24"/>
          <w:szCs w:val="24"/>
          <w:highlight w:val="none"/>
          <w:lang w:eastAsia="zh-CN"/>
        </w:rPr>
        <w:t>1、依据</w:t>
      </w:r>
      <w:r>
        <w:rPr>
          <w:rFonts w:hint="eastAsia" w:ascii="仿宋" w:hAnsi="仿宋" w:eastAsia="仿宋" w:cs="仿宋"/>
          <w:bCs/>
          <w:snapToGrid/>
          <w:color w:val="auto"/>
          <w:kern w:val="2"/>
          <w:sz w:val="24"/>
          <w:szCs w:val="24"/>
          <w:highlight w:val="none"/>
          <w:lang w:val="en-US" w:eastAsia="zh-CN"/>
        </w:rPr>
        <w:t>竞争性磋商</w:t>
      </w:r>
      <w:r>
        <w:rPr>
          <w:rFonts w:hint="eastAsia" w:ascii="仿宋" w:hAnsi="仿宋" w:eastAsia="仿宋" w:cs="仿宋"/>
          <w:bCs/>
          <w:snapToGrid/>
          <w:color w:val="auto"/>
          <w:kern w:val="2"/>
          <w:sz w:val="24"/>
          <w:szCs w:val="24"/>
          <w:highlight w:val="none"/>
          <w:lang w:eastAsia="zh-CN"/>
        </w:rPr>
        <w:t>文件要求，供应商认为有必要说明的其他内容。</w:t>
      </w:r>
    </w:p>
    <w:p w14:paraId="25932C5A">
      <w:pPr>
        <w:widowControl w:val="0"/>
        <w:kinsoku/>
        <w:autoSpaceDE/>
        <w:autoSpaceDN/>
        <w:adjustRightInd/>
        <w:snapToGrid/>
        <w:spacing w:line="360" w:lineRule="auto"/>
        <w:ind w:firstLine="480" w:firstLineChars="200"/>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2、其他可以证明供应商实力的文件。</w:t>
      </w:r>
    </w:p>
    <w:p w14:paraId="6A287164">
      <w:pPr>
        <w:widowControl w:val="0"/>
        <w:kinsoku/>
        <w:autoSpaceDE/>
        <w:autoSpaceDN/>
        <w:adjustRightInd/>
        <w:snapToGrid/>
        <w:spacing w:line="360" w:lineRule="auto"/>
        <w:ind w:firstLine="480" w:firstLineChars="200"/>
        <w:jc w:val="both"/>
        <w:textAlignment w:val="auto"/>
        <w:rPr>
          <w:rFonts w:hint="eastAsia" w:ascii="仿宋" w:hAnsi="仿宋" w:eastAsia="仿宋" w:cs="仿宋"/>
          <w:bCs/>
          <w:snapToGrid/>
          <w:color w:val="auto"/>
          <w:kern w:val="2"/>
          <w:sz w:val="24"/>
          <w:szCs w:val="24"/>
          <w:highlight w:val="none"/>
          <w:lang w:val="en-US" w:eastAsia="zh-CN"/>
        </w:rPr>
      </w:pPr>
      <w:bookmarkStart w:id="2" w:name="_Toc15701"/>
      <w:r>
        <w:rPr>
          <w:rFonts w:hint="eastAsia" w:ascii="仿宋" w:hAnsi="仿宋" w:eastAsia="仿宋" w:cs="仿宋"/>
          <w:bCs/>
          <w:snapToGrid/>
          <w:color w:val="auto"/>
          <w:kern w:val="2"/>
          <w:sz w:val="24"/>
          <w:szCs w:val="24"/>
          <w:highlight w:val="none"/>
          <w:lang w:val="en-US" w:eastAsia="zh-CN"/>
        </w:rPr>
        <w:t>3、请完成下列附件：</w:t>
      </w:r>
    </w:p>
    <w:p w14:paraId="336F0E5F">
      <w:pPr>
        <w:keepNext w:val="0"/>
        <w:keepLines w:val="0"/>
        <w:pageBreakBefore w:val="0"/>
        <w:widowControl w:val="0"/>
        <w:kinsoku/>
        <w:wordWrap/>
        <w:overflowPunct/>
        <w:topLinePunct w:val="0"/>
        <w:autoSpaceDE/>
        <w:autoSpaceDN/>
        <w:bidi w:val="0"/>
        <w:adjustRightInd/>
        <w:snapToGrid/>
        <w:spacing w:line="360" w:lineRule="auto"/>
        <w:ind w:left="0" w:leftChars="0" w:firstLine="960" w:firstLineChars="400"/>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附件：陕西省政府采购投标人拒绝政府采购领域商业贿赂承诺书；</w:t>
      </w:r>
    </w:p>
    <w:p w14:paraId="7183D90F">
      <w:pPr>
        <w:keepNext w:val="0"/>
        <w:keepLines w:val="0"/>
        <w:pageBreakBefore w:val="0"/>
        <w:widowControl w:val="0"/>
        <w:kinsoku/>
        <w:wordWrap/>
        <w:overflowPunct/>
        <w:topLinePunct w:val="0"/>
        <w:autoSpaceDE/>
        <w:autoSpaceDN/>
        <w:bidi w:val="0"/>
        <w:adjustRightInd/>
        <w:snapToGrid/>
        <w:spacing w:line="360" w:lineRule="auto"/>
        <w:ind w:left="0" w:leftChars="0" w:firstLine="960" w:firstLineChars="400"/>
        <w:jc w:val="both"/>
        <w:textAlignment w:val="auto"/>
        <w:rPr>
          <w:rFonts w:hint="eastAsia" w:ascii="仿宋" w:hAnsi="仿宋" w:eastAsia="仿宋" w:cs="仿宋"/>
          <w:bCs/>
          <w:snapToGrid/>
          <w:color w:val="auto"/>
          <w:kern w:val="2"/>
          <w:sz w:val="24"/>
          <w:szCs w:val="24"/>
          <w:highlight w:val="none"/>
          <w:lang w:eastAsia="zh-CN"/>
        </w:rPr>
      </w:pPr>
      <w:r>
        <w:rPr>
          <w:rFonts w:hint="eastAsia" w:ascii="仿宋" w:hAnsi="仿宋" w:eastAsia="仿宋" w:cs="仿宋"/>
          <w:bCs/>
          <w:snapToGrid/>
          <w:color w:val="auto"/>
          <w:kern w:val="2"/>
          <w:sz w:val="24"/>
          <w:szCs w:val="24"/>
          <w:highlight w:val="none"/>
          <w:lang w:val="en-US" w:eastAsia="zh-CN"/>
        </w:rPr>
        <w:t>附件：不参与投标告知函。</w:t>
      </w:r>
    </w:p>
    <w:p w14:paraId="10FC8EEE">
      <w:pPr>
        <w:widowControl w:val="0"/>
        <w:kinsoku/>
        <w:autoSpaceDE/>
        <w:autoSpaceDN/>
        <w:adjustRightInd/>
        <w:snapToGrid/>
        <w:spacing w:line="240" w:lineRule="auto"/>
        <w:jc w:val="both"/>
        <w:textAlignment w:val="auto"/>
        <w:rPr>
          <w:rFonts w:hint="eastAsia" w:ascii="仿宋" w:hAnsi="仿宋" w:eastAsia="仿宋" w:cs="仿宋"/>
          <w:b/>
          <w:snapToGrid/>
          <w:color w:val="auto"/>
          <w:kern w:val="2"/>
          <w:sz w:val="24"/>
          <w:szCs w:val="24"/>
          <w:highlight w:val="none"/>
          <w:lang w:val="en-US" w:eastAsia="zh-CN"/>
        </w:rPr>
      </w:pPr>
      <w:r>
        <w:rPr>
          <w:rFonts w:hint="eastAsia" w:ascii="仿宋" w:hAnsi="仿宋" w:eastAsia="仿宋" w:cs="仿宋"/>
          <w:b/>
          <w:snapToGrid/>
          <w:color w:val="auto"/>
          <w:kern w:val="2"/>
          <w:sz w:val="24"/>
          <w:szCs w:val="24"/>
          <w:highlight w:val="none"/>
          <w:lang w:val="en-US" w:eastAsia="zh-CN"/>
        </w:rPr>
        <w:br w:type="page"/>
      </w:r>
    </w:p>
    <w:p w14:paraId="2F528864">
      <w:pPr>
        <w:pStyle w:val="5"/>
        <w:kinsoku/>
        <w:autoSpaceDE/>
        <w:autoSpaceDN/>
        <w:adjustRightInd/>
        <w:snapToGrid/>
        <w:spacing w:line="360" w:lineRule="auto"/>
        <w:textAlignment w:val="auto"/>
        <w:rPr>
          <w:rFonts w:hint="eastAsia" w:ascii="仿宋" w:hAnsi="仿宋" w:eastAsia="仿宋" w:cs="仿宋"/>
          <w:b/>
          <w:snapToGrid/>
          <w:color w:val="auto"/>
          <w:sz w:val="24"/>
          <w:szCs w:val="24"/>
          <w:highlight w:val="none"/>
          <w:lang w:val="en-US" w:eastAsia="zh-CN"/>
        </w:rPr>
      </w:pPr>
      <w:r>
        <w:rPr>
          <w:rFonts w:hint="eastAsia" w:ascii="仿宋" w:hAnsi="仿宋" w:eastAsia="仿宋" w:cs="仿宋"/>
          <w:b/>
          <w:snapToGrid/>
          <w:color w:val="auto"/>
          <w:sz w:val="24"/>
          <w:szCs w:val="24"/>
          <w:highlight w:val="none"/>
          <w:lang w:val="en-US" w:eastAsia="zh-CN"/>
        </w:rPr>
        <w:t>附件：</w:t>
      </w:r>
    </w:p>
    <w:p w14:paraId="53AF9500">
      <w:pPr>
        <w:keepNext w:val="0"/>
        <w:keepLines w:val="0"/>
        <w:pageBreakBefore w:val="0"/>
        <w:widowControl/>
        <w:numPr>
          <w:ilvl w:val="0"/>
          <w:numId w:val="0"/>
        </w:numPr>
        <w:tabs>
          <w:tab w:val="left" w:pos="1755"/>
        </w:tabs>
        <w:kinsoku/>
        <w:wordWrap/>
        <w:overflowPunct/>
        <w:topLinePunct w:val="0"/>
        <w:autoSpaceDE/>
        <w:autoSpaceDN/>
        <w:bidi w:val="0"/>
        <w:adjustRightInd/>
        <w:snapToGrid/>
        <w:spacing w:before="0" w:after="0" w:line="360" w:lineRule="auto"/>
        <w:ind w:left="0" w:leftChars="0" w:firstLine="0" w:firstLineChars="0"/>
        <w:jc w:val="center"/>
        <w:textAlignment w:val="auto"/>
        <w:outlineLvl w:val="1"/>
        <w:rPr>
          <w:rFonts w:hint="eastAsia" w:ascii="仿宋" w:hAnsi="仿宋" w:eastAsia="仿宋" w:cs="仿宋"/>
          <w:b/>
          <w:bCs/>
          <w:snapToGrid/>
          <w:color w:val="auto"/>
          <w:kern w:val="2"/>
          <w:sz w:val="24"/>
          <w:szCs w:val="24"/>
          <w:highlight w:val="none"/>
          <w:lang w:val="en-US" w:eastAsia="zh-CN"/>
        </w:rPr>
      </w:pPr>
      <w:bookmarkStart w:id="3" w:name="_Toc9877"/>
      <w:r>
        <w:rPr>
          <w:rFonts w:hint="eastAsia" w:ascii="仿宋" w:hAnsi="仿宋" w:eastAsia="仿宋" w:cs="仿宋"/>
          <w:b/>
          <w:bCs/>
          <w:snapToGrid/>
          <w:color w:val="auto"/>
          <w:kern w:val="2"/>
          <w:sz w:val="24"/>
          <w:szCs w:val="24"/>
          <w:highlight w:val="none"/>
          <w:lang w:val="en-US" w:eastAsia="zh-CN"/>
        </w:rPr>
        <w:t>陕西省政府采购投标人拒绝政府采购领域商业贿赂承诺书</w:t>
      </w:r>
      <w:bookmarkEnd w:id="3"/>
    </w:p>
    <w:p w14:paraId="5F4C8629">
      <w:pPr>
        <w:widowControl/>
        <w:kinsoku/>
        <w:autoSpaceDE/>
        <w:autoSpaceDN/>
        <w:adjustRightInd/>
        <w:snapToGrid/>
        <w:spacing w:line="360" w:lineRule="auto"/>
        <w:ind w:firstLine="440" w:firstLineChars="200"/>
        <w:jc w:val="both"/>
        <w:textAlignment w:val="auto"/>
        <w:rPr>
          <w:rFonts w:hint="eastAsia" w:ascii="仿宋" w:hAnsi="仿宋" w:eastAsia="仿宋" w:cs="仿宋"/>
          <w:snapToGrid/>
          <w:color w:val="auto"/>
          <w:kern w:val="2"/>
          <w:sz w:val="22"/>
          <w:szCs w:val="22"/>
          <w:highlight w:val="none"/>
          <w:lang w:eastAsia="zh-CN"/>
        </w:rPr>
      </w:pPr>
      <w:r>
        <w:rPr>
          <w:rFonts w:hint="eastAsia" w:ascii="仿宋" w:hAnsi="仿宋" w:eastAsia="仿宋" w:cs="仿宋"/>
          <w:snapToGrid/>
          <w:color w:val="auto"/>
          <w:kern w:val="2"/>
          <w:sz w:val="22"/>
          <w:szCs w:val="22"/>
          <w:highlight w:val="none"/>
          <w:lang w:eastAsia="zh-CN"/>
        </w:rPr>
        <w:t>为响应党中央、国务院关于治理政府采购领域商业贿赂行为的号召，我公司在此庄严承诺：</w:t>
      </w:r>
      <w:r>
        <w:rPr>
          <w:rFonts w:hint="eastAsia" w:ascii="仿宋" w:hAnsi="仿宋" w:eastAsia="仿宋" w:cs="仿宋"/>
          <w:snapToGrid/>
          <w:color w:val="auto"/>
          <w:kern w:val="2"/>
          <w:sz w:val="22"/>
          <w:szCs w:val="22"/>
          <w:highlight w:val="none"/>
          <w:lang w:eastAsia="zh-CN"/>
        </w:rPr>
        <w:br w:type="textWrapping"/>
      </w:r>
      <w:r>
        <w:rPr>
          <w:rFonts w:hint="eastAsia" w:ascii="仿宋" w:hAnsi="仿宋" w:eastAsia="仿宋" w:cs="仿宋"/>
          <w:snapToGrid/>
          <w:color w:val="auto"/>
          <w:kern w:val="2"/>
          <w:sz w:val="22"/>
          <w:szCs w:val="22"/>
          <w:highlight w:val="none"/>
          <w:lang w:eastAsia="zh-CN"/>
        </w:rPr>
        <w:t xml:space="preserve">    1.在参与政府采购活动中遵纪守法、诚信经营、公平竞标。</w:t>
      </w:r>
    </w:p>
    <w:p w14:paraId="6E808729">
      <w:pPr>
        <w:widowControl/>
        <w:kinsoku/>
        <w:autoSpaceDE/>
        <w:autoSpaceDN/>
        <w:adjustRightInd/>
        <w:snapToGrid/>
        <w:spacing w:line="360" w:lineRule="auto"/>
        <w:ind w:firstLine="440" w:firstLineChars="200"/>
        <w:jc w:val="both"/>
        <w:textAlignment w:val="auto"/>
        <w:rPr>
          <w:rFonts w:hint="eastAsia" w:ascii="仿宋" w:hAnsi="仿宋" w:eastAsia="仿宋" w:cs="仿宋"/>
          <w:snapToGrid/>
          <w:color w:val="auto"/>
          <w:kern w:val="2"/>
          <w:sz w:val="22"/>
          <w:szCs w:val="22"/>
          <w:highlight w:val="none"/>
          <w:lang w:eastAsia="zh-CN"/>
        </w:rPr>
      </w:pPr>
      <w:r>
        <w:rPr>
          <w:rFonts w:hint="eastAsia" w:ascii="仿宋" w:hAnsi="仿宋" w:eastAsia="仿宋" w:cs="仿宋"/>
          <w:snapToGrid/>
          <w:color w:val="auto"/>
          <w:kern w:val="2"/>
          <w:sz w:val="22"/>
          <w:szCs w:val="22"/>
          <w:highlight w:val="none"/>
          <w:lang w:eastAsia="zh-CN"/>
        </w:rPr>
        <w:t>2.不向政府采购人、招标代理机构和政府采购评审专家进行任何形式的商业贿赂以谋取交易机会。</w:t>
      </w:r>
    </w:p>
    <w:p w14:paraId="519F03DD">
      <w:pPr>
        <w:widowControl/>
        <w:kinsoku/>
        <w:autoSpaceDE/>
        <w:autoSpaceDN/>
        <w:adjustRightInd/>
        <w:snapToGrid/>
        <w:spacing w:line="360" w:lineRule="auto"/>
        <w:ind w:firstLine="440" w:firstLineChars="200"/>
        <w:jc w:val="both"/>
        <w:textAlignment w:val="auto"/>
        <w:rPr>
          <w:rFonts w:hint="eastAsia" w:ascii="仿宋" w:hAnsi="仿宋" w:eastAsia="仿宋" w:cs="仿宋"/>
          <w:snapToGrid/>
          <w:color w:val="auto"/>
          <w:kern w:val="2"/>
          <w:sz w:val="22"/>
          <w:szCs w:val="22"/>
          <w:highlight w:val="none"/>
          <w:lang w:eastAsia="zh-CN"/>
        </w:rPr>
      </w:pPr>
      <w:r>
        <w:rPr>
          <w:rFonts w:hint="eastAsia" w:ascii="仿宋" w:hAnsi="仿宋" w:eastAsia="仿宋" w:cs="仿宋"/>
          <w:snapToGrid/>
          <w:color w:val="auto"/>
          <w:kern w:val="2"/>
          <w:sz w:val="22"/>
          <w:szCs w:val="22"/>
          <w:highlight w:val="none"/>
          <w:lang w:eastAsia="zh-CN"/>
        </w:rPr>
        <w:t>3.不向政府招标代理机构和采购人提供虚假资格文件或采用虚假应标方式参与政府采购市场竞争并谋取中标、成交。</w:t>
      </w:r>
    </w:p>
    <w:p w14:paraId="07F7F3D4">
      <w:pPr>
        <w:widowControl/>
        <w:kinsoku/>
        <w:autoSpaceDE/>
        <w:autoSpaceDN/>
        <w:adjustRightInd/>
        <w:snapToGrid/>
        <w:spacing w:line="360" w:lineRule="auto"/>
        <w:ind w:firstLine="440" w:firstLineChars="200"/>
        <w:jc w:val="both"/>
        <w:textAlignment w:val="auto"/>
        <w:rPr>
          <w:rFonts w:hint="eastAsia" w:ascii="仿宋" w:hAnsi="仿宋" w:eastAsia="仿宋" w:cs="仿宋"/>
          <w:snapToGrid/>
          <w:color w:val="auto"/>
          <w:kern w:val="2"/>
          <w:sz w:val="22"/>
          <w:szCs w:val="22"/>
          <w:highlight w:val="none"/>
          <w:lang w:eastAsia="zh-CN"/>
        </w:rPr>
      </w:pPr>
      <w:r>
        <w:rPr>
          <w:rFonts w:hint="eastAsia" w:ascii="仿宋" w:hAnsi="仿宋" w:eastAsia="仿宋" w:cs="仿宋"/>
          <w:snapToGrid/>
          <w:color w:val="auto"/>
          <w:kern w:val="2"/>
          <w:sz w:val="22"/>
          <w:szCs w:val="22"/>
          <w:highlight w:val="none"/>
          <w:lang w:eastAsia="zh-CN"/>
        </w:rPr>
        <w:t>4.不采取“围标、陪标”等商业欺诈手段获得政府采购定单。</w:t>
      </w:r>
    </w:p>
    <w:p w14:paraId="2293FA77">
      <w:pPr>
        <w:widowControl/>
        <w:kinsoku/>
        <w:autoSpaceDE/>
        <w:autoSpaceDN/>
        <w:adjustRightInd/>
        <w:snapToGrid/>
        <w:spacing w:line="360" w:lineRule="auto"/>
        <w:ind w:firstLine="440" w:firstLineChars="200"/>
        <w:jc w:val="both"/>
        <w:textAlignment w:val="auto"/>
        <w:rPr>
          <w:rFonts w:hint="eastAsia" w:ascii="仿宋" w:hAnsi="仿宋" w:eastAsia="仿宋" w:cs="仿宋"/>
          <w:snapToGrid/>
          <w:color w:val="auto"/>
          <w:kern w:val="2"/>
          <w:sz w:val="22"/>
          <w:szCs w:val="22"/>
          <w:highlight w:val="none"/>
          <w:lang w:eastAsia="zh-CN"/>
        </w:rPr>
      </w:pPr>
      <w:r>
        <w:rPr>
          <w:rFonts w:hint="eastAsia" w:ascii="仿宋" w:hAnsi="仿宋" w:eastAsia="仿宋" w:cs="仿宋"/>
          <w:snapToGrid/>
          <w:color w:val="auto"/>
          <w:kern w:val="2"/>
          <w:sz w:val="22"/>
          <w:szCs w:val="22"/>
          <w:highlight w:val="none"/>
          <w:lang w:eastAsia="zh-CN"/>
        </w:rPr>
        <w:t>5.不采取不正当手段诋毁、排挤其他投标人。</w:t>
      </w:r>
    </w:p>
    <w:p w14:paraId="7AF4DE01">
      <w:pPr>
        <w:widowControl/>
        <w:kinsoku/>
        <w:autoSpaceDE/>
        <w:autoSpaceDN/>
        <w:adjustRightInd/>
        <w:snapToGrid/>
        <w:spacing w:line="360" w:lineRule="auto"/>
        <w:ind w:firstLine="440" w:firstLineChars="200"/>
        <w:jc w:val="both"/>
        <w:textAlignment w:val="auto"/>
        <w:rPr>
          <w:rFonts w:hint="eastAsia" w:ascii="仿宋" w:hAnsi="仿宋" w:eastAsia="仿宋" w:cs="仿宋"/>
          <w:snapToGrid/>
          <w:color w:val="auto"/>
          <w:kern w:val="2"/>
          <w:sz w:val="22"/>
          <w:szCs w:val="22"/>
          <w:highlight w:val="none"/>
          <w:lang w:eastAsia="zh-CN"/>
        </w:rPr>
      </w:pPr>
      <w:r>
        <w:rPr>
          <w:rFonts w:hint="eastAsia" w:ascii="仿宋" w:hAnsi="仿宋" w:eastAsia="仿宋" w:cs="仿宋"/>
          <w:snapToGrid/>
          <w:color w:val="auto"/>
          <w:kern w:val="2"/>
          <w:sz w:val="22"/>
          <w:szCs w:val="22"/>
          <w:highlight w:val="none"/>
          <w:lang w:eastAsia="zh-CN"/>
        </w:rPr>
        <w:t>6.不在提供商品和服务时“偷梁换柱、以次充好”损害采购人的合法权益。</w:t>
      </w:r>
    </w:p>
    <w:p w14:paraId="1AFE2F7B">
      <w:pPr>
        <w:widowControl/>
        <w:kinsoku/>
        <w:autoSpaceDE/>
        <w:autoSpaceDN/>
        <w:adjustRightInd/>
        <w:snapToGrid/>
        <w:spacing w:line="360" w:lineRule="auto"/>
        <w:ind w:firstLine="440" w:firstLineChars="200"/>
        <w:jc w:val="both"/>
        <w:textAlignment w:val="auto"/>
        <w:rPr>
          <w:rFonts w:hint="eastAsia" w:ascii="仿宋" w:hAnsi="仿宋" w:eastAsia="仿宋" w:cs="仿宋"/>
          <w:snapToGrid/>
          <w:color w:val="auto"/>
          <w:kern w:val="2"/>
          <w:sz w:val="22"/>
          <w:szCs w:val="22"/>
          <w:highlight w:val="none"/>
          <w:lang w:eastAsia="zh-CN"/>
        </w:rPr>
      </w:pPr>
      <w:r>
        <w:rPr>
          <w:rFonts w:hint="eastAsia" w:ascii="仿宋" w:hAnsi="仿宋" w:eastAsia="仿宋" w:cs="仿宋"/>
          <w:snapToGrid/>
          <w:color w:val="auto"/>
          <w:kern w:val="2"/>
          <w:sz w:val="22"/>
          <w:szCs w:val="22"/>
          <w:highlight w:val="none"/>
          <w:lang w:eastAsia="zh-CN"/>
        </w:rPr>
        <w:t>7.不与采购人、招标代理机构政府采购评审专家或其它投标人恶意串通，进行质疑和投诉，维护政府采购市场秩序。</w:t>
      </w:r>
    </w:p>
    <w:p w14:paraId="57A087D8">
      <w:pPr>
        <w:widowControl/>
        <w:kinsoku/>
        <w:autoSpaceDE/>
        <w:autoSpaceDN/>
        <w:adjustRightInd/>
        <w:snapToGrid/>
        <w:spacing w:line="360" w:lineRule="auto"/>
        <w:ind w:firstLine="440" w:firstLineChars="200"/>
        <w:jc w:val="both"/>
        <w:textAlignment w:val="auto"/>
        <w:rPr>
          <w:rFonts w:hint="eastAsia" w:ascii="仿宋" w:hAnsi="仿宋" w:eastAsia="仿宋" w:cs="仿宋"/>
          <w:snapToGrid/>
          <w:color w:val="auto"/>
          <w:kern w:val="2"/>
          <w:sz w:val="22"/>
          <w:szCs w:val="22"/>
          <w:highlight w:val="none"/>
          <w:lang w:eastAsia="zh-CN"/>
        </w:rPr>
      </w:pPr>
      <w:r>
        <w:rPr>
          <w:rFonts w:hint="eastAsia" w:ascii="仿宋" w:hAnsi="仿宋" w:eastAsia="仿宋" w:cs="仿宋"/>
          <w:snapToGrid/>
          <w:color w:val="auto"/>
          <w:kern w:val="2"/>
          <w:sz w:val="22"/>
          <w:szCs w:val="22"/>
          <w:highlight w:val="none"/>
          <w:lang w:eastAsia="zh-CN"/>
        </w:rPr>
        <w:t>8.尊重和接受政府采购监督管理部门的监督和政府招标代理机构招标采购要求，承担因违约行为给采购人造成的损失。</w:t>
      </w:r>
    </w:p>
    <w:p w14:paraId="24CFD808">
      <w:pPr>
        <w:widowControl/>
        <w:kinsoku/>
        <w:autoSpaceDE/>
        <w:autoSpaceDN/>
        <w:adjustRightInd/>
        <w:snapToGrid/>
        <w:spacing w:line="360" w:lineRule="auto"/>
        <w:ind w:firstLine="440" w:firstLineChars="200"/>
        <w:jc w:val="both"/>
        <w:textAlignment w:val="auto"/>
        <w:rPr>
          <w:rFonts w:hint="eastAsia" w:ascii="仿宋" w:hAnsi="仿宋" w:eastAsia="仿宋" w:cs="仿宋"/>
          <w:snapToGrid/>
          <w:color w:val="auto"/>
          <w:kern w:val="2"/>
          <w:sz w:val="22"/>
          <w:szCs w:val="22"/>
          <w:highlight w:val="none"/>
          <w:lang w:eastAsia="zh-CN"/>
        </w:rPr>
      </w:pPr>
      <w:r>
        <w:rPr>
          <w:rFonts w:hint="eastAsia" w:ascii="仿宋" w:hAnsi="仿宋" w:eastAsia="仿宋" w:cs="仿宋"/>
          <w:snapToGrid/>
          <w:color w:val="auto"/>
          <w:kern w:val="2"/>
          <w:sz w:val="22"/>
          <w:szCs w:val="22"/>
          <w:highlight w:val="none"/>
          <w:lang w:eastAsia="zh-CN"/>
        </w:rPr>
        <w:t>9.不发生其他有悖于政府采购公开、公平、公正和诚信原则的行为。</w:t>
      </w:r>
      <w:r>
        <w:rPr>
          <w:rFonts w:hint="eastAsia" w:ascii="仿宋" w:hAnsi="仿宋" w:eastAsia="仿宋" w:cs="仿宋"/>
          <w:snapToGrid/>
          <w:color w:val="auto"/>
          <w:kern w:val="2"/>
          <w:sz w:val="22"/>
          <w:szCs w:val="22"/>
          <w:highlight w:val="none"/>
          <w:lang w:eastAsia="zh-CN"/>
        </w:rPr>
        <w:br w:type="textWrapping"/>
      </w:r>
    </w:p>
    <w:p w14:paraId="5D469BDF">
      <w:pPr>
        <w:keepNext w:val="0"/>
        <w:keepLines w:val="0"/>
        <w:pageBreakBefore w:val="0"/>
        <w:widowControl/>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仿宋" w:hAnsi="仿宋" w:eastAsia="仿宋" w:cs="仿宋"/>
          <w:snapToGrid/>
          <w:color w:val="auto"/>
          <w:kern w:val="2"/>
          <w:sz w:val="22"/>
          <w:szCs w:val="22"/>
          <w:highlight w:val="none"/>
          <w:u w:val="single"/>
          <w:lang w:val="en-US" w:eastAsia="zh-CN"/>
        </w:rPr>
      </w:pPr>
      <w:r>
        <w:rPr>
          <w:rFonts w:hint="eastAsia" w:ascii="仿宋" w:hAnsi="仿宋" w:eastAsia="仿宋" w:cs="仿宋"/>
          <w:snapToGrid/>
          <w:color w:val="auto"/>
          <w:kern w:val="2"/>
          <w:sz w:val="22"/>
          <w:szCs w:val="22"/>
          <w:highlight w:val="none"/>
          <w:lang w:eastAsia="zh-CN"/>
        </w:rPr>
        <w:t>承诺单位（公章）：</w:t>
      </w:r>
      <w:r>
        <w:rPr>
          <w:rFonts w:hint="eastAsia" w:ascii="仿宋" w:hAnsi="仿宋" w:eastAsia="仿宋" w:cs="仿宋"/>
          <w:snapToGrid/>
          <w:color w:val="auto"/>
          <w:kern w:val="2"/>
          <w:sz w:val="22"/>
          <w:szCs w:val="22"/>
          <w:highlight w:val="none"/>
          <w:u w:val="single"/>
          <w:lang w:val="en-US" w:eastAsia="zh-CN"/>
        </w:rPr>
        <w:t xml:space="preserve">                                </w:t>
      </w:r>
    </w:p>
    <w:p w14:paraId="5FC754EE">
      <w:pPr>
        <w:keepNext w:val="0"/>
        <w:keepLines w:val="0"/>
        <w:pageBreakBefore w:val="0"/>
        <w:widowControl/>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仿宋" w:hAnsi="仿宋" w:eastAsia="仿宋" w:cs="仿宋"/>
          <w:snapToGrid/>
          <w:color w:val="auto"/>
          <w:kern w:val="2"/>
          <w:sz w:val="22"/>
          <w:szCs w:val="22"/>
          <w:highlight w:val="none"/>
          <w:lang w:val="en-US" w:eastAsia="zh-CN"/>
        </w:rPr>
      </w:pPr>
      <w:r>
        <w:rPr>
          <w:rFonts w:hint="eastAsia" w:ascii="仿宋" w:hAnsi="仿宋" w:eastAsia="仿宋" w:cs="仿宋"/>
          <w:snapToGrid/>
          <w:kern w:val="2"/>
          <w:sz w:val="22"/>
          <w:szCs w:val="22"/>
          <w:highlight w:val="none"/>
          <w:lang w:eastAsia="zh-CN"/>
        </w:rPr>
        <w:t>法定代表人/被授权人</w:t>
      </w:r>
      <w:r>
        <w:rPr>
          <w:rFonts w:hint="eastAsia" w:ascii="仿宋" w:hAnsi="仿宋" w:eastAsia="仿宋" w:cs="仿宋"/>
          <w:snapToGrid/>
          <w:color w:val="auto"/>
          <w:kern w:val="2"/>
          <w:sz w:val="22"/>
          <w:szCs w:val="22"/>
          <w:highlight w:val="none"/>
          <w:lang w:eastAsia="zh-CN"/>
        </w:rPr>
        <w:t>（签字或盖章）：</w:t>
      </w:r>
      <w:r>
        <w:rPr>
          <w:rFonts w:hint="eastAsia" w:ascii="仿宋" w:hAnsi="仿宋" w:eastAsia="仿宋" w:cs="仿宋"/>
          <w:snapToGrid/>
          <w:color w:val="auto"/>
          <w:kern w:val="2"/>
          <w:sz w:val="22"/>
          <w:szCs w:val="22"/>
          <w:highlight w:val="none"/>
          <w:u w:val="single"/>
          <w:lang w:val="en-US" w:eastAsia="zh-CN"/>
        </w:rPr>
        <w:t xml:space="preserve">               </w:t>
      </w:r>
      <w:r>
        <w:rPr>
          <w:rFonts w:hint="eastAsia" w:ascii="仿宋" w:hAnsi="仿宋" w:eastAsia="仿宋" w:cs="仿宋"/>
          <w:snapToGrid/>
          <w:color w:val="auto"/>
          <w:kern w:val="2"/>
          <w:sz w:val="22"/>
          <w:szCs w:val="22"/>
          <w:highlight w:val="none"/>
          <w:lang w:val="en-US" w:eastAsia="zh-CN"/>
        </w:rPr>
        <w:t xml:space="preserve"> </w:t>
      </w:r>
    </w:p>
    <w:p w14:paraId="7AFE37C9">
      <w:pPr>
        <w:keepNext w:val="0"/>
        <w:keepLines w:val="0"/>
        <w:pageBreakBefore w:val="0"/>
        <w:widowControl/>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仿宋" w:hAnsi="仿宋" w:eastAsia="仿宋" w:cs="仿宋"/>
          <w:snapToGrid/>
          <w:color w:val="auto"/>
          <w:kern w:val="2"/>
          <w:sz w:val="22"/>
          <w:szCs w:val="22"/>
          <w:highlight w:val="none"/>
          <w:lang w:eastAsia="zh-CN"/>
        </w:rPr>
      </w:pPr>
      <w:r>
        <w:rPr>
          <w:rFonts w:hint="eastAsia" w:ascii="仿宋" w:hAnsi="仿宋" w:eastAsia="仿宋" w:cs="仿宋"/>
          <w:snapToGrid/>
          <w:color w:val="auto"/>
          <w:kern w:val="2"/>
          <w:sz w:val="22"/>
          <w:szCs w:val="22"/>
          <w:highlight w:val="none"/>
          <w:lang w:eastAsia="zh-CN"/>
        </w:rPr>
        <w:t>地    址：</w:t>
      </w:r>
      <w:r>
        <w:rPr>
          <w:rFonts w:hint="eastAsia" w:ascii="仿宋" w:hAnsi="仿宋" w:eastAsia="仿宋" w:cs="仿宋"/>
          <w:snapToGrid/>
          <w:color w:val="auto"/>
          <w:kern w:val="2"/>
          <w:sz w:val="22"/>
          <w:szCs w:val="22"/>
          <w:highlight w:val="none"/>
          <w:u w:val="single"/>
          <w:lang w:val="en-US" w:eastAsia="zh-CN"/>
        </w:rPr>
        <w:t xml:space="preserve">                                        </w:t>
      </w:r>
      <w:r>
        <w:rPr>
          <w:rFonts w:hint="eastAsia" w:ascii="仿宋" w:hAnsi="仿宋" w:eastAsia="仿宋" w:cs="仿宋"/>
          <w:snapToGrid/>
          <w:color w:val="auto"/>
          <w:kern w:val="2"/>
          <w:sz w:val="22"/>
          <w:szCs w:val="22"/>
          <w:highlight w:val="none"/>
          <w:lang w:eastAsia="zh-CN"/>
        </w:rPr>
        <w:t xml:space="preserve">        </w:t>
      </w:r>
    </w:p>
    <w:p w14:paraId="54A5A082">
      <w:pPr>
        <w:keepNext w:val="0"/>
        <w:keepLines w:val="0"/>
        <w:pageBreakBefore w:val="0"/>
        <w:widowControl/>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仿宋" w:hAnsi="仿宋" w:eastAsia="仿宋" w:cs="仿宋"/>
          <w:snapToGrid/>
          <w:color w:val="auto"/>
          <w:kern w:val="2"/>
          <w:sz w:val="22"/>
          <w:szCs w:val="22"/>
          <w:highlight w:val="none"/>
          <w:lang w:eastAsia="zh-CN"/>
        </w:rPr>
      </w:pPr>
      <w:r>
        <w:rPr>
          <w:rFonts w:hint="eastAsia" w:ascii="仿宋" w:hAnsi="仿宋" w:eastAsia="仿宋" w:cs="仿宋"/>
          <w:snapToGrid/>
          <w:color w:val="auto"/>
          <w:kern w:val="2"/>
          <w:sz w:val="22"/>
          <w:szCs w:val="22"/>
          <w:highlight w:val="none"/>
          <w:lang w:eastAsia="zh-CN"/>
        </w:rPr>
        <w:t>邮    编：</w:t>
      </w:r>
      <w:r>
        <w:rPr>
          <w:rFonts w:hint="eastAsia" w:ascii="仿宋" w:hAnsi="仿宋" w:eastAsia="仿宋" w:cs="仿宋"/>
          <w:snapToGrid/>
          <w:color w:val="auto"/>
          <w:kern w:val="2"/>
          <w:sz w:val="22"/>
          <w:szCs w:val="22"/>
          <w:highlight w:val="none"/>
          <w:u w:val="single"/>
          <w:lang w:val="en-US" w:eastAsia="zh-CN"/>
        </w:rPr>
        <w:t xml:space="preserve">                                        </w:t>
      </w:r>
      <w:r>
        <w:rPr>
          <w:rFonts w:hint="eastAsia" w:ascii="仿宋" w:hAnsi="仿宋" w:eastAsia="仿宋" w:cs="仿宋"/>
          <w:snapToGrid/>
          <w:color w:val="auto"/>
          <w:kern w:val="2"/>
          <w:sz w:val="22"/>
          <w:szCs w:val="22"/>
          <w:highlight w:val="none"/>
          <w:lang w:eastAsia="zh-CN"/>
        </w:rPr>
        <w:t xml:space="preserve"> </w:t>
      </w:r>
    </w:p>
    <w:p w14:paraId="065E8A6E">
      <w:pPr>
        <w:keepNext w:val="0"/>
        <w:keepLines w:val="0"/>
        <w:pageBreakBefore w:val="0"/>
        <w:widowControl/>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仿宋" w:hAnsi="仿宋" w:eastAsia="仿宋" w:cs="仿宋"/>
          <w:snapToGrid/>
          <w:color w:val="auto"/>
          <w:kern w:val="2"/>
          <w:sz w:val="22"/>
          <w:szCs w:val="22"/>
          <w:highlight w:val="none"/>
          <w:lang w:eastAsia="zh-CN"/>
        </w:rPr>
      </w:pPr>
      <w:r>
        <w:rPr>
          <w:rFonts w:hint="eastAsia" w:ascii="仿宋" w:hAnsi="仿宋" w:eastAsia="仿宋" w:cs="仿宋"/>
          <w:snapToGrid/>
          <w:color w:val="auto"/>
          <w:kern w:val="2"/>
          <w:sz w:val="22"/>
          <w:szCs w:val="22"/>
          <w:highlight w:val="none"/>
          <w:lang w:eastAsia="zh-CN"/>
        </w:rPr>
        <w:t>电    话：</w:t>
      </w:r>
      <w:r>
        <w:rPr>
          <w:rFonts w:hint="eastAsia" w:ascii="仿宋" w:hAnsi="仿宋" w:eastAsia="仿宋" w:cs="仿宋"/>
          <w:snapToGrid/>
          <w:color w:val="auto"/>
          <w:kern w:val="2"/>
          <w:sz w:val="22"/>
          <w:szCs w:val="22"/>
          <w:highlight w:val="none"/>
          <w:u w:val="single"/>
          <w:lang w:val="en-US" w:eastAsia="zh-CN"/>
        </w:rPr>
        <w:t xml:space="preserve">                                        </w:t>
      </w:r>
      <w:r>
        <w:rPr>
          <w:rFonts w:hint="eastAsia" w:ascii="仿宋" w:hAnsi="仿宋" w:eastAsia="仿宋" w:cs="仿宋"/>
          <w:snapToGrid/>
          <w:color w:val="auto"/>
          <w:kern w:val="2"/>
          <w:sz w:val="22"/>
          <w:szCs w:val="22"/>
          <w:highlight w:val="none"/>
          <w:lang w:eastAsia="zh-CN"/>
        </w:rPr>
        <w:t xml:space="preserve">                    </w:t>
      </w:r>
    </w:p>
    <w:p w14:paraId="3CE7DCC8">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napToGrid/>
          <w:color w:val="auto"/>
          <w:kern w:val="2"/>
          <w:sz w:val="22"/>
          <w:szCs w:val="22"/>
          <w:highlight w:val="none"/>
          <w:lang w:eastAsia="zh-CN"/>
        </w:rPr>
      </w:pPr>
      <w:r>
        <w:rPr>
          <w:rFonts w:hint="eastAsia" w:ascii="仿宋" w:hAnsi="仿宋" w:eastAsia="仿宋" w:cs="仿宋"/>
          <w:snapToGrid/>
          <w:color w:val="auto"/>
          <w:kern w:val="2"/>
          <w:sz w:val="22"/>
          <w:szCs w:val="22"/>
          <w:highlight w:val="none"/>
          <w:lang w:eastAsia="zh-CN"/>
        </w:rPr>
        <w:t>日    期：</w:t>
      </w:r>
      <w:r>
        <w:rPr>
          <w:rFonts w:hint="eastAsia" w:ascii="仿宋" w:hAnsi="仿宋" w:eastAsia="仿宋" w:cs="仿宋"/>
          <w:snapToGrid/>
          <w:color w:val="auto"/>
          <w:kern w:val="2"/>
          <w:sz w:val="22"/>
          <w:szCs w:val="22"/>
          <w:highlight w:val="none"/>
          <w:u w:val="single"/>
          <w:lang w:val="en-US" w:eastAsia="zh-CN"/>
        </w:rPr>
        <w:t xml:space="preserve">                                        </w:t>
      </w:r>
    </w:p>
    <w:p w14:paraId="44B724BD">
      <w:pPr>
        <w:widowControl w:val="0"/>
        <w:kinsoku/>
        <w:autoSpaceDE/>
        <w:autoSpaceDN/>
        <w:adjustRightInd/>
        <w:snapToGrid/>
        <w:spacing w:line="360" w:lineRule="auto"/>
        <w:ind w:left="0" w:leftChars="0" w:firstLine="0" w:firstLineChars="0"/>
        <w:jc w:val="both"/>
        <w:textAlignment w:val="auto"/>
        <w:rPr>
          <w:rFonts w:hint="eastAsia" w:ascii="仿宋" w:hAnsi="仿宋" w:eastAsia="仿宋" w:cs="仿宋"/>
          <w:snapToGrid/>
          <w:kern w:val="2"/>
          <w:sz w:val="22"/>
          <w:szCs w:val="22"/>
          <w:highlight w:val="none"/>
          <w:lang w:eastAsia="zh-CN"/>
        </w:rPr>
      </w:pPr>
    </w:p>
    <w:p w14:paraId="6478F947">
      <w:pPr>
        <w:spacing w:line="360" w:lineRule="auto"/>
        <w:ind w:left="0" w:leftChars="0" w:firstLine="0" w:firstLineChars="0"/>
        <w:rPr>
          <w:rFonts w:hint="eastAsia" w:ascii="仿宋" w:hAnsi="仿宋" w:eastAsia="仿宋" w:cs="仿宋"/>
          <w:sz w:val="22"/>
          <w:szCs w:val="22"/>
          <w:highlight w:val="none"/>
          <w:lang w:val="en-US" w:eastAsia="zh-CN"/>
        </w:rPr>
        <w:sectPr>
          <w:pgSz w:w="11905" w:h="16838"/>
          <w:pgMar w:top="1417" w:right="1417" w:bottom="1417" w:left="1417" w:header="850" w:footer="1134" w:gutter="0"/>
          <w:cols w:space="0" w:num="1"/>
          <w:rtlGutter w:val="0"/>
          <w:docGrid w:linePitch="0" w:charSpace="0"/>
        </w:sectPr>
      </w:pPr>
    </w:p>
    <w:p w14:paraId="37F33FFA">
      <w:pPr>
        <w:pStyle w:val="5"/>
        <w:kinsoku/>
        <w:autoSpaceDE/>
        <w:autoSpaceDN/>
        <w:adjustRightInd/>
        <w:snapToGrid/>
        <w:spacing w:line="360" w:lineRule="auto"/>
        <w:textAlignment w:val="auto"/>
        <w:rPr>
          <w:rFonts w:hint="eastAsia" w:ascii="仿宋" w:hAnsi="仿宋" w:eastAsia="仿宋" w:cs="仿宋"/>
          <w:b/>
          <w:snapToGrid/>
          <w:color w:val="auto"/>
          <w:sz w:val="24"/>
          <w:szCs w:val="24"/>
          <w:highlight w:val="none"/>
          <w:lang w:val="en-US" w:eastAsia="zh-CN"/>
        </w:rPr>
      </w:pPr>
      <w:r>
        <w:rPr>
          <w:rFonts w:hint="eastAsia" w:ascii="仿宋" w:hAnsi="仿宋" w:eastAsia="仿宋" w:cs="仿宋"/>
          <w:b/>
          <w:snapToGrid/>
          <w:color w:val="auto"/>
          <w:sz w:val="24"/>
          <w:szCs w:val="24"/>
          <w:highlight w:val="none"/>
          <w:lang w:val="en-US" w:eastAsia="zh-CN"/>
        </w:rPr>
        <w:t>附件：</w:t>
      </w:r>
    </w:p>
    <w:p w14:paraId="27503E5A">
      <w:pPr>
        <w:widowControl w:val="0"/>
        <w:kinsoku/>
        <w:autoSpaceDE/>
        <w:autoSpaceDN/>
        <w:adjustRightInd/>
        <w:snapToGrid/>
        <w:spacing w:line="480" w:lineRule="auto"/>
        <w:jc w:val="center"/>
        <w:textAlignment w:val="auto"/>
        <w:outlineLvl w:val="0"/>
        <w:rPr>
          <w:rFonts w:hint="eastAsia" w:ascii="仿宋" w:hAnsi="仿宋" w:eastAsia="仿宋" w:cs="仿宋"/>
          <w:b/>
          <w:bCs/>
          <w:snapToGrid/>
          <w:color w:val="auto"/>
          <w:kern w:val="0"/>
          <w:sz w:val="24"/>
          <w:szCs w:val="24"/>
          <w:highlight w:val="none"/>
          <w:lang w:val="en-US" w:eastAsia="zh-CN"/>
        </w:rPr>
      </w:pPr>
      <w:r>
        <w:rPr>
          <w:rFonts w:hint="eastAsia" w:ascii="仿宋" w:hAnsi="仿宋" w:eastAsia="仿宋" w:cs="仿宋"/>
          <w:b/>
          <w:bCs/>
          <w:snapToGrid/>
          <w:color w:val="auto"/>
          <w:kern w:val="0"/>
          <w:sz w:val="24"/>
          <w:szCs w:val="24"/>
          <w:highlight w:val="none"/>
          <w:lang w:val="en-US" w:eastAsia="zh-CN"/>
        </w:rPr>
        <w:t>不参与投标告知函</w:t>
      </w:r>
      <w:bookmarkEnd w:id="2"/>
    </w:p>
    <w:p w14:paraId="21BAD355">
      <w:pPr>
        <w:pStyle w:val="8"/>
        <w:kinsoku/>
        <w:autoSpaceDE/>
        <w:autoSpaceDN/>
        <w:adjustRightInd/>
        <w:snapToGrid/>
        <w:spacing w:line="360" w:lineRule="auto"/>
        <w:ind w:firstLine="422"/>
        <w:textAlignment w:val="auto"/>
        <w:rPr>
          <w:rFonts w:hint="eastAsia" w:ascii="仿宋" w:hAnsi="仿宋" w:eastAsia="仿宋" w:cs="仿宋"/>
          <w:snapToGrid/>
          <w:color w:val="auto"/>
          <w:sz w:val="24"/>
          <w:szCs w:val="24"/>
          <w:highlight w:val="none"/>
        </w:rPr>
      </w:pPr>
      <w:r>
        <w:rPr>
          <w:rFonts w:hint="eastAsia" w:ascii="仿宋" w:hAnsi="仿宋" w:eastAsia="仿宋" w:cs="仿宋"/>
          <w:snapToGrid/>
          <w:color w:val="auto"/>
          <w:sz w:val="24"/>
          <w:szCs w:val="24"/>
          <w:highlight w:val="none"/>
        </w:rPr>
        <w:fldChar w:fldCharType="begin"/>
      </w:r>
      <w:r>
        <w:rPr>
          <w:rFonts w:hint="eastAsia" w:ascii="仿宋" w:hAnsi="仿宋" w:eastAsia="仿宋" w:cs="仿宋"/>
          <w:snapToGrid/>
          <w:color w:val="auto"/>
          <w:sz w:val="24"/>
          <w:szCs w:val="24"/>
          <w:highlight w:val="none"/>
        </w:rPr>
        <w:instrText xml:space="preserve"> HYPERLINK "mailto:根据西咸新区财政局《关于促进政府采购公平竞争优化营商环境的通知》要求。投标人若不参与项目投标，应在递交投标文件截止前一日以书面形式（格式如下，签字盖章后发回代理机构1041875994@qq.com邮箱即可）告知采购代理机构。否则，采购代理机构可以向财政部门反映情况并提供相应的佐证。投标人一年内出现累计三次该情形，将被监管部门记录为失信行为。" </w:instrText>
      </w:r>
      <w:r>
        <w:rPr>
          <w:rFonts w:hint="eastAsia" w:ascii="仿宋" w:hAnsi="仿宋" w:eastAsia="仿宋" w:cs="仿宋"/>
          <w:snapToGrid/>
          <w:color w:val="auto"/>
          <w:sz w:val="24"/>
          <w:szCs w:val="24"/>
          <w:highlight w:val="none"/>
        </w:rPr>
        <w:fldChar w:fldCharType="separate"/>
      </w:r>
      <w:r>
        <w:rPr>
          <w:rFonts w:hint="eastAsia" w:ascii="仿宋" w:hAnsi="仿宋" w:eastAsia="仿宋" w:cs="仿宋"/>
          <w:snapToGrid/>
          <w:color w:val="auto"/>
          <w:sz w:val="24"/>
          <w:szCs w:val="24"/>
          <w:highlight w:val="none"/>
        </w:rPr>
        <w:t>根据《关于促进政府采购公平竞争优化营商环境的通知》要求。</w:t>
      </w:r>
      <w:r>
        <w:rPr>
          <w:rFonts w:hint="eastAsia" w:ascii="仿宋" w:hAnsi="仿宋" w:eastAsia="仿宋" w:cs="仿宋"/>
          <w:snapToGrid/>
          <w:color w:val="auto"/>
          <w:sz w:val="24"/>
          <w:szCs w:val="24"/>
          <w:highlight w:val="none"/>
          <w:lang w:eastAsia="zh-CN"/>
        </w:rPr>
        <w:t>供应商</w:t>
      </w:r>
      <w:r>
        <w:rPr>
          <w:rFonts w:hint="eastAsia" w:ascii="仿宋" w:hAnsi="仿宋" w:eastAsia="仿宋" w:cs="仿宋"/>
          <w:snapToGrid/>
          <w:color w:val="auto"/>
          <w:sz w:val="24"/>
          <w:szCs w:val="24"/>
          <w:highlight w:val="none"/>
        </w:rPr>
        <w:t>登记获取</w:t>
      </w:r>
      <w:r>
        <w:rPr>
          <w:rFonts w:hint="eastAsia" w:ascii="仿宋" w:hAnsi="仿宋" w:eastAsia="仿宋" w:cs="仿宋"/>
          <w:snapToGrid/>
          <w:color w:val="auto"/>
          <w:sz w:val="24"/>
          <w:szCs w:val="24"/>
          <w:highlight w:val="none"/>
          <w:lang w:val="en-US" w:eastAsia="zh-CN"/>
        </w:rPr>
        <w:t>采购文件</w:t>
      </w:r>
      <w:r>
        <w:rPr>
          <w:rFonts w:hint="eastAsia" w:ascii="仿宋" w:hAnsi="仿宋" w:eastAsia="仿宋" w:cs="仿宋"/>
          <w:snapToGrid/>
          <w:color w:val="auto"/>
          <w:sz w:val="24"/>
          <w:szCs w:val="24"/>
          <w:highlight w:val="none"/>
        </w:rPr>
        <w:t>后，如不参与本项目投标，须在递交</w:t>
      </w:r>
      <w:r>
        <w:rPr>
          <w:rFonts w:hint="eastAsia" w:ascii="仿宋" w:hAnsi="仿宋" w:eastAsia="仿宋" w:cs="仿宋"/>
          <w:snapToGrid/>
          <w:color w:val="auto"/>
          <w:sz w:val="24"/>
          <w:szCs w:val="24"/>
          <w:highlight w:val="none"/>
          <w:lang w:val="en-US" w:eastAsia="zh-CN"/>
        </w:rPr>
        <w:t>磋商</w:t>
      </w:r>
      <w:r>
        <w:rPr>
          <w:rFonts w:hint="eastAsia" w:ascii="仿宋" w:hAnsi="仿宋" w:eastAsia="仿宋" w:cs="仿宋"/>
          <w:snapToGrid/>
          <w:color w:val="auto"/>
          <w:sz w:val="24"/>
          <w:szCs w:val="24"/>
          <w:highlight w:val="none"/>
        </w:rPr>
        <w:t>响应截止时间前一工作日以书面形式告知采购代理机构。否则，采购代理机构可以向财政部门反映情况并提供相应的佐证。</w:t>
      </w:r>
      <w:r>
        <w:rPr>
          <w:rFonts w:hint="eastAsia" w:ascii="仿宋" w:hAnsi="仿宋" w:eastAsia="仿宋" w:cs="仿宋"/>
          <w:snapToGrid/>
          <w:color w:val="auto"/>
          <w:sz w:val="24"/>
          <w:szCs w:val="24"/>
          <w:highlight w:val="none"/>
          <w:lang w:eastAsia="zh-CN"/>
        </w:rPr>
        <w:t>供应商</w:t>
      </w:r>
      <w:r>
        <w:rPr>
          <w:rFonts w:hint="eastAsia" w:ascii="仿宋" w:hAnsi="仿宋" w:eastAsia="仿宋" w:cs="仿宋"/>
          <w:snapToGrid/>
          <w:color w:val="auto"/>
          <w:sz w:val="24"/>
          <w:szCs w:val="24"/>
          <w:highlight w:val="none"/>
        </w:rPr>
        <w:t>一年内累计出现三次该情形，将被监管部门记录为失信行为。</w:t>
      </w:r>
      <w:r>
        <w:rPr>
          <w:rFonts w:hint="eastAsia" w:ascii="仿宋" w:hAnsi="仿宋" w:eastAsia="仿宋" w:cs="仿宋"/>
          <w:snapToGrid/>
          <w:color w:val="auto"/>
          <w:sz w:val="24"/>
          <w:szCs w:val="24"/>
          <w:highlight w:val="none"/>
        </w:rPr>
        <w:fldChar w:fldCharType="end"/>
      </w:r>
    </w:p>
    <w:p w14:paraId="0168DBC3">
      <w:pPr>
        <w:pStyle w:val="8"/>
        <w:kinsoku/>
        <w:autoSpaceDE/>
        <w:autoSpaceDN/>
        <w:adjustRightInd/>
        <w:snapToGrid/>
        <w:spacing w:line="240" w:lineRule="auto"/>
        <w:ind w:left="0" w:leftChars="0" w:firstLine="0" w:firstLineChars="0"/>
        <w:jc w:val="both"/>
        <w:textAlignment w:val="auto"/>
        <w:rPr>
          <w:rFonts w:hint="eastAsia" w:ascii="仿宋" w:hAnsi="仿宋" w:eastAsia="仿宋" w:cs="仿宋"/>
          <w:b/>
          <w:snapToGrid/>
          <w:color w:val="auto"/>
          <w:sz w:val="24"/>
          <w:szCs w:val="24"/>
          <w:highlight w:val="none"/>
        </w:rPr>
      </w:pPr>
    </w:p>
    <w:p w14:paraId="5E68CBE9">
      <w:pPr>
        <w:widowControl w:val="0"/>
        <w:kinsoku/>
        <w:autoSpaceDE/>
        <w:autoSpaceDN/>
        <w:adjustRightInd/>
        <w:snapToGrid/>
        <w:spacing w:line="360" w:lineRule="auto"/>
        <w:jc w:val="center"/>
        <w:textAlignment w:val="auto"/>
        <w:outlineLvl w:val="0"/>
        <w:rPr>
          <w:rFonts w:hint="eastAsia" w:ascii="仿宋" w:hAnsi="仿宋" w:eastAsia="仿宋" w:cs="仿宋"/>
          <w:b w:val="0"/>
          <w:bCs w:val="0"/>
          <w:snapToGrid/>
          <w:color w:val="auto"/>
          <w:kern w:val="0"/>
          <w:sz w:val="24"/>
          <w:szCs w:val="24"/>
          <w:highlight w:val="none"/>
          <w:lang w:val="en-US" w:eastAsia="zh-CN"/>
        </w:rPr>
      </w:pPr>
      <w:r>
        <w:rPr>
          <w:rFonts w:hint="eastAsia" w:ascii="仿宋" w:hAnsi="仿宋" w:eastAsia="仿宋" w:cs="仿宋"/>
          <w:b w:val="0"/>
          <w:bCs w:val="0"/>
          <w:snapToGrid/>
          <w:color w:val="auto"/>
          <w:kern w:val="0"/>
          <w:sz w:val="24"/>
          <w:szCs w:val="24"/>
          <w:highlight w:val="none"/>
          <w:lang w:val="en-US" w:eastAsia="zh-CN"/>
        </w:rPr>
        <w:t>不参与投标告知函</w:t>
      </w:r>
    </w:p>
    <w:p w14:paraId="2B37AE41">
      <w:pPr>
        <w:pStyle w:val="2"/>
        <w:rPr>
          <w:rFonts w:hint="eastAsia"/>
          <w:lang w:val="en-US" w:eastAsia="zh-CN"/>
        </w:rPr>
      </w:pPr>
      <w:r>
        <w:rPr>
          <w:rFonts w:hint="eastAsia" w:ascii="仿宋" w:hAnsi="仿宋" w:eastAsia="仿宋" w:cs="仿宋"/>
          <w:b w:val="0"/>
          <w:bCs w:val="0"/>
          <w:snapToGrid/>
          <w:color w:val="auto"/>
          <w:kern w:val="2"/>
          <w:sz w:val="24"/>
          <w:szCs w:val="24"/>
          <w:highlight w:val="none"/>
          <w:lang w:val="en-US" w:eastAsia="zh-CN" w:bidi="ar-SA"/>
        </w:rPr>
        <w:t>纳百川项目管理咨询有限公司：</w:t>
      </w:r>
    </w:p>
    <w:p w14:paraId="7D930606">
      <w:pPr>
        <w:pStyle w:val="8"/>
        <w:keepNext w:val="0"/>
        <w:keepLines w:val="0"/>
        <w:pageBreakBefore w:val="0"/>
        <w:widowControl w:val="0"/>
        <w:kinsoku/>
        <w:wordWrap/>
        <w:overflowPunct/>
        <w:topLinePunct w:val="0"/>
        <w:autoSpaceDE/>
        <w:autoSpaceDN/>
        <w:bidi w:val="0"/>
        <w:adjustRightInd/>
        <w:snapToGrid/>
        <w:spacing w:line="360" w:lineRule="auto"/>
        <w:ind w:firstLine="422"/>
        <w:textAlignment w:val="auto"/>
        <w:rPr>
          <w:rFonts w:hint="eastAsia" w:ascii="仿宋" w:hAnsi="仿宋" w:eastAsia="仿宋" w:cs="仿宋"/>
          <w:b w:val="0"/>
          <w:bCs w:val="0"/>
          <w:snapToGrid/>
          <w:color w:val="auto"/>
          <w:sz w:val="24"/>
          <w:szCs w:val="24"/>
          <w:highlight w:val="none"/>
        </w:rPr>
      </w:pPr>
      <w:r>
        <w:rPr>
          <w:rFonts w:hint="eastAsia" w:ascii="仿宋" w:hAnsi="仿宋" w:eastAsia="仿宋" w:cs="仿宋"/>
          <w:b w:val="0"/>
          <w:bCs w:val="0"/>
          <w:snapToGrid/>
          <w:color w:val="auto"/>
          <w:sz w:val="24"/>
          <w:szCs w:val="24"/>
          <w:highlight w:val="none"/>
          <w:u w:val="none"/>
          <w:lang w:eastAsia="zh-CN"/>
        </w:rPr>
        <w:t>我单位</w:t>
      </w:r>
      <w:r>
        <w:rPr>
          <w:rFonts w:hint="eastAsia" w:ascii="仿宋" w:hAnsi="仿宋" w:eastAsia="仿宋" w:cs="仿宋"/>
          <w:b w:val="0"/>
          <w:bCs w:val="0"/>
          <w:snapToGrid/>
          <w:color w:val="auto"/>
          <w:sz w:val="24"/>
          <w:szCs w:val="24"/>
          <w:highlight w:val="none"/>
          <w:u w:val="single"/>
        </w:rPr>
        <w:t>（         单位</w:t>
      </w:r>
      <w:r>
        <w:rPr>
          <w:rFonts w:hint="eastAsia" w:ascii="仿宋" w:hAnsi="仿宋" w:eastAsia="仿宋" w:cs="仿宋"/>
          <w:b w:val="0"/>
          <w:bCs w:val="0"/>
          <w:snapToGrid/>
          <w:color w:val="auto"/>
          <w:sz w:val="24"/>
          <w:szCs w:val="24"/>
          <w:highlight w:val="none"/>
          <w:u w:val="single"/>
          <w:lang w:eastAsia="zh-CN"/>
        </w:rPr>
        <w:t>名称</w:t>
      </w:r>
      <w:r>
        <w:rPr>
          <w:rFonts w:hint="eastAsia" w:ascii="仿宋" w:hAnsi="仿宋" w:eastAsia="仿宋" w:cs="仿宋"/>
          <w:b w:val="0"/>
          <w:bCs w:val="0"/>
          <w:snapToGrid/>
          <w:color w:val="auto"/>
          <w:sz w:val="24"/>
          <w:szCs w:val="24"/>
          <w:highlight w:val="none"/>
          <w:u w:val="single"/>
        </w:rPr>
        <w:t xml:space="preserve">        ）</w:t>
      </w:r>
      <w:r>
        <w:rPr>
          <w:rFonts w:hint="eastAsia" w:ascii="仿宋" w:hAnsi="仿宋" w:eastAsia="仿宋" w:cs="仿宋"/>
          <w:b w:val="0"/>
          <w:bCs w:val="0"/>
          <w:snapToGrid/>
          <w:color w:val="auto"/>
          <w:sz w:val="24"/>
          <w:szCs w:val="24"/>
          <w:highlight w:val="none"/>
        </w:rPr>
        <w:t xml:space="preserve">于 </w:t>
      </w:r>
      <w:r>
        <w:rPr>
          <w:rFonts w:hint="eastAsia" w:ascii="仿宋" w:hAnsi="仿宋" w:eastAsia="仿宋" w:cs="仿宋"/>
          <w:b w:val="0"/>
          <w:bCs w:val="0"/>
          <w:snapToGrid/>
          <w:color w:val="auto"/>
          <w:sz w:val="24"/>
          <w:szCs w:val="24"/>
          <w:highlight w:val="none"/>
          <w:u w:val="single"/>
        </w:rPr>
        <w:t xml:space="preserve">     </w:t>
      </w:r>
      <w:r>
        <w:rPr>
          <w:rFonts w:hint="eastAsia" w:ascii="仿宋" w:hAnsi="仿宋" w:eastAsia="仿宋" w:cs="仿宋"/>
          <w:b w:val="0"/>
          <w:bCs w:val="0"/>
          <w:snapToGrid/>
          <w:color w:val="auto"/>
          <w:sz w:val="24"/>
          <w:szCs w:val="24"/>
          <w:highlight w:val="none"/>
          <w:u w:val="none"/>
        </w:rPr>
        <w:t>年</w:t>
      </w:r>
      <w:r>
        <w:rPr>
          <w:rFonts w:hint="eastAsia" w:ascii="仿宋" w:hAnsi="仿宋" w:eastAsia="仿宋" w:cs="仿宋"/>
          <w:b w:val="0"/>
          <w:bCs w:val="0"/>
          <w:snapToGrid/>
          <w:color w:val="auto"/>
          <w:sz w:val="24"/>
          <w:szCs w:val="24"/>
          <w:highlight w:val="none"/>
          <w:u w:val="single"/>
        </w:rPr>
        <w:t xml:space="preserve">     </w:t>
      </w:r>
      <w:r>
        <w:rPr>
          <w:rFonts w:hint="eastAsia" w:ascii="仿宋" w:hAnsi="仿宋" w:eastAsia="仿宋" w:cs="仿宋"/>
          <w:b w:val="0"/>
          <w:bCs w:val="0"/>
          <w:snapToGrid/>
          <w:color w:val="auto"/>
          <w:sz w:val="24"/>
          <w:szCs w:val="24"/>
          <w:highlight w:val="none"/>
          <w:u w:val="none"/>
        </w:rPr>
        <w:t>月</w:t>
      </w:r>
      <w:r>
        <w:rPr>
          <w:rFonts w:hint="eastAsia" w:ascii="仿宋" w:hAnsi="仿宋" w:eastAsia="仿宋" w:cs="仿宋"/>
          <w:b w:val="0"/>
          <w:bCs w:val="0"/>
          <w:snapToGrid/>
          <w:color w:val="auto"/>
          <w:sz w:val="24"/>
          <w:szCs w:val="24"/>
          <w:highlight w:val="none"/>
          <w:u w:val="single"/>
        </w:rPr>
        <w:t xml:space="preserve">    </w:t>
      </w:r>
      <w:r>
        <w:rPr>
          <w:rFonts w:hint="eastAsia" w:ascii="仿宋" w:hAnsi="仿宋" w:eastAsia="仿宋" w:cs="仿宋"/>
          <w:b w:val="0"/>
          <w:bCs w:val="0"/>
          <w:snapToGrid/>
          <w:color w:val="auto"/>
          <w:sz w:val="24"/>
          <w:szCs w:val="24"/>
          <w:highlight w:val="none"/>
          <w:u w:val="none"/>
        </w:rPr>
        <w:t xml:space="preserve"> 日</w:t>
      </w:r>
      <w:r>
        <w:rPr>
          <w:rFonts w:hint="eastAsia" w:ascii="仿宋" w:hAnsi="仿宋" w:eastAsia="仿宋" w:cs="仿宋"/>
          <w:b w:val="0"/>
          <w:bCs w:val="0"/>
          <w:snapToGrid/>
          <w:color w:val="auto"/>
          <w:sz w:val="24"/>
          <w:szCs w:val="24"/>
          <w:highlight w:val="none"/>
          <w:lang w:eastAsia="zh-CN"/>
        </w:rPr>
        <w:t>获取</w:t>
      </w:r>
      <w:bookmarkStart w:id="4" w:name="_GoBack"/>
      <w:bookmarkEnd w:id="4"/>
      <w:r>
        <w:rPr>
          <w:rFonts w:hint="eastAsia" w:ascii="仿宋" w:hAnsi="仿宋" w:eastAsia="仿宋" w:cs="仿宋"/>
          <w:b w:val="0"/>
          <w:bCs w:val="0"/>
          <w:snapToGrid/>
          <w:color w:val="auto"/>
          <w:sz w:val="24"/>
          <w:szCs w:val="24"/>
          <w:highlight w:val="none"/>
          <w:u w:val="single"/>
          <w:lang w:val="en-US" w:eastAsia="zh-CN"/>
        </w:rPr>
        <w:t>项目</w:t>
      </w:r>
      <w:r>
        <w:rPr>
          <w:rFonts w:hint="eastAsia" w:ascii="仿宋" w:hAnsi="仿宋" w:eastAsia="仿宋" w:cs="仿宋"/>
          <w:b w:val="0"/>
          <w:bCs w:val="0"/>
          <w:snapToGrid/>
          <w:color w:val="auto"/>
          <w:sz w:val="24"/>
          <w:szCs w:val="24"/>
          <w:highlight w:val="none"/>
          <w:u w:val="single"/>
          <w:lang w:eastAsia="zh-CN"/>
        </w:rPr>
        <w:t>名称</w:t>
      </w:r>
      <w:r>
        <w:rPr>
          <w:rFonts w:hint="eastAsia" w:ascii="仿宋" w:hAnsi="仿宋" w:eastAsia="仿宋" w:cs="仿宋"/>
          <w:b w:val="0"/>
          <w:bCs w:val="0"/>
          <w:snapToGrid/>
          <w:color w:val="auto"/>
          <w:sz w:val="24"/>
          <w:szCs w:val="24"/>
          <w:highlight w:val="none"/>
          <w:u w:val="single"/>
          <w:lang w:val="en-US" w:eastAsia="zh-CN"/>
        </w:rPr>
        <w:t xml:space="preserve">  </w:t>
      </w:r>
      <w:r>
        <w:rPr>
          <w:rFonts w:hint="eastAsia" w:ascii="仿宋" w:hAnsi="仿宋" w:eastAsia="仿宋" w:cs="仿宋"/>
          <w:b w:val="0"/>
          <w:bCs w:val="0"/>
          <w:snapToGrid/>
          <w:color w:val="auto"/>
          <w:sz w:val="24"/>
          <w:szCs w:val="24"/>
          <w:highlight w:val="none"/>
          <w:u w:val="none"/>
          <w:lang w:val="en-US" w:eastAsia="zh-CN"/>
        </w:rPr>
        <w:t>采购</w:t>
      </w:r>
      <w:r>
        <w:rPr>
          <w:rFonts w:hint="eastAsia" w:ascii="仿宋" w:hAnsi="仿宋" w:eastAsia="仿宋" w:cs="仿宋"/>
          <w:b w:val="0"/>
          <w:bCs w:val="0"/>
          <w:snapToGrid/>
          <w:color w:val="auto"/>
          <w:sz w:val="24"/>
          <w:szCs w:val="24"/>
          <w:highlight w:val="none"/>
          <w:lang w:eastAsia="zh-CN"/>
        </w:rPr>
        <w:t>文件</w:t>
      </w:r>
      <w:r>
        <w:rPr>
          <w:rFonts w:hint="eastAsia" w:ascii="仿宋" w:hAnsi="仿宋" w:eastAsia="仿宋" w:cs="仿宋"/>
          <w:b w:val="0"/>
          <w:bCs w:val="0"/>
          <w:snapToGrid/>
          <w:color w:val="auto"/>
          <w:sz w:val="24"/>
          <w:szCs w:val="24"/>
          <w:highlight w:val="none"/>
        </w:rPr>
        <w:t>，经我单位研究决定，由于</w:t>
      </w:r>
      <w:r>
        <w:rPr>
          <w:rFonts w:hint="eastAsia" w:ascii="仿宋" w:hAnsi="仿宋" w:eastAsia="仿宋" w:cs="仿宋"/>
          <w:b w:val="0"/>
          <w:bCs w:val="0"/>
          <w:snapToGrid/>
          <w:color w:val="auto"/>
          <w:sz w:val="24"/>
          <w:szCs w:val="24"/>
          <w:highlight w:val="none"/>
          <w:u w:val="single"/>
        </w:rPr>
        <w:t xml:space="preserve">    （不参与理由）    </w:t>
      </w:r>
      <w:r>
        <w:rPr>
          <w:rFonts w:hint="eastAsia" w:ascii="仿宋" w:hAnsi="仿宋" w:eastAsia="仿宋" w:cs="仿宋"/>
          <w:b w:val="0"/>
          <w:bCs w:val="0"/>
          <w:snapToGrid/>
          <w:color w:val="auto"/>
          <w:sz w:val="24"/>
          <w:szCs w:val="24"/>
          <w:highlight w:val="none"/>
        </w:rPr>
        <w:t>。确认不参与关于</w:t>
      </w:r>
      <w:r>
        <w:rPr>
          <w:rFonts w:hint="eastAsia" w:ascii="仿宋" w:hAnsi="仿宋" w:eastAsia="仿宋" w:cs="仿宋"/>
          <w:b w:val="0"/>
          <w:bCs w:val="0"/>
          <w:snapToGrid/>
          <w:color w:val="auto"/>
          <w:sz w:val="24"/>
          <w:szCs w:val="24"/>
          <w:highlight w:val="none"/>
          <w:u w:val="single"/>
        </w:rPr>
        <w:t xml:space="preserve">       </w:t>
      </w:r>
      <w:r>
        <w:rPr>
          <w:rFonts w:hint="eastAsia" w:ascii="仿宋" w:hAnsi="仿宋" w:eastAsia="仿宋" w:cs="仿宋"/>
          <w:b w:val="0"/>
          <w:bCs w:val="0"/>
          <w:snapToGrid/>
          <w:color w:val="auto"/>
          <w:sz w:val="24"/>
          <w:szCs w:val="24"/>
          <w:highlight w:val="none"/>
        </w:rPr>
        <w:t>的投标活动。</w:t>
      </w:r>
    </w:p>
    <w:p w14:paraId="72312BFC">
      <w:pPr>
        <w:pStyle w:val="8"/>
        <w:keepNext w:val="0"/>
        <w:keepLines w:val="0"/>
        <w:pageBreakBefore w:val="0"/>
        <w:widowControl w:val="0"/>
        <w:kinsoku/>
        <w:wordWrap/>
        <w:overflowPunct/>
        <w:topLinePunct w:val="0"/>
        <w:autoSpaceDE/>
        <w:autoSpaceDN/>
        <w:bidi w:val="0"/>
        <w:adjustRightInd/>
        <w:snapToGrid/>
        <w:spacing w:line="360" w:lineRule="auto"/>
        <w:ind w:firstLine="422"/>
        <w:textAlignment w:val="auto"/>
        <w:rPr>
          <w:rFonts w:hint="eastAsia" w:ascii="仿宋" w:hAnsi="仿宋" w:eastAsia="仿宋" w:cs="仿宋"/>
          <w:b w:val="0"/>
          <w:bCs w:val="0"/>
          <w:snapToGrid/>
          <w:color w:val="auto"/>
          <w:sz w:val="24"/>
          <w:szCs w:val="24"/>
          <w:highlight w:val="none"/>
        </w:rPr>
      </w:pPr>
      <w:r>
        <w:rPr>
          <w:rFonts w:hint="eastAsia" w:ascii="仿宋" w:hAnsi="仿宋" w:eastAsia="仿宋" w:cs="仿宋"/>
          <w:b w:val="0"/>
          <w:bCs w:val="0"/>
          <w:snapToGrid/>
          <w:color w:val="auto"/>
          <w:sz w:val="24"/>
          <w:szCs w:val="24"/>
          <w:highlight w:val="none"/>
        </w:rPr>
        <w:t>特此说明！</w:t>
      </w:r>
    </w:p>
    <w:p w14:paraId="4D98AE46">
      <w:pPr>
        <w:pStyle w:val="9"/>
        <w:kinsoku/>
        <w:autoSpaceDE/>
        <w:autoSpaceDN/>
        <w:adjustRightInd/>
        <w:snapToGrid/>
        <w:spacing w:line="360" w:lineRule="auto"/>
        <w:ind w:left="0" w:leftChars="0" w:firstLine="0" w:firstLineChars="0"/>
        <w:textAlignment w:val="auto"/>
        <w:rPr>
          <w:rFonts w:hint="eastAsia" w:ascii="仿宋" w:hAnsi="仿宋" w:eastAsia="仿宋" w:cs="仿宋"/>
          <w:b w:val="0"/>
          <w:bCs w:val="0"/>
          <w:snapToGrid/>
          <w:color w:val="auto"/>
          <w:sz w:val="24"/>
          <w:szCs w:val="24"/>
          <w:highlight w:val="none"/>
        </w:rPr>
      </w:pPr>
    </w:p>
    <w:p w14:paraId="52FFBD3D">
      <w:pPr>
        <w:pStyle w:val="8"/>
        <w:keepNext w:val="0"/>
        <w:keepLines w:val="0"/>
        <w:pageBreakBefore w:val="0"/>
        <w:widowControl w:val="0"/>
        <w:kinsoku/>
        <w:wordWrap/>
        <w:overflowPunct/>
        <w:topLinePunct w:val="0"/>
        <w:autoSpaceDE/>
        <w:autoSpaceDN/>
        <w:bidi w:val="0"/>
        <w:adjustRightInd/>
        <w:snapToGrid/>
        <w:spacing w:line="360" w:lineRule="auto"/>
        <w:ind w:firstLine="422"/>
        <w:textAlignment w:val="auto"/>
        <w:rPr>
          <w:rFonts w:hint="eastAsia" w:ascii="仿宋" w:hAnsi="仿宋" w:eastAsia="仿宋" w:cs="仿宋"/>
          <w:b w:val="0"/>
          <w:bCs w:val="0"/>
          <w:snapToGrid/>
          <w:color w:val="auto"/>
          <w:sz w:val="24"/>
          <w:szCs w:val="24"/>
          <w:highlight w:val="none"/>
        </w:rPr>
      </w:pPr>
      <w:r>
        <w:rPr>
          <w:rFonts w:hint="eastAsia" w:ascii="仿宋" w:hAnsi="仿宋" w:eastAsia="仿宋" w:cs="仿宋"/>
          <w:b w:val="0"/>
          <w:bCs w:val="0"/>
          <w:snapToGrid/>
          <w:color w:val="auto"/>
          <w:sz w:val="24"/>
          <w:szCs w:val="24"/>
          <w:highlight w:val="none"/>
        </w:rPr>
        <w:t xml:space="preserve">单位名称（盖章）：       </w:t>
      </w:r>
    </w:p>
    <w:p w14:paraId="5F830DBF">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snapToGrid/>
          <w:color w:val="auto"/>
          <w:sz w:val="24"/>
          <w:szCs w:val="24"/>
          <w:highlight w:val="none"/>
        </w:rPr>
      </w:pPr>
    </w:p>
    <w:p w14:paraId="46493177">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snapToGrid/>
          <w:color w:val="auto"/>
          <w:sz w:val="24"/>
          <w:szCs w:val="24"/>
          <w:highlight w:val="none"/>
        </w:rPr>
      </w:pPr>
      <w:r>
        <w:rPr>
          <w:rFonts w:hint="eastAsia" w:ascii="仿宋" w:hAnsi="仿宋" w:eastAsia="仿宋" w:cs="仿宋"/>
          <w:b w:val="0"/>
          <w:bCs w:val="0"/>
          <w:snapToGrid/>
          <w:color w:val="auto"/>
          <w:sz w:val="24"/>
          <w:szCs w:val="24"/>
          <w:highlight w:val="none"/>
        </w:rPr>
        <w:t xml:space="preserve">时间：     </w:t>
      </w:r>
    </w:p>
    <w:p w14:paraId="79F34B57">
      <w:pPr>
        <w:spacing w:line="360" w:lineRule="auto"/>
        <w:rPr>
          <w:rFonts w:hint="eastAsia" w:ascii="仿宋" w:hAnsi="仿宋" w:eastAsia="仿宋" w:cs="仿宋"/>
          <w:sz w:val="28"/>
          <w:szCs w:val="28"/>
          <w:highlight w:val="none"/>
        </w:rPr>
      </w:pPr>
    </w:p>
    <w:p w14:paraId="4C606A1A">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5E723A"/>
    <w:rsid w:val="2F993B8A"/>
    <w:rsid w:val="4E5E210E"/>
    <w:rsid w:val="5CBC0CA6"/>
    <w:rsid w:val="638E6A10"/>
    <w:rsid w:val="64642020"/>
    <w:rsid w:val="6ACA3B4E"/>
    <w:rsid w:val="7FBD0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3"/>
    <w:next w:val="1"/>
    <w:semiHidden/>
    <w:unhideWhenUsed/>
    <w:qFormat/>
    <w:uiPriority w:val="0"/>
    <w:pPr>
      <w:widowControl w:val="0"/>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4">
    <w:name w:val="Normal Indent"/>
    <w:next w:val="1"/>
    <w:qFormat/>
    <w:uiPriority w:val="0"/>
    <w:pPr>
      <w:widowControl w:val="0"/>
      <w:ind w:firstLine="420" w:firstLineChars="200"/>
      <w:jc w:val="both"/>
    </w:pPr>
    <w:rPr>
      <w:rFonts w:ascii="Times New Roman" w:hAnsi="Times New Roman" w:eastAsia="宋体" w:cs="Times New Roman"/>
      <w:kern w:val="2"/>
      <w:sz w:val="21"/>
      <w:szCs w:val="24"/>
      <w:lang w:val="en-US" w:eastAsia="zh-CN" w:bidi="ar-SA"/>
    </w:rPr>
  </w:style>
  <w:style w:type="paragraph" w:styleId="5">
    <w:name w:val="toc 1"/>
    <w:next w:val="1"/>
    <w:unhideWhenUsed/>
    <w:qFormat/>
    <w:uiPriority w:val="39"/>
    <w:pPr>
      <w:widowControl w:val="0"/>
      <w:jc w:val="both"/>
    </w:pPr>
    <w:rPr>
      <w:rFonts w:ascii="Times New Roman" w:hAnsi="Times New Roman" w:eastAsia="宋体" w:cs="Times New Roman"/>
      <w:kern w:val="2"/>
      <w:sz w:val="21"/>
      <w:szCs w:val="24"/>
      <w:lang w:val="en-US" w:eastAsia="zh-CN" w:bidi="ar-SA"/>
    </w:rPr>
  </w:style>
  <w:style w:type="paragraph" w:customStyle="1" w:styleId="8">
    <w:name w:val="4"/>
    <w:next w:val="9"/>
    <w:qFormat/>
    <w:uiPriority w:val="34"/>
    <w:pPr>
      <w:widowControl w:val="0"/>
      <w:ind w:firstLine="420" w:firstLineChars="200"/>
      <w:jc w:val="both"/>
    </w:pPr>
    <w:rPr>
      <w:rFonts w:ascii="Times New Roman" w:hAnsi="Times New Roman" w:eastAsia="宋体" w:cs="Times New Roman"/>
      <w:kern w:val="2"/>
      <w:sz w:val="21"/>
      <w:szCs w:val="24"/>
      <w:lang w:val="en-US" w:eastAsia="zh-CN" w:bidi="ar-SA"/>
    </w:rPr>
  </w:style>
  <w:style w:type="paragraph" w:styleId="9">
    <w:name w:val="List Paragraph"/>
    <w:qFormat/>
    <w:uiPriority w:val="0"/>
    <w:pPr>
      <w:widowControl w:val="0"/>
      <w:ind w:firstLine="420" w:firstLineChars="200"/>
      <w:jc w:val="both"/>
    </w:pPr>
    <w:rPr>
      <w:rFonts w:ascii="Times New Roman" w:hAnsi="Times New Roman" w:eastAsia="宋体" w:cs="Times New Roman"/>
      <w:kern w:val="2"/>
      <w:sz w:val="18"/>
      <w:szCs w:val="1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808</Words>
  <Characters>817</Characters>
  <Lines>0</Lines>
  <Paragraphs>0</Paragraphs>
  <TotalTime>0</TotalTime>
  <ScaleCrop>false</ScaleCrop>
  <LinksUpToDate>false</LinksUpToDate>
  <CharactersWithSpaces>1136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2026-05-24T04:37:00Z</dcterms:created>
  <dc:creator>52937</dc:creator>
  <cp:lastModifiedBy>默默</cp:lastModifiedBy>
  <dcterms:modified xsi:type="dcterms:W3CDTF">2026-05-25T09:54:58Z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eyJoZGlkIjoiNzA1ZGFlM2U0NzQwZWZhY2RlN2Q0NGQwMDA5NjRmOWUiLCJ1c2VySWQiOiIyODQwODU3NjAifQ==</vt:lpwstr>
  </property>
  <property fmtid="{D5CDD505-2E9C-101B-9397-08002B2CF9AE}" pid="4" name="ICV">
    <vt:lpwstr>18EA87ECC1B14A7F8EA2AF32017D20D1_13</vt:lpwstr>
  </property>
</Properties>
</file>