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版本号：MZ2026-TP1021.1B120260715001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西安文理学院近代物理实验室设备更新扩建项目(二次)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MZ2026-TP1021.1B1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西安文理学院近代物理实验室设备更新扩建项目(二次)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MZ2026-TP1021.1B1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西安文理学院近代物理实验室设备更新扩建项目(二次)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拟采购包含但不限于飞秒激光器、XYZ三轴位移台、110X长工作距离物镜、220X长工作距离物镜、350X长工作距离物镜等，具体内容详见采购文件。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谈判的，须出具法定代表人身份证明及法人身份证；法定代表人授权代表参加谈判的，须出具法定代表人授权书及法人和授权代表身份证并提供谈判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西安文理学院（本级）经办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代洋洋 韩微 王雪娟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费管理暂行办法〉的通知》（计价格【2002】1980号）、《国家发展和改革委员会办公厅关于招标代理服务收费有关问题的通知》（发改办价格〔2003〕857号）规定，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陕西明正招标有限公司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成交供应商将设备器材运达采购人指定的库房后，采购人根据合同要求，在合同双方代表等相关负责人同时在场的情况下，进行外观验收，确认品牌型号和数量；设备器材全部安装调试完毕后，由成交供应商向采购人提交纸质版项目验收申请书。由采购人组织验收，按照关于印发《政府采购需求管理办法》的通知（财库〔2021〕22号）和《财政部关于进一步加强政府采购需求和履约验收管理的指导意见》(财库〔2016〕205号)的要求以及采购文件、成交供应商的磋商响应文件进行验收，以满足采购人的实际需求为准。（2）成交供应商应向采购人提交项目实施过程中的所有资料，以便采购人日后管理和维护。</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拟采购包含但不限于飞秒激光器、XYZ三轴位移台、110X长工作距离物镜、220X长工作距离物镜、350X长工作距离物镜等，具体内容详见采购文件。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1,085,000.00</w:t>
      </w:r>
    </w:p>
    <w:p>
      <w:pPr>
        <w:pStyle w:val="null3"/>
      </w:pPr>
      <w:r>
        <w:rPr>
          <w:rFonts w:ascii="仿宋_GB2312" w:hAnsi="仿宋_GB2312" w:cs="仿宋_GB2312" w:eastAsia="仿宋_GB2312"/>
        </w:rPr>
        <w:t>采购包最高限价（元）: 1,085,000.00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西安文理学院近代物理实验室设备更新扩建项目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标的名称：西安文理学院近代物理实验室设备更新扩建项目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0"/>
              <w:gridCol w:w="140"/>
              <w:gridCol w:w="209"/>
              <w:gridCol w:w="1611"/>
              <w:gridCol w:w="223"/>
              <w:gridCol w:w="228"/>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序号</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名称</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模块</w:t>
                  </w:r>
                </w:p>
              </w:tc>
              <w:tc>
                <w:tcPr>
                  <w:tcW w:type="dxa" w:w="1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20"/>
                    </w:rPr>
                    <w:t>技术参数</w:t>
                  </w:r>
                </w:p>
                <w:p>
                  <w:pPr>
                    <w:pStyle w:val="null3"/>
                    <w:spacing w:after="150"/>
                    <w:jc w:val="both"/>
                  </w:pP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单位</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1</w:t>
                  </w:r>
                </w:p>
              </w:tc>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飞秒激光微加工平台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飞秒激光器</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left"/>
                  </w:pPr>
                  <w:r>
                    <w:rPr>
                      <w:rFonts w:ascii="仿宋_GB2312" w:hAnsi="仿宋_GB2312" w:cs="仿宋_GB2312" w:eastAsia="仿宋_GB2312"/>
                      <w:sz w:val="24"/>
                    </w:rPr>
                    <w:t>1)</w:t>
                  </w:r>
                  <w:r>
                    <w:rPr>
                      <w:rFonts w:ascii="仿宋_GB2312" w:hAnsi="仿宋_GB2312" w:cs="仿宋_GB2312" w:eastAsia="仿宋_GB2312"/>
                      <w:sz w:val="20"/>
                    </w:rPr>
                    <w:t>激光波长：</w:t>
                  </w:r>
                  <w:r>
                    <w:rPr>
                      <w:rFonts w:ascii="仿宋_GB2312" w:hAnsi="仿宋_GB2312" w:cs="仿宋_GB2312" w:eastAsia="仿宋_GB2312"/>
                      <w:sz w:val="20"/>
                    </w:rPr>
                    <w:t>1030nm±3nm；</w:t>
                  </w:r>
                </w:p>
                <w:p>
                  <w:pPr>
                    <w:pStyle w:val="null3"/>
                    <w:ind w:left="435"/>
                    <w:jc w:val="left"/>
                  </w:pPr>
                  <w:r>
                    <w:rPr>
                      <w:rFonts w:ascii="仿宋_GB2312" w:hAnsi="仿宋_GB2312" w:cs="仿宋_GB2312" w:eastAsia="仿宋_GB2312"/>
                      <w:sz w:val="20"/>
                    </w:rPr>
                    <w:t>▲</w:t>
                  </w:r>
                  <w:r>
                    <w:rPr>
                      <w:rFonts w:ascii="仿宋_GB2312" w:hAnsi="仿宋_GB2312" w:cs="仿宋_GB2312" w:eastAsia="仿宋_GB2312"/>
                      <w:sz w:val="24"/>
                    </w:rPr>
                    <w:t>2)</w:t>
                  </w:r>
                  <w:r>
                    <w:rPr>
                      <w:rFonts w:ascii="仿宋_GB2312" w:hAnsi="仿宋_GB2312" w:cs="仿宋_GB2312" w:eastAsia="仿宋_GB2312"/>
                      <w:sz w:val="20"/>
                    </w:rPr>
                    <w:t>脉冲宽度：</w:t>
                  </w:r>
                  <w:r>
                    <w:rPr>
                      <w:rFonts w:ascii="仿宋_GB2312" w:hAnsi="仿宋_GB2312" w:cs="仿宋_GB2312" w:eastAsia="仿宋_GB2312"/>
                      <w:sz w:val="20"/>
                    </w:rPr>
                    <w:t>150fs</w:t>
                  </w:r>
                  <w:r>
                    <w:rPr>
                      <w:rFonts w:ascii="仿宋_GB2312" w:hAnsi="仿宋_GB2312" w:cs="仿宋_GB2312" w:eastAsia="仿宋_GB2312"/>
                      <w:sz w:val="20"/>
                    </w:rPr>
                    <w:t>~</w:t>
                  </w:r>
                  <w:r>
                    <w:rPr>
                      <w:rFonts w:ascii="仿宋_GB2312" w:hAnsi="仿宋_GB2312" w:cs="仿宋_GB2312" w:eastAsia="仿宋_GB2312"/>
                      <w:sz w:val="20"/>
                    </w:rPr>
                    <w:t>10ps（软件可调）</w:t>
                  </w:r>
                </w:p>
                <w:p>
                  <w:pPr>
                    <w:pStyle w:val="null3"/>
                    <w:ind w:left="435"/>
                    <w:jc w:val="left"/>
                  </w:pPr>
                  <w:r>
                    <w:rPr>
                      <w:rFonts w:ascii="仿宋_GB2312" w:hAnsi="仿宋_GB2312" w:cs="仿宋_GB2312" w:eastAsia="仿宋_GB2312"/>
                      <w:sz w:val="20"/>
                    </w:rPr>
                    <w:t>▲</w:t>
                  </w:r>
                  <w:r>
                    <w:rPr>
                      <w:rFonts w:ascii="仿宋_GB2312" w:hAnsi="仿宋_GB2312" w:cs="仿宋_GB2312" w:eastAsia="仿宋_GB2312"/>
                      <w:sz w:val="24"/>
                    </w:rPr>
                    <w:t>3)</w:t>
                  </w:r>
                  <w:r>
                    <w:rPr>
                      <w:rFonts w:ascii="仿宋_GB2312" w:hAnsi="仿宋_GB2312" w:cs="仿宋_GB2312" w:eastAsia="仿宋_GB2312"/>
                      <w:sz w:val="20"/>
                    </w:rPr>
                    <w:t>最大平均输出功率：</w:t>
                  </w:r>
                  <w:r>
                    <w:rPr>
                      <w:rFonts w:ascii="仿宋_GB2312" w:hAnsi="仿宋_GB2312" w:cs="仿宋_GB2312" w:eastAsia="仿宋_GB2312"/>
                      <w:sz w:val="20"/>
                    </w:rPr>
                    <w:t>≥20W@1030nm；</w:t>
                  </w:r>
                </w:p>
                <w:p>
                  <w:pPr>
                    <w:pStyle w:val="null3"/>
                    <w:ind w:left="435"/>
                    <w:jc w:val="left"/>
                  </w:pPr>
                  <w:r>
                    <w:rPr>
                      <w:rFonts w:ascii="仿宋_GB2312" w:hAnsi="仿宋_GB2312" w:cs="仿宋_GB2312" w:eastAsia="仿宋_GB2312"/>
                      <w:sz w:val="20"/>
                    </w:rPr>
                    <w:t>▲</w:t>
                  </w:r>
                  <w:r>
                    <w:rPr>
                      <w:rFonts w:ascii="仿宋_GB2312" w:hAnsi="仿宋_GB2312" w:cs="仿宋_GB2312" w:eastAsia="仿宋_GB2312"/>
                      <w:sz w:val="24"/>
                    </w:rPr>
                    <w:t>4)</w:t>
                  </w:r>
                  <w:r>
                    <w:rPr>
                      <w:rFonts w:ascii="仿宋_GB2312" w:hAnsi="仿宋_GB2312" w:cs="仿宋_GB2312" w:eastAsia="仿宋_GB2312"/>
                      <w:sz w:val="20"/>
                    </w:rPr>
                    <w:t>最大单脉冲能量：</w:t>
                  </w:r>
                  <w:r>
                    <w:rPr>
                      <w:rFonts w:ascii="仿宋_GB2312" w:hAnsi="仿宋_GB2312" w:cs="仿宋_GB2312" w:eastAsia="仿宋_GB2312"/>
                      <w:sz w:val="20"/>
                    </w:rPr>
                    <w:t>≥1mJ@25kHz；</w:t>
                  </w:r>
                </w:p>
                <w:p>
                  <w:pPr>
                    <w:pStyle w:val="null3"/>
                    <w:ind w:left="435"/>
                    <w:jc w:val="left"/>
                  </w:pPr>
                  <w:r>
                    <w:rPr>
                      <w:rFonts w:ascii="仿宋_GB2312" w:hAnsi="仿宋_GB2312" w:cs="仿宋_GB2312" w:eastAsia="仿宋_GB2312"/>
                      <w:sz w:val="20"/>
                    </w:rPr>
                    <w:t>▲</w:t>
                  </w:r>
                  <w:r>
                    <w:rPr>
                      <w:rFonts w:ascii="仿宋_GB2312" w:hAnsi="仿宋_GB2312" w:cs="仿宋_GB2312" w:eastAsia="仿宋_GB2312"/>
                      <w:sz w:val="24"/>
                    </w:rPr>
                    <w:t>5)</w:t>
                  </w:r>
                  <w:r>
                    <w:rPr>
                      <w:rFonts w:ascii="仿宋_GB2312" w:hAnsi="仿宋_GB2312" w:cs="仿宋_GB2312" w:eastAsia="仿宋_GB2312"/>
                      <w:sz w:val="20"/>
                    </w:rPr>
                    <w:t>重复频率：支持单发独立脉冲，</w:t>
                  </w:r>
                  <w:r>
                    <w:rPr>
                      <w:rFonts w:ascii="仿宋_GB2312" w:hAnsi="仿宋_GB2312" w:cs="仿宋_GB2312" w:eastAsia="仿宋_GB2312"/>
                      <w:sz w:val="20"/>
                    </w:rPr>
                    <w:t>25KHz</w:t>
                  </w:r>
                  <w:r>
                    <w:rPr>
                      <w:rFonts w:ascii="仿宋_GB2312" w:hAnsi="仿宋_GB2312" w:cs="仿宋_GB2312" w:eastAsia="仿宋_GB2312"/>
                      <w:sz w:val="20"/>
                    </w:rPr>
                    <w:t>~</w:t>
                  </w:r>
                  <w:r>
                    <w:rPr>
                      <w:rFonts w:ascii="仿宋_GB2312" w:hAnsi="仿宋_GB2312" w:cs="仿宋_GB2312" w:eastAsia="仿宋_GB2312"/>
                      <w:sz w:val="20"/>
                    </w:rPr>
                    <w:t>1MHz ，连续可调；</w:t>
                  </w:r>
                </w:p>
                <w:p>
                  <w:pPr>
                    <w:pStyle w:val="null3"/>
                    <w:ind w:left="435"/>
                    <w:jc w:val="left"/>
                  </w:pPr>
                  <w:r>
                    <w:rPr>
                      <w:rFonts w:ascii="仿宋_GB2312" w:hAnsi="仿宋_GB2312" w:cs="仿宋_GB2312" w:eastAsia="仿宋_GB2312"/>
                      <w:sz w:val="20"/>
                    </w:rPr>
                    <w:t>▲</w:t>
                  </w:r>
                  <w:r>
                    <w:rPr>
                      <w:rFonts w:ascii="仿宋_GB2312" w:hAnsi="仿宋_GB2312" w:cs="仿宋_GB2312" w:eastAsia="仿宋_GB2312"/>
                      <w:sz w:val="24"/>
                    </w:rPr>
                    <w:t>6)</w:t>
                  </w:r>
                  <w:r>
                    <w:rPr>
                      <w:rFonts w:ascii="仿宋_GB2312" w:hAnsi="仿宋_GB2312" w:cs="仿宋_GB2312" w:eastAsia="仿宋_GB2312"/>
                      <w:sz w:val="20"/>
                    </w:rPr>
                    <w:t>光束质量：</w:t>
                  </w:r>
                  <w:r>
                    <w:rPr>
                      <w:rFonts w:ascii="仿宋_GB2312" w:hAnsi="仿宋_GB2312" w:cs="仿宋_GB2312" w:eastAsia="仿宋_GB2312"/>
                      <w:sz w:val="20"/>
                    </w:rPr>
                    <w:t>M²≤1.2；</w:t>
                  </w:r>
                </w:p>
                <w:p>
                  <w:pPr>
                    <w:pStyle w:val="null3"/>
                    <w:ind w:left="435"/>
                    <w:jc w:val="left"/>
                  </w:pPr>
                  <w:r>
                    <w:rPr>
                      <w:rFonts w:ascii="仿宋_GB2312" w:hAnsi="仿宋_GB2312" w:cs="仿宋_GB2312" w:eastAsia="仿宋_GB2312"/>
                      <w:sz w:val="20"/>
                    </w:rPr>
                    <w:t>▲</w:t>
                  </w:r>
                  <w:r>
                    <w:rPr>
                      <w:rFonts w:ascii="仿宋_GB2312" w:hAnsi="仿宋_GB2312" w:cs="仿宋_GB2312" w:eastAsia="仿宋_GB2312"/>
                      <w:sz w:val="24"/>
                    </w:rPr>
                    <w:t>7)</w:t>
                  </w:r>
                  <w:r>
                    <w:rPr>
                      <w:rFonts w:ascii="仿宋_GB2312" w:hAnsi="仿宋_GB2312" w:cs="仿宋_GB2312" w:eastAsia="仿宋_GB2312"/>
                      <w:sz w:val="20"/>
                    </w:rPr>
                    <w:t>功率稳定性：</w:t>
                  </w:r>
                  <w:r>
                    <w:rPr>
                      <w:rFonts w:ascii="仿宋_GB2312" w:hAnsi="仿宋_GB2312" w:cs="仿宋_GB2312" w:eastAsia="仿宋_GB2312"/>
                      <w:sz w:val="20"/>
                    </w:rPr>
                    <w:t>≤0.5%RMS（24h）；</w:t>
                  </w:r>
                </w:p>
                <w:p>
                  <w:pPr>
                    <w:pStyle w:val="null3"/>
                    <w:ind w:left="435"/>
                    <w:jc w:val="left"/>
                  </w:pPr>
                  <w:r>
                    <w:rPr>
                      <w:rFonts w:ascii="仿宋_GB2312" w:hAnsi="仿宋_GB2312" w:cs="仿宋_GB2312" w:eastAsia="仿宋_GB2312"/>
                      <w:sz w:val="24"/>
                    </w:rPr>
                    <w:t>8)</w:t>
                  </w:r>
                  <w:r>
                    <w:rPr>
                      <w:rFonts w:ascii="仿宋_GB2312" w:hAnsi="仿宋_GB2312" w:cs="仿宋_GB2312" w:eastAsia="仿宋_GB2312"/>
                      <w:sz w:val="20"/>
                    </w:rPr>
                    <w:t>能量稳定性：</w:t>
                  </w:r>
                  <w:r>
                    <w:rPr>
                      <w:rFonts w:ascii="仿宋_GB2312" w:hAnsi="仿宋_GB2312" w:cs="仿宋_GB2312" w:eastAsia="仿宋_GB2312"/>
                      <w:sz w:val="20"/>
                    </w:rPr>
                    <w:t>≤0.5%RMS（24h）；</w:t>
                  </w:r>
                </w:p>
                <w:p>
                  <w:pPr>
                    <w:pStyle w:val="null3"/>
                    <w:spacing w:after="150"/>
                    <w:jc w:val="both"/>
                  </w:pPr>
                  <w:r>
                    <w:rPr>
                      <w:rFonts w:ascii="仿宋_GB2312" w:hAnsi="仿宋_GB2312" w:cs="仿宋_GB2312" w:eastAsia="仿宋_GB2312"/>
                      <w:sz w:val="20"/>
                    </w:rPr>
                    <w:t>9）</w:t>
                  </w:r>
                  <w:r>
                    <w:rPr>
                      <w:rFonts w:ascii="仿宋_GB2312" w:hAnsi="仿宋_GB2312" w:cs="仿宋_GB2312" w:eastAsia="仿宋_GB2312"/>
                      <w:sz w:val="20"/>
                    </w:rPr>
                    <w:t>指向性：</w:t>
                  </w:r>
                  <w:r>
                    <w:rPr>
                      <w:rFonts w:ascii="仿宋_GB2312" w:hAnsi="仿宋_GB2312" w:cs="仿宋_GB2312" w:eastAsia="仿宋_GB2312"/>
                      <w:sz w:val="20"/>
                    </w:rPr>
                    <w:t>≤25µrad/℃（24h）；</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时间带宽积</w:t>
                  </w:r>
                  <w:r>
                    <w:rPr>
                      <w:rFonts w:ascii="仿宋_GB2312" w:hAnsi="仿宋_GB2312" w:cs="仿宋_GB2312" w:eastAsia="仿宋_GB2312"/>
                      <w:sz w:val="20"/>
                    </w:rPr>
                    <w:t>≤</w:t>
                  </w:r>
                  <w:r>
                    <w:rPr>
                      <w:rFonts w:ascii="仿宋_GB2312" w:hAnsi="仿宋_GB2312" w:cs="仿宋_GB2312" w:eastAsia="仿宋_GB2312"/>
                      <w:sz w:val="20"/>
                    </w:rPr>
                    <w:t>0.45；</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1</w:t>
                  </w:r>
                </w:p>
                <w:p>
                  <w:pPr>
                    <w:pStyle w:val="null3"/>
                    <w:spacing w:after="150"/>
                    <w:jc w:val="both"/>
                  </w:p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2</w:t>
                  </w:r>
                </w:p>
              </w:tc>
              <w:tc>
                <w:tcPr>
                  <w:tcW w:type="dxa" w:w="140"/>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XYZ三轴位移台</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pPr>
                  <w:r>
                    <w:rPr>
                      <w:rFonts w:ascii="仿宋_GB2312" w:hAnsi="仿宋_GB2312" w:cs="仿宋_GB2312" w:eastAsia="仿宋_GB2312"/>
                      <w:sz w:val="20"/>
                    </w:rPr>
                    <w:t>1)X×Y 行程：≥200×200mm，XY轴</w:t>
                  </w:r>
                </w:p>
                <w:p>
                  <w:pPr>
                    <w:pStyle w:val="null3"/>
                    <w:ind w:left="435"/>
                  </w:pPr>
                  <w:r>
                    <w:rPr>
                      <w:rFonts w:ascii="仿宋_GB2312" w:hAnsi="仿宋_GB2312" w:cs="仿宋_GB2312" w:eastAsia="仿宋_GB2312"/>
                      <w:sz w:val="20"/>
                    </w:rPr>
                    <w:t>▲2)X、Y 重复定位精度（双向）：</w:t>
                  </w:r>
                  <w:r>
                    <w:rPr>
                      <w:rFonts w:ascii="仿宋_GB2312" w:hAnsi="仿宋_GB2312" w:cs="仿宋_GB2312" w:eastAsia="仿宋_GB2312"/>
                      <w:sz w:val="20"/>
                    </w:rPr>
                    <w:t>≤</w:t>
                  </w:r>
                  <w:r>
                    <w:rPr>
                      <w:rFonts w:ascii="仿宋_GB2312" w:hAnsi="仿宋_GB2312" w:cs="仿宋_GB2312" w:eastAsia="仿宋_GB2312"/>
                      <w:sz w:val="20"/>
                    </w:rPr>
                    <w:t>±0.2µm</w:t>
                  </w:r>
                </w:p>
                <w:p>
                  <w:pPr>
                    <w:pStyle w:val="null3"/>
                    <w:ind w:left="435"/>
                  </w:pPr>
                  <w:r>
                    <w:rPr>
                      <w:rFonts w:ascii="仿宋_GB2312" w:hAnsi="仿宋_GB2312" w:cs="仿宋_GB2312" w:eastAsia="仿宋_GB2312"/>
                      <w:sz w:val="20"/>
                    </w:rPr>
                    <w:t>3)X、Y 直线度：</w:t>
                  </w:r>
                  <w:r>
                    <w:rPr>
                      <w:rFonts w:ascii="仿宋_GB2312" w:hAnsi="仿宋_GB2312" w:cs="仿宋_GB2312" w:eastAsia="仿宋_GB2312"/>
                      <w:sz w:val="20"/>
                    </w:rPr>
                    <w:t>≤</w:t>
                  </w:r>
                  <w:r>
                    <w:rPr>
                      <w:rFonts w:ascii="仿宋_GB2312" w:hAnsi="仿宋_GB2312" w:cs="仿宋_GB2312" w:eastAsia="仿宋_GB2312"/>
                      <w:sz w:val="20"/>
                    </w:rPr>
                    <w:t>±2µm</w:t>
                  </w:r>
                </w:p>
                <w:p>
                  <w:pPr>
                    <w:pStyle w:val="null3"/>
                    <w:ind w:left="435"/>
                  </w:pPr>
                  <w:r>
                    <w:rPr>
                      <w:rFonts w:ascii="仿宋_GB2312" w:hAnsi="仿宋_GB2312" w:cs="仿宋_GB2312" w:eastAsia="仿宋_GB2312"/>
                      <w:sz w:val="20"/>
                    </w:rPr>
                    <w:t>4)XY 平面度：</w:t>
                  </w:r>
                  <w:r>
                    <w:rPr>
                      <w:rFonts w:ascii="仿宋_GB2312" w:hAnsi="仿宋_GB2312" w:cs="仿宋_GB2312" w:eastAsia="仿宋_GB2312"/>
                      <w:sz w:val="20"/>
                    </w:rPr>
                    <w:t>≤</w:t>
                  </w:r>
                  <w:r>
                    <w:rPr>
                      <w:rFonts w:ascii="仿宋_GB2312" w:hAnsi="仿宋_GB2312" w:cs="仿宋_GB2312" w:eastAsia="仿宋_GB2312"/>
                      <w:sz w:val="20"/>
                    </w:rPr>
                    <w:t>±2µm</w:t>
                  </w:r>
                </w:p>
                <w:p>
                  <w:pPr>
                    <w:pStyle w:val="null3"/>
                    <w:ind w:left="435"/>
                  </w:pPr>
                  <w:r>
                    <w:rPr>
                      <w:rFonts w:ascii="仿宋_GB2312" w:hAnsi="仿宋_GB2312" w:cs="仿宋_GB2312" w:eastAsia="仿宋_GB2312"/>
                      <w:sz w:val="20"/>
                    </w:rPr>
                    <w:t>5)XY 最大运动速度：≥300mm/s</w:t>
                  </w:r>
                </w:p>
                <w:p>
                  <w:pPr>
                    <w:pStyle w:val="null3"/>
                    <w:ind w:left="435"/>
                  </w:pPr>
                  <w:r>
                    <w:rPr>
                      <w:rFonts w:ascii="仿宋_GB2312" w:hAnsi="仿宋_GB2312" w:cs="仿宋_GB2312" w:eastAsia="仿宋_GB2312"/>
                      <w:sz w:val="20"/>
                    </w:rPr>
                    <w:t xml:space="preserve">6)XY 最大负载： </w:t>
                  </w:r>
                  <w:r>
                    <w:rPr>
                      <w:rFonts w:ascii="仿宋_GB2312" w:hAnsi="仿宋_GB2312" w:cs="仿宋_GB2312" w:eastAsia="仿宋_GB2312"/>
                      <w:sz w:val="20"/>
                    </w:rPr>
                    <w:t>≥</w:t>
                  </w:r>
                  <w:r>
                    <w:rPr>
                      <w:rFonts w:ascii="仿宋_GB2312" w:hAnsi="仿宋_GB2312" w:cs="仿宋_GB2312" w:eastAsia="仿宋_GB2312"/>
                      <w:sz w:val="20"/>
                    </w:rPr>
                    <w:t>20kg</w:t>
                  </w:r>
                </w:p>
                <w:p>
                  <w:pPr>
                    <w:pStyle w:val="null3"/>
                    <w:ind w:left="435"/>
                  </w:pPr>
                  <w:r>
                    <w:rPr>
                      <w:rFonts w:ascii="仿宋_GB2312" w:hAnsi="仿宋_GB2312" w:cs="仿宋_GB2312" w:eastAsia="仿宋_GB2312"/>
                      <w:sz w:val="20"/>
                    </w:rPr>
                    <w:t>7)Z 行程：</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50mm</w:t>
                  </w:r>
                </w:p>
                <w:p>
                  <w:pPr>
                    <w:pStyle w:val="null3"/>
                    <w:ind w:left="435"/>
                  </w:pPr>
                  <w:r>
                    <w:rPr>
                      <w:rFonts w:ascii="仿宋_GB2312" w:hAnsi="仿宋_GB2312" w:cs="仿宋_GB2312" w:eastAsia="仿宋_GB2312"/>
                      <w:sz w:val="20"/>
                    </w:rPr>
                    <w:t>▲8)Z 重复定位精度（双向）：</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3</w:t>
                  </w:r>
                  <w:r>
                    <w:rPr>
                      <w:rFonts w:ascii="仿宋_GB2312" w:hAnsi="仿宋_GB2312" w:cs="仿宋_GB2312" w:eastAsia="仿宋_GB2312"/>
                      <w:sz w:val="20"/>
                    </w:rPr>
                    <w:t>µm</w:t>
                  </w:r>
                </w:p>
                <w:p>
                  <w:pPr>
                    <w:pStyle w:val="null3"/>
                    <w:ind w:left="435"/>
                  </w:pPr>
                  <w:r>
                    <w:rPr>
                      <w:rFonts w:ascii="仿宋_GB2312" w:hAnsi="仿宋_GB2312" w:cs="仿宋_GB2312" w:eastAsia="仿宋_GB2312"/>
                      <w:sz w:val="20"/>
                    </w:rPr>
                    <w:t>9)</w:t>
                  </w:r>
                  <w:r>
                    <w:rPr>
                      <w:rFonts w:ascii="仿宋_GB2312" w:hAnsi="仿宋_GB2312" w:cs="仿宋_GB2312" w:eastAsia="仿宋_GB2312"/>
                      <w:sz w:val="20"/>
                    </w:rPr>
                    <w:t>Z 最大速度：≥5mm/s</w:t>
                  </w:r>
                </w:p>
                <w:p>
                  <w:pPr>
                    <w:pStyle w:val="null3"/>
                    <w:ind w:left="435"/>
                  </w:pPr>
                  <w:r>
                    <w:rPr>
                      <w:rFonts w:ascii="仿宋_GB2312" w:hAnsi="仿宋_GB2312" w:cs="仿宋_GB2312" w:eastAsia="仿宋_GB2312"/>
                      <w:sz w:val="20"/>
                    </w:rPr>
                    <w:t xml:space="preserve">10)Z 分辨率 </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nm</w:t>
                  </w:r>
                </w:p>
                <w:p>
                  <w:pPr>
                    <w:pStyle w:val="null3"/>
                    <w:ind w:left="435"/>
                  </w:pPr>
                  <w:r>
                    <w:rPr>
                      <w:rFonts w:ascii="仿宋_GB2312" w:hAnsi="仿宋_GB2312" w:cs="仿宋_GB2312" w:eastAsia="仿宋_GB2312"/>
                      <w:sz w:val="20"/>
                    </w:rPr>
                    <w:t xml:space="preserve">11)Z 最大负载（竖直）： </w:t>
                  </w:r>
                  <w:r>
                    <w:rPr>
                      <w:rFonts w:ascii="仿宋_GB2312" w:hAnsi="仿宋_GB2312" w:cs="仿宋_GB2312" w:eastAsia="仿宋_GB2312"/>
                      <w:sz w:val="20"/>
                    </w:rPr>
                    <w:t>≥</w:t>
                  </w:r>
                  <w:r>
                    <w:rPr>
                      <w:rFonts w:ascii="仿宋_GB2312" w:hAnsi="仿宋_GB2312" w:cs="仿宋_GB2312" w:eastAsia="仿宋_GB2312"/>
                      <w:sz w:val="20"/>
                    </w:rPr>
                    <w:t>10kg</w:t>
                  </w:r>
                </w:p>
              </w:tc>
              <w:tc>
                <w:tcPr>
                  <w:tcW w:type="dxa" w:w="223"/>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3</w:t>
                  </w:r>
                </w:p>
              </w:tc>
              <w:tc>
                <w:tcPr>
                  <w:tcW w:type="dxa" w:w="140"/>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聚焦系统</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3.1 10X长工作距离物镜</w:t>
                  </w:r>
                </w:p>
                <w:p>
                  <w:pPr>
                    <w:pStyle w:val="null3"/>
                    <w:ind w:left="420"/>
                  </w:pPr>
                  <w:r>
                    <w:rPr>
                      <w:rFonts w:ascii="仿宋_GB2312" w:hAnsi="仿宋_GB2312" w:cs="仿宋_GB2312" w:eastAsia="仿宋_GB2312"/>
                      <w:sz w:val="20"/>
                    </w:rPr>
                    <w:t>1)放大倍数：10X</w:t>
                  </w:r>
                </w:p>
                <w:p>
                  <w:pPr>
                    <w:pStyle w:val="null3"/>
                  </w:pPr>
                  <w:r>
                    <w:rPr>
                      <w:rFonts w:ascii="仿宋_GB2312" w:hAnsi="仿宋_GB2312" w:cs="仿宋_GB2312" w:eastAsia="仿宋_GB2312"/>
                      <w:sz w:val="20"/>
                    </w:rPr>
                    <w:t xml:space="preserve">2)▲NA： </w:t>
                  </w:r>
                  <w:r>
                    <w:rPr>
                      <w:rFonts w:ascii="仿宋_GB2312" w:hAnsi="仿宋_GB2312" w:cs="仿宋_GB2312" w:eastAsia="仿宋_GB2312"/>
                      <w:sz w:val="20"/>
                    </w:rPr>
                    <w:t>≥</w:t>
                  </w:r>
                  <w:r>
                    <w:rPr>
                      <w:rFonts w:ascii="仿宋_GB2312" w:hAnsi="仿宋_GB2312" w:cs="仿宋_GB2312" w:eastAsia="仿宋_GB2312"/>
                      <w:sz w:val="20"/>
                    </w:rPr>
                    <w:t>0.3</w:t>
                  </w:r>
                </w:p>
                <w:p>
                  <w:pPr>
                    <w:pStyle w:val="null3"/>
                  </w:pPr>
                  <w:r>
                    <w:rPr>
                      <w:rFonts w:ascii="仿宋_GB2312" w:hAnsi="仿宋_GB2312" w:cs="仿宋_GB2312" w:eastAsia="仿宋_GB2312"/>
                      <w:sz w:val="20"/>
                    </w:rPr>
                    <w:t xml:space="preserve">3)工作距离： </w:t>
                  </w:r>
                  <w:r>
                    <w:rPr>
                      <w:rFonts w:ascii="仿宋_GB2312" w:hAnsi="仿宋_GB2312" w:cs="仿宋_GB2312" w:eastAsia="仿宋_GB2312"/>
                      <w:sz w:val="20"/>
                    </w:rPr>
                    <w:t>≥</w:t>
                  </w:r>
                  <w:r>
                    <w:rPr>
                      <w:rFonts w:ascii="仿宋_GB2312" w:hAnsi="仿宋_GB2312" w:cs="仿宋_GB2312" w:eastAsia="仿宋_GB2312"/>
                      <w:sz w:val="20"/>
                    </w:rPr>
                    <w:t>30mm</w:t>
                  </w:r>
                </w:p>
                <w:p>
                  <w:pPr>
                    <w:pStyle w:val="null3"/>
                    <w:jc w:val="both"/>
                  </w:pPr>
                  <w:r>
                    <w:rPr>
                      <w:rFonts w:ascii="仿宋_GB2312" w:hAnsi="仿宋_GB2312" w:cs="仿宋_GB2312" w:eastAsia="仿宋_GB2312"/>
                      <w:sz w:val="20"/>
                      <w:b/>
                    </w:rPr>
                    <w:t>3.2 2</w:t>
                  </w:r>
                  <w:r>
                    <w:rPr>
                      <w:rFonts w:ascii="仿宋_GB2312" w:hAnsi="仿宋_GB2312" w:cs="仿宋_GB2312" w:eastAsia="仿宋_GB2312"/>
                      <w:sz w:val="20"/>
                      <w:b/>
                    </w:rPr>
                    <w:t>0X长工作距离物镜</w:t>
                  </w:r>
                </w:p>
                <w:p>
                  <w:pPr>
                    <w:pStyle w:val="null3"/>
                  </w:pPr>
                  <w:r>
                    <w:rPr>
                      <w:rFonts w:ascii="仿宋_GB2312" w:hAnsi="仿宋_GB2312" w:cs="仿宋_GB2312" w:eastAsia="仿宋_GB2312"/>
                      <w:sz w:val="20"/>
                    </w:rPr>
                    <w:t>1)放大倍数：20X</w:t>
                  </w:r>
                </w:p>
                <w:p>
                  <w:pPr>
                    <w:pStyle w:val="null3"/>
                  </w:pPr>
                  <w:r>
                    <w:rPr>
                      <w:rFonts w:ascii="仿宋_GB2312" w:hAnsi="仿宋_GB2312" w:cs="仿宋_GB2312" w:eastAsia="仿宋_GB2312"/>
                      <w:sz w:val="20"/>
                    </w:rPr>
                    <w:t xml:space="preserve">▲2)NA： </w:t>
                  </w:r>
                  <w:r>
                    <w:rPr>
                      <w:rFonts w:ascii="仿宋_GB2312" w:hAnsi="仿宋_GB2312" w:cs="仿宋_GB2312" w:eastAsia="仿宋_GB2312"/>
                      <w:sz w:val="20"/>
                    </w:rPr>
                    <w:t>≥</w:t>
                  </w:r>
                  <w:r>
                    <w:rPr>
                      <w:rFonts w:ascii="仿宋_GB2312" w:hAnsi="仿宋_GB2312" w:cs="仿宋_GB2312" w:eastAsia="仿宋_GB2312"/>
                      <w:sz w:val="20"/>
                    </w:rPr>
                    <w:t>0.45</w:t>
                  </w:r>
                </w:p>
                <w:p>
                  <w:pPr>
                    <w:pStyle w:val="null3"/>
                  </w:pPr>
                  <w:r>
                    <w:rPr>
                      <w:rFonts w:ascii="仿宋_GB2312" w:hAnsi="仿宋_GB2312" w:cs="仿宋_GB2312" w:eastAsia="仿宋_GB2312"/>
                      <w:sz w:val="20"/>
                    </w:rPr>
                    <w:t xml:space="preserve">3)工作距离： </w:t>
                  </w:r>
                  <w:r>
                    <w:rPr>
                      <w:rFonts w:ascii="仿宋_GB2312" w:hAnsi="仿宋_GB2312" w:cs="仿宋_GB2312" w:eastAsia="仿宋_GB2312"/>
                      <w:sz w:val="20"/>
                    </w:rPr>
                    <w:t>≥</w:t>
                  </w:r>
                  <w:r>
                    <w:rPr>
                      <w:rFonts w:ascii="仿宋_GB2312" w:hAnsi="仿宋_GB2312" w:cs="仿宋_GB2312" w:eastAsia="仿宋_GB2312"/>
                      <w:sz w:val="20"/>
                    </w:rPr>
                    <w:t>20mm</w:t>
                  </w:r>
                </w:p>
              </w:tc>
              <w:tc>
                <w:tcPr>
                  <w:tcW w:type="dxa" w:w="223"/>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4</w:t>
                  </w:r>
                </w:p>
              </w:tc>
              <w:tc>
                <w:tcPr>
                  <w:tcW w:type="dxa" w:w="140"/>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光路传输及其附件</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firstLine="400"/>
                  </w:pPr>
                  <w:r>
                    <w:rPr>
                      <w:rFonts w:ascii="仿宋_GB2312" w:hAnsi="仿宋_GB2312" w:cs="仿宋_GB2312" w:eastAsia="仿宋_GB2312"/>
                      <w:sz w:val="20"/>
                    </w:rPr>
                    <w:t>光束传输与控制包括激光功率、扩束</w:t>
                  </w:r>
                  <w:r>
                    <w:rPr>
                      <w:rFonts w:ascii="仿宋_GB2312" w:hAnsi="仿宋_GB2312" w:cs="仿宋_GB2312" w:eastAsia="仿宋_GB2312"/>
                      <w:sz w:val="20"/>
                    </w:rPr>
                    <w:t>/缩束器、激光快门和反射镜组组成。各模块具体指标如下：</w:t>
                  </w:r>
                </w:p>
                <w:p>
                  <w:pPr>
                    <w:pStyle w:val="null3"/>
                    <w:ind w:left="510"/>
                  </w:pPr>
                  <w:r>
                    <w:rPr>
                      <w:rFonts w:ascii="仿宋_GB2312" w:hAnsi="仿宋_GB2312" w:cs="仿宋_GB2312" w:eastAsia="仿宋_GB2312"/>
                      <w:sz w:val="20"/>
                    </w:rPr>
                    <w:t>1)激光电控：直连激光器</w:t>
                  </w:r>
                </w:p>
                <w:p>
                  <w:pPr>
                    <w:pStyle w:val="null3"/>
                    <w:ind w:left="510"/>
                  </w:pPr>
                  <w:r>
                    <w:rPr>
                      <w:rFonts w:ascii="仿宋_GB2312" w:hAnsi="仿宋_GB2312" w:cs="仿宋_GB2312" w:eastAsia="仿宋_GB2312"/>
                      <w:sz w:val="20"/>
                    </w:rPr>
                    <w:t>2)具有激光快门功能：急停关闭激光</w:t>
                  </w:r>
                </w:p>
                <w:p>
                  <w:pPr>
                    <w:pStyle w:val="null3"/>
                    <w:ind w:left="510"/>
                  </w:pPr>
                  <w:r>
                    <w:rPr>
                      <w:rFonts w:ascii="仿宋_GB2312" w:hAnsi="仿宋_GB2312" w:cs="仿宋_GB2312" w:eastAsia="仿宋_GB2312"/>
                      <w:sz w:val="20"/>
                    </w:rPr>
                    <w:t>▲3)聚焦光斑</w:t>
                  </w:r>
                  <w:r>
                    <w:rPr>
                      <w:rFonts w:ascii="仿宋_GB2312" w:hAnsi="仿宋_GB2312" w:cs="仿宋_GB2312" w:eastAsia="仿宋_GB2312"/>
                      <w:sz w:val="2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µm</w:t>
                  </w:r>
                </w:p>
                <w:p>
                  <w:pPr>
                    <w:pStyle w:val="null3"/>
                    <w:ind w:left="510"/>
                  </w:pPr>
                  <w:r>
                    <w:rPr>
                      <w:rFonts w:ascii="仿宋_GB2312" w:hAnsi="仿宋_GB2312" w:cs="仿宋_GB2312" w:eastAsia="仿宋_GB2312"/>
                      <w:sz w:val="20"/>
                    </w:rPr>
                    <w:t>4)三点式二维调平位移台， 调节范围≥2mm</w:t>
                  </w:r>
                </w:p>
                <w:p>
                  <w:pPr>
                    <w:pStyle w:val="null3"/>
                    <w:ind w:left="510"/>
                  </w:pPr>
                  <w:r>
                    <w:rPr>
                      <w:rFonts w:ascii="仿宋_GB2312" w:hAnsi="仿宋_GB2312" w:cs="仿宋_GB2312" w:eastAsia="仿宋_GB2312"/>
                      <w:sz w:val="20"/>
                    </w:rPr>
                    <w:t>5)高反射率低色散反射镜 【反射率≥99.5%@1030nm】</w:t>
                  </w:r>
                </w:p>
                <w:p>
                  <w:pPr>
                    <w:pStyle w:val="null3"/>
                    <w:ind w:left="510"/>
                  </w:pPr>
                  <w:r>
                    <w:rPr>
                      <w:rFonts w:ascii="仿宋_GB2312" w:hAnsi="仿宋_GB2312" w:cs="仿宋_GB2312" w:eastAsia="仿宋_GB2312"/>
                      <w:sz w:val="20"/>
                    </w:rPr>
                    <w:t>6)高分辨率成像相机，分辨率≥600万像素</w:t>
                  </w:r>
                </w:p>
                <w:p>
                  <w:pPr>
                    <w:pStyle w:val="null3"/>
                    <w:ind w:left="510"/>
                  </w:pPr>
                  <w:r>
                    <w:rPr>
                      <w:rFonts w:ascii="仿宋_GB2312" w:hAnsi="仿宋_GB2312" w:cs="仿宋_GB2312" w:eastAsia="仿宋_GB2312"/>
                      <w:sz w:val="20"/>
                    </w:rPr>
                    <w:t>7)传输光路全封闭</w:t>
                  </w:r>
                </w:p>
              </w:tc>
              <w:tc>
                <w:tcPr>
                  <w:tcW w:type="dxa" w:w="223"/>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5</w:t>
                  </w:r>
                </w:p>
              </w:tc>
              <w:tc>
                <w:tcPr>
                  <w:tcW w:type="dxa" w:w="140"/>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机械附件</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5.1支撑及结构件</w:t>
                  </w:r>
                </w:p>
                <w:p>
                  <w:pPr>
                    <w:pStyle w:val="null3"/>
                    <w:spacing w:after="150"/>
                    <w:jc w:val="both"/>
                  </w:pPr>
                  <w:r>
                    <w:rPr>
                      <w:rFonts w:ascii="仿宋_GB2312" w:hAnsi="仿宋_GB2312" w:cs="仿宋_GB2312" w:eastAsia="仿宋_GB2312"/>
                      <w:sz w:val="20"/>
                    </w:rPr>
                    <w:t>大理石龙门结构</w:t>
                  </w:r>
                </w:p>
                <w:p>
                  <w:pPr>
                    <w:pStyle w:val="null3"/>
                    <w:jc w:val="both"/>
                  </w:pPr>
                  <w:r>
                    <w:rPr>
                      <w:rFonts w:ascii="仿宋_GB2312" w:hAnsi="仿宋_GB2312" w:cs="仿宋_GB2312" w:eastAsia="仿宋_GB2312"/>
                      <w:sz w:val="20"/>
                      <w:b/>
                    </w:rPr>
                    <w:t>5.2控制柜：</w:t>
                  </w:r>
                </w:p>
                <w:p>
                  <w:pPr>
                    <w:pStyle w:val="null3"/>
                    <w:jc w:val="both"/>
                  </w:pPr>
                  <w:r>
                    <w:rPr>
                      <w:rFonts w:ascii="仿宋_GB2312" w:hAnsi="仿宋_GB2312" w:cs="仿宋_GB2312" w:eastAsia="仿宋_GB2312"/>
                      <w:sz w:val="20"/>
                    </w:rPr>
                    <w:t>控制柜内部集成电源分配、直流电源模块、工业计算机（</w:t>
                  </w:r>
                  <w:r>
                    <w:rPr>
                      <w:rFonts w:ascii="仿宋_GB2312" w:hAnsi="仿宋_GB2312" w:cs="仿宋_GB2312" w:eastAsia="仿宋_GB2312"/>
                      <w:sz w:val="20"/>
                    </w:rPr>
                    <w:t>CPU：≥8核12线程，基础主频≥2.7GHz；内存：</w:t>
                  </w:r>
                  <w:r>
                    <w:rPr>
                      <w:rFonts w:ascii="仿宋_GB2312" w:hAnsi="仿宋_GB2312" w:cs="仿宋_GB2312" w:eastAsia="仿宋_GB2312"/>
                      <w:sz w:val="20"/>
                    </w:rPr>
                    <w:t>≥</w:t>
                  </w:r>
                  <w:r>
                    <w:rPr>
                      <w:rFonts w:ascii="仿宋_GB2312" w:hAnsi="仿宋_GB2312" w:cs="仿宋_GB2312" w:eastAsia="仿宋_GB2312"/>
                      <w:sz w:val="20"/>
                    </w:rPr>
                    <w:t>64GB；硬盘</w:t>
                  </w:r>
                  <w:r>
                    <w:rPr>
                      <w:rFonts w:ascii="仿宋_GB2312" w:hAnsi="仿宋_GB2312" w:cs="仿宋_GB2312" w:eastAsia="仿宋_GB2312"/>
                      <w:sz w:val="20"/>
                    </w:rPr>
                    <w:t>≥</w:t>
                  </w:r>
                  <w:r>
                    <w:rPr>
                      <w:rFonts w:ascii="仿宋_GB2312" w:hAnsi="仿宋_GB2312" w:cs="仿宋_GB2312" w:eastAsia="仿宋_GB2312"/>
                      <w:sz w:val="20"/>
                    </w:rPr>
                    <w:t>512 GB SSD+1T机械,显存≥4G）、三维移动平台驱动器，系统总控制器，急停开关</w:t>
                  </w:r>
                </w:p>
              </w:tc>
              <w:tc>
                <w:tcPr>
                  <w:tcW w:type="dxa" w:w="223"/>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6</w:t>
                  </w:r>
                </w:p>
              </w:tc>
              <w:tc>
                <w:tcPr>
                  <w:tcW w:type="dxa" w:w="140"/>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控制软件及功能</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控制激光器的开关与其他参数调节控制；提供激光参数调节控制接口；实现三维移动平台与激光器协同工作的精确同步；样品的定位和样品的加工；实现激光功率调节与监测；实现机器视觉监测系统中光源的控制、工业视频相机的控制；提供实时功率监控接口；实现实时加工图像的存档、读取。数据库可以存储、读取常用样品的最优化的加工参数；可针对部分新样品给出推荐的加工参数。</w:t>
                  </w:r>
                </w:p>
                <w:p>
                  <w:pPr>
                    <w:pStyle w:val="null3"/>
                    <w:numPr>
                      <w:ilvl w:val="0"/>
                      <w:numId w:val="1"/>
                    </w:numPr>
                  </w:pPr>
                  <w:r>
                    <w:rPr>
                      <w:rFonts w:ascii="仿宋_GB2312" w:hAnsi="仿宋_GB2312" w:cs="仿宋_GB2312" w:eastAsia="仿宋_GB2312"/>
                      <w:sz w:val="20"/>
                    </w:rPr>
                    <w:t>具备图形文件导入、编辑并直接加工</w:t>
                  </w:r>
                </w:p>
                <w:p>
                  <w:pPr>
                    <w:pStyle w:val="null3"/>
                    <w:numPr>
                      <w:ilvl w:val="0"/>
                      <w:numId w:val="1"/>
                    </w:numPr>
                  </w:pPr>
                  <w:r>
                    <w:rPr>
                      <w:rFonts w:ascii="仿宋_GB2312" w:hAnsi="仿宋_GB2312" w:cs="仿宋_GB2312" w:eastAsia="仿宋_GB2312"/>
                      <w:sz w:val="20"/>
                    </w:rPr>
                    <w:t>支持</w:t>
                  </w:r>
                  <w:r>
                    <w:rPr>
                      <w:rFonts w:ascii="仿宋_GB2312" w:hAnsi="仿宋_GB2312" w:cs="仿宋_GB2312" w:eastAsia="仿宋_GB2312"/>
                      <w:sz w:val="20"/>
                    </w:rPr>
                    <w:t>CAD软件DXF、DWG等格式的文档直接导入、存储或导出</w:t>
                  </w:r>
                </w:p>
                <w:p>
                  <w:pPr>
                    <w:pStyle w:val="null3"/>
                    <w:numPr>
                      <w:ilvl w:val="0"/>
                      <w:numId w:val="1"/>
                    </w:numPr>
                  </w:pPr>
                  <w:r>
                    <w:rPr>
                      <w:rFonts w:ascii="仿宋_GB2312" w:hAnsi="仿宋_GB2312" w:cs="仿宋_GB2312" w:eastAsia="仿宋_GB2312"/>
                      <w:sz w:val="20"/>
                    </w:rPr>
                    <w:t>操作界面具备加工图形的编辑窗口，可对导入的图纸进行在线的增删或修改</w:t>
                  </w:r>
                </w:p>
                <w:p>
                  <w:pPr>
                    <w:pStyle w:val="null3"/>
                    <w:numPr>
                      <w:ilvl w:val="0"/>
                      <w:numId w:val="1"/>
                    </w:numPr>
                  </w:pPr>
                  <w:r>
                    <w:rPr>
                      <w:rFonts w:ascii="仿宋_GB2312" w:hAnsi="仿宋_GB2312" w:cs="仿宋_GB2312" w:eastAsia="仿宋_GB2312"/>
                      <w:sz w:val="20"/>
                    </w:rPr>
                    <w:t>软件提供基本的绘图功能，可在软件中直接绘图</w:t>
                  </w:r>
                </w:p>
                <w:p>
                  <w:pPr>
                    <w:pStyle w:val="null3"/>
                    <w:numPr>
                      <w:ilvl w:val="0"/>
                      <w:numId w:val="1"/>
                    </w:numPr>
                  </w:pPr>
                  <w:r>
                    <w:rPr>
                      <w:rFonts w:ascii="仿宋_GB2312" w:hAnsi="仿宋_GB2312" w:cs="仿宋_GB2312" w:eastAsia="仿宋_GB2312"/>
                      <w:sz w:val="20"/>
                    </w:rPr>
                    <w:t>可根据加工要求，对图纸不同图层的加工元素编辑不同的加工参数；对加工工艺参数具备编辑、存档、导入功能</w:t>
                  </w:r>
                </w:p>
                <w:p>
                  <w:pPr>
                    <w:pStyle w:val="null3"/>
                    <w:numPr>
                      <w:ilvl w:val="0"/>
                      <w:numId w:val="1"/>
                    </w:numPr>
                  </w:pPr>
                  <w:r>
                    <w:rPr>
                      <w:rFonts w:ascii="仿宋_GB2312" w:hAnsi="仿宋_GB2312" w:cs="仿宋_GB2312" w:eastAsia="仿宋_GB2312"/>
                      <w:sz w:val="20"/>
                    </w:rPr>
                    <w:t>具备加工演示功能</w:t>
                  </w:r>
                </w:p>
                <w:p>
                  <w:pPr>
                    <w:pStyle w:val="null3"/>
                    <w:numPr>
                      <w:ilvl w:val="0"/>
                      <w:numId w:val="1"/>
                    </w:numPr>
                  </w:pPr>
                  <w:r>
                    <w:rPr>
                      <w:rFonts w:ascii="仿宋_GB2312" w:hAnsi="仿宋_GB2312" w:cs="仿宋_GB2312" w:eastAsia="仿宋_GB2312"/>
                      <w:sz w:val="20"/>
                    </w:rPr>
                    <w:t>软件具备加工参数数据库，具备数据存储、计算分析、图文显示等功能</w:t>
                  </w:r>
                </w:p>
                <w:p>
                  <w:pPr>
                    <w:pStyle w:val="null3"/>
                    <w:numPr>
                      <w:ilvl w:val="0"/>
                      <w:numId w:val="1"/>
                    </w:numPr>
                  </w:pPr>
                  <w:r>
                    <w:rPr>
                      <w:rFonts w:ascii="仿宋_GB2312" w:hAnsi="仿宋_GB2312" w:cs="仿宋_GB2312" w:eastAsia="仿宋_GB2312"/>
                      <w:sz w:val="20"/>
                    </w:rPr>
                    <w:t>具备对各运动轴的监控功能，当出现运动异常时及时报警，并给出解决方案</w:t>
                  </w:r>
                </w:p>
              </w:tc>
              <w:tc>
                <w:tcPr>
                  <w:tcW w:type="dxa" w:w="223"/>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7</w:t>
                  </w:r>
                </w:p>
              </w:tc>
              <w:tc>
                <w:tcPr>
                  <w:tcW w:type="dxa" w:w="140"/>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供电需求：</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单相：</w:t>
                  </w:r>
                  <w:r>
                    <w:rPr>
                      <w:rFonts w:ascii="仿宋_GB2312" w:hAnsi="仿宋_GB2312" w:cs="仿宋_GB2312" w:eastAsia="仿宋_GB2312"/>
                      <w:sz w:val="20"/>
                    </w:rPr>
                    <w:t>220V 50Hz ±10%；</w:t>
                  </w:r>
                </w:p>
                <w:p>
                  <w:pPr>
                    <w:pStyle w:val="null3"/>
                    <w:numPr>
                      <w:ilvl w:val="0"/>
                      <w:numId w:val="1"/>
                    </w:numPr>
                  </w:pPr>
                  <w:r>
                    <w:rPr>
                      <w:rFonts w:ascii="仿宋_GB2312" w:hAnsi="仿宋_GB2312" w:cs="仿宋_GB2312" w:eastAsia="仿宋_GB2312"/>
                      <w:sz w:val="20"/>
                    </w:rPr>
                    <w:t>电源输入应有过压、过流保护；</w:t>
                  </w:r>
                </w:p>
                <w:p>
                  <w:pPr>
                    <w:pStyle w:val="null3"/>
                    <w:numPr>
                      <w:ilvl w:val="0"/>
                      <w:numId w:val="1"/>
                    </w:numPr>
                  </w:pPr>
                  <w:r>
                    <w:rPr>
                      <w:rFonts w:ascii="仿宋_GB2312" w:hAnsi="仿宋_GB2312" w:cs="仿宋_GB2312" w:eastAsia="仿宋_GB2312"/>
                      <w:sz w:val="20"/>
                    </w:rPr>
                    <w:t>瞬时电流有效值</w:t>
                  </w:r>
                  <w:r>
                    <w:rPr>
                      <w:rFonts w:ascii="仿宋_GB2312" w:hAnsi="仿宋_GB2312" w:cs="仿宋_GB2312" w:eastAsia="仿宋_GB2312"/>
                      <w:sz w:val="20"/>
                    </w:rPr>
                    <w:t>≥</w:t>
                  </w:r>
                  <w:r>
                    <w:rPr>
                      <w:rFonts w:ascii="仿宋_GB2312" w:hAnsi="仿宋_GB2312" w:cs="仿宋_GB2312" w:eastAsia="仿宋_GB2312"/>
                      <w:sz w:val="20"/>
                    </w:rPr>
                    <w:t>10A；</w:t>
                  </w:r>
                </w:p>
              </w:tc>
              <w:tc>
                <w:tcPr>
                  <w:tcW w:type="dxa" w:w="223"/>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0"/>
                    </w:rPr>
                    <w:t>8</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center"/>
                  </w:p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使用储存环境条件</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1)工作温度15~30℃；</w:t>
                  </w:r>
                </w:p>
                <w:p>
                  <w:pPr>
                    <w:pStyle w:val="null3"/>
                  </w:pPr>
                  <w:r>
                    <w:rPr>
                      <w:rFonts w:ascii="仿宋_GB2312" w:hAnsi="仿宋_GB2312" w:cs="仿宋_GB2312" w:eastAsia="仿宋_GB2312"/>
                      <w:sz w:val="20"/>
                    </w:rPr>
                    <w:t>2)相对湿度(50±20)％；</w:t>
                  </w:r>
                </w:p>
                <w:p>
                  <w:pPr>
                    <w:pStyle w:val="null3"/>
                  </w:pPr>
                  <w:r>
                    <w:rPr>
                      <w:rFonts w:ascii="仿宋_GB2312" w:hAnsi="仿宋_GB2312" w:cs="仿宋_GB2312" w:eastAsia="仿宋_GB2312"/>
                      <w:sz w:val="20"/>
                    </w:rPr>
                    <w:t>3)设备安装空间：4000mm（W）×3000mm（L）×2500mm（H）</w:t>
                  </w:r>
                </w:p>
                <w:p>
                  <w:pPr>
                    <w:pStyle w:val="null3"/>
                  </w:pPr>
                  <w:r>
                    <w:rPr>
                      <w:rFonts w:ascii="仿宋_GB2312" w:hAnsi="仿宋_GB2312" w:cs="仿宋_GB2312" w:eastAsia="仿宋_GB2312"/>
                      <w:sz w:val="20"/>
                    </w:rPr>
                    <w:t>4)洁净度：10万级或10万级以上无尘环境</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1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（注：所有技术参数均须满足采购要求，不得负偏离。其中标注</w:t>
                  </w:r>
                  <w:r>
                    <w:rPr>
                      <w:rFonts w:ascii="仿宋_GB2312" w:hAnsi="仿宋_GB2312" w:cs="仿宋_GB2312" w:eastAsia="仿宋_GB2312"/>
                      <w:sz w:val="20"/>
                    </w:rPr>
                    <w:t>▲</w:t>
                  </w:r>
                  <w:r>
                    <w:rPr>
                      <w:rFonts w:ascii="仿宋_GB2312" w:hAnsi="仿宋_GB2312" w:cs="仿宋_GB2312" w:eastAsia="仿宋_GB2312"/>
                      <w:sz w:val="20"/>
                    </w:rPr>
                    <w:t>须</w:t>
                  </w:r>
                  <w:r>
                    <w:rPr>
                      <w:rFonts w:ascii="仿宋_GB2312" w:hAnsi="仿宋_GB2312" w:cs="仿宋_GB2312" w:eastAsia="仿宋_GB2312"/>
                      <w:sz w:val="20"/>
                      <w:b/>
                    </w:rPr>
                    <w:t>提供官方支撑材料，不限于官网截图、产品彩页、检测报告、技术白皮书等任意一种。）</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合同签订后，60天内备货并送至采购人指定地点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进度款，调试安装后，甲方应在15个工作日内验收完毕，达到付款条件起15个工作日内，支付合同总金额的50.0%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成交供应商将设备器材运达采购人指定的库房后，采购人根据合同要求，在合同双方代表等相关负责人同时在场的情况下，进行外观验收，确认品牌型号和数量；设备器材全部安装调试完毕后，由成交供应商向采购人提交纸质版项目验收申请书。由采购人组织验收，按照关于印发《政府采购需求管理办法》的通知（财库〔2021〕22号）和《财政部关于进一步加强政府采购需求和履约验收管理的指导意见》(财库〔2016〕205号)的要求以及采购文件、成交供应商的磋商响应文件进行验收，以满足采购人的实际需求为准。（2）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1.质保期为验收合格后不少于2年。成交供应商承诺的质保时间超过竞争性谈判文件要求的，按其承诺时间质保。 2.成交供应商承诺的质保期起始时间为验收合格之日。 3.在安装期间，成交供应商有必要对使用人员进行技术培训，以确保采购人能够有效处理相关问题。 4.成交供应商须提供该货物的技术培训、技术支持和维修巡检服务，服务内容包括负责安装调试完成后质保期内免费进行现场培训、理论培训、操作培训等。 5.成交供应商须对售后服务需求提供在工作日内1小时响应，2小时内通过远程、电话等方式解决问题，如无法解决，24小时内到达现场实施维修。72小时仍未排除故障、恢复正常运转的，由成交供应商提供同类型备品、备件等。 6.售后服务：培训3次，在质保期满前15天对系统进行升级（费用已含在报价中）</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在结果公告发布之日起5个工作日内，提交响应文件一正一副纸质磋商响应文件和电子版磋商响应文件1份（U盘存储）至西安市雁塔区二环南路西段88号老三届世纪星大厦30层AB座（陕西明正招标有限公司）用于备案。注：成交后提交的纸质文件（备案用）应当从专用制作软件中直接打印，与电子磋商响应文件保持一致，不允许补充和修改。 2、供应商对其所销售的货物应当享有知识产权或经权利人合法授权，保证没有侵犯任何第三人的知识产权等权利。因违反前述约定对第三人构成侵权的，应当由供应商向第三人承担法律责任。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4、一、本国产品标准本国产品应当符合以下条件：（一）在中国境内生产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 1.为确保产品在运输或者储存期间保持某种状态而进行的操作；2.为产品运输或者销售进行的包装或者展示；3.在产品或者其包装上粘贴或者印刷品牌、标志、标识以及其他用于区别的标记； 4.简单的上漆、磨光和分装；5.其他不属于属性改变的情形。（二）在中国境内生产的组件成本占比达到规定比例产品在中国境内生产的组件成本占比应当达到规定比例，计算公式为：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三）特定产品的关键组件、关键工序符合相关要求对特定产品，在符合本通知第一条第（一）项和第（二）项条件的基础上，应当符合财政部会同有关行业主管部门确定的其关键组件、关键工序在中国境内生产、完成等要求。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二、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三、对本国产品的支持政策 政府采购活动中既有本国产品又有非本国产品参与竞争的，依法对本国产品给予价格评审优惠，对本国产品的报价给予20%的价格扣除，用扣除后的价格参与评审。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（2）财务状况报告：提供经审计的2025年度财务报告或谈判前六个月内其本公司银行账户出具的资信证明或政府采购专业担保机构出具的谈判担保函（事业单位可不提供）（加盖公章）；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响应方案说明.docx 产品技术参数表 分项报价表.docx 特殊资格要求.docx 供应商认为有必要补充说明的事项.docx 商务应答表 一般资格要求.docx 业绩证明材料.docx 关于符合本国产品标准的声明函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提供经审计的2025年度财务报告或谈判前六个月内其本公司银行账户出具的资信证明或政府采购专业担保机构出具的谈判担保函（事业单位可不提供）（加盖公章）。</w:t>
            </w:r>
          </w:p>
        </w:tc>
        <w:tc>
          <w:tcPr>
            <w:tcW w:type="dxa" w:w="1661"/>
          </w:tcPr>
          <w:p>
            <w:pPr>
              <w:pStyle w:val="null3"/>
            </w:pPr>
            <w:r>
              <w:rPr>
                <w:rFonts w:ascii="仿宋_GB2312" w:hAnsi="仿宋_GB2312" w:cs="仿宋_GB2312" w:eastAsia="仿宋_GB2312"/>
              </w:rPr>
              <w:t>特殊资格要求.docx 一般资格要求.docx 响应函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并提供谈判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同时满足以下条款： 完全响应谈判文件要求的各项技术/服务/商务实质性条款。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签署、盖章合法、有效</w:t>
            </w:r>
          </w:p>
        </w:tc>
        <w:tc>
          <w:tcPr>
            <w:tcW w:type="dxa" w:w="1661"/>
          </w:tcPr>
          <w:p>
            <w:pPr>
              <w:pStyle w:val="null3"/>
            </w:pPr>
            <w:r>
              <w:rPr>
                <w:rFonts w:ascii="仿宋_GB2312" w:hAnsi="仿宋_GB2312" w:cs="仿宋_GB2312" w:eastAsia="仿宋_GB2312"/>
              </w:rPr>
              <w:t>中小企业声明函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