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952FCD">
      <w:pPr>
        <w:pStyle w:val="19"/>
        <w:jc w:val="right"/>
        <w:rPr>
          <w:rFonts w:hint="eastAsia" w:ascii="仿宋" w:hAnsi="仿宋" w:eastAsia="仿宋" w:cs="仿宋"/>
        </w:rPr>
      </w:pPr>
      <w:bookmarkStart w:id="32" w:name="_GoBack"/>
      <w:bookmarkEnd w:id="32"/>
    </w:p>
    <w:p w14:paraId="461A4F28">
      <w:pPr>
        <w:pStyle w:val="19"/>
        <w:keepNext w:val="0"/>
        <w:keepLines w:val="0"/>
        <w:pageBreakBefore w:val="0"/>
        <w:widowControl/>
        <w:kinsoku/>
        <w:wordWrap/>
        <w:overflowPunct/>
        <w:topLinePunct w:val="0"/>
        <w:autoSpaceDE/>
        <w:autoSpaceDN/>
        <w:bidi w:val="0"/>
        <w:adjustRightInd w:val="0"/>
        <w:snapToGrid w:val="0"/>
        <w:spacing w:line="400" w:lineRule="exact"/>
        <w:jc w:val="center"/>
        <w:textAlignment w:val="auto"/>
        <w:outlineLvl w:val="1"/>
        <w:rPr>
          <w:rFonts w:hint="eastAsia" w:ascii="仿宋" w:hAnsi="仿宋" w:eastAsia="仿宋" w:cs="仿宋"/>
          <w:b/>
          <w:sz w:val="28"/>
          <w:szCs w:val="28"/>
          <w:lang w:eastAsia="zh-CN"/>
        </w:rPr>
      </w:pPr>
      <w:bookmarkStart w:id="0" w:name="_Toc32284"/>
      <w:r>
        <w:rPr>
          <w:rFonts w:hint="eastAsia" w:ascii="仿宋" w:hAnsi="仿宋" w:eastAsia="仿宋" w:cs="仿宋"/>
          <w:b/>
          <w:sz w:val="28"/>
          <w:szCs w:val="28"/>
        </w:rPr>
        <w:t>第八章 拟签订采购合同文本</w:t>
      </w:r>
      <w:bookmarkEnd w:id="0"/>
    </w:p>
    <w:p w14:paraId="4C446FC9">
      <w:pPr>
        <w:spacing w:line="360" w:lineRule="auto"/>
        <w:jc w:val="center"/>
        <w:outlineLvl w:val="9"/>
        <w:rPr>
          <w:rFonts w:hint="eastAsia" w:ascii="仿宋" w:hAnsi="仿宋" w:eastAsia="仿宋" w:cs="仿宋"/>
          <w:b/>
          <w:bCs/>
          <w:color w:val="auto"/>
          <w:kern w:val="44"/>
          <w:sz w:val="24"/>
          <w:highlight w:val="none"/>
          <w:lang w:eastAsia="zh-CN"/>
        </w:rPr>
      </w:pPr>
    </w:p>
    <w:p w14:paraId="39B648C5">
      <w:pPr>
        <w:spacing w:line="360" w:lineRule="auto"/>
        <w:ind w:firstLine="1084" w:firstLineChars="300"/>
        <w:jc w:val="center"/>
        <w:outlineLvl w:val="9"/>
        <w:rPr>
          <w:rFonts w:hint="eastAsia" w:ascii="仿宋" w:hAnsi="仿宋" w:eastAsia="仿宋" w:cs="仿宋"/>
          <w:b/>
          <w:color w:val="auto"/>
          <w:sz w:val="36"/>
          <w:szCs w:val="36"/>
          <w:highlight w:val="none"/>
          <w:lang w:eastAsia="zh-CN"/>
        </w:rPr>
      </w:pPr>
    </w:p>
    <w:p w14:paraId="025DFFC6">
      <w:pPr>
        <w:spacing w:line="360" w:lineRule="auto"/>
        <w:ind w:firstLine="1084" w:firstLineChars="300"/>
        <w:jc w:val="center"/>
        <w:outlineLvl w:val="9"/>
        <w:rPr>
          <w:rFonts w:hint="eastAsia" w:ascii="仿宋" w:hAnsi="仿宋" w:eastAsia="仿宋" w:cs="仿宋"/>
          <w:b/>
          <w:color w:val="auto"/>
          <w:sz w:val="36"/>
          <w:szCs w:val="36"/>
          <w:highlight w:val="none"/>
          <w:lang w:eastAsia="zh-CN"/>
        </w:rPr>
      </w:pPr>
    </w:p>
    <w:p w14:paraId="1A8F88FE">
      <w:pPr>
        <w:spacing w:line="360" w:lineRule="auto"/>
        <w:ind w:firstLine="1084" w:firstLineChars="300"/>
        <w:jc w:val="center"/>
        <w:outlineLvl w:val="9"/>
        <w:rPr>
          <w:rFonts w:hint="eastAsia" w:ascii="仿宋" w:hAnsi="仿宋" w:eastAsia="仿宋" w:cs="仿宋"/>
          <w:b/>
          <w:color w:val="auto"/>
          <w:sz w:val="36"/>
          <w:szCs w:val="36"/>
          <w:highlight w:val="none"/>
          <w:lang w:eastAsia="zh-CN"/>
        </w:rPr>
      </w:pPr>
    </w:p>
    <w:p w14:paraId="6E69BF1B">
      <w:pPr>
        <w:spacing w:line="360" w:lineRule="auto"/>
        <w:jc w:val="center"/>
        <w:outlineLvl w:val="9"/>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6"/>
          <w:szCs w:val="36"/>
          <w:highlight w:val="none"/>
          <w:lang w:eastAsia="zh-CN"/>
        </w:rPr>
        <w:t>红十字博爱送万家慰问箱采购项目</w:t>
      </w:r>
    </w:p>
    <w:p w14:paraId="6FE1C439">
      <w:pPr>
        <w:spacing w:line="720" w:lineRule="auto"/>
        <w:jc w:val="center"/>
        <w:rPr>
          <w:rFonts w:hint="eastAsia" w:hAnsi="宋体" w:cs="宋体"/>
          <w:b/>
          <w:sz w:val="36"/>
          <w:szCs w:val="36"/>
        </w:rPr>
      </w:pPr>
      <w:r>
        <w:rPr>
          <w:rFonts w:hint="eastAsia" w:ascii="仿宋" w:hAnsi="仿宋" w:eastAsia="仿宋" w:cs="仿宋"/>
          <w:b/>
          <w:sz w:val="32"/>
          <w:szCs w:val="32"/>
        </w:rPr>
        <w:t>（示范文本</w:t>
      </w:r>
      <w:r>
        <w:rPr>
          <w:rFonts w:hint="eastAsia" w:ascii="仿宋" w:hAnsi="仿宋" w:eastAsia="仿宋" w:cs="仿宋"/>
          <w:b/>
          <w:sz w:val="32"/>
          <w:szCs w:val="32"/>
          <w:lang w:eastAsia="zh-CN"/>
        </w:rPr>
        <w:t>，</w:t>
      </w:r>
      <w:r>
        <w:rPr>
          <w:rFonts w:hint="eastAsia" w:ascii="仿宋" w:hAnsi="仿宋" w:eastAsia="仿宋" w:cs="仿宋"/>
          <w:b/>
          <w:sz w:val="32"/>
          <w:szCs w:val="32"/>
          <w:lang w:val="en-US" w:eastAsia="zh-CN"/>
        </w:rPr>
        <w:t>最终以会签版本为准</w:t>
      </w:r>
      <w:r>
        <w:rPr>
          <w:rFonts w:hint="eastAsia" w:ascii="仿宋" w:hAnsi="仿宋" w:eastAsia="仿宋" w:cs="仿宋"/>
          <w:b/>
          <w:sz w:val="32"/>
          <w:szCs w:val="32"/>
        </w:rPr>
        <w:t>）</w:t>
      </w:r>
    </w:p>
    <w:p w14:paraId="0A48E868">
      <w:pPr>
        <w:spacing w:line="360" w:lineRule="auto"/>
        <w:ind w:firstLine="964" w:firstLineChars="300"/>
        <w:jc w:val="center"/>
        <w:outlineLvl w:val="9"/>
        <w:rPr>
          <w:rFonts w:hint="eastAsia" w:ascii="仿宋" w:hAnsi="仿宋" w:eastAsia="仿宋" w:cs="仿宋"/>
          <w:b/>
          <w:color w:val="auto"/>
          <w:sz w:val="32"/>
          <w:szCs w:val="32"/>
          <w:highlight w:val="none"/>
          <w:lang w:eastAsia="zh-CN"/>
        </w:rPr>
      </w:pPr>
    </w:p>
    <w:p w14:paraId="58C3709A">
      <w:pPr>
        <w:spacing w:line="360" w:lineRule="auto"/>
        <w:ind w:firstLine="1606" w:firstLineChars="500"/>
        <w:jc w:val="both"/>
        <w:outlineLvl w:val="9"/>
        <w:rPr>
          <w:rFonts w:hint="eastAsia" w:ascii="仿宋" w:hAnsi="仿宋" w:eastAsia="仿宋" w:cs="仿宋"/>
          <w:b/>
          <w:color w:val="auto"/>
          <w:sz w:val="32"/>
          <w:szCs w:val="32"/>
          <w:highlight w:val="none"/>
          <w:lang w:eastAsia="zh-CN"/>
        </w:rPr>
      </w:pPr>
    </w:p>
    <w:p w14:paraId="3CC1AD36">
      <w:pPr>
        <w:spacing w:line="360" w:lineRule="auto"/>
        <w:ind w:firstLine="1606" w:firstLineChars="500"/>
        <w:jc w:val="both"/>
        <w:outlineLvl w:val="9"/>
        <w:rPr>
          <w:rFonts w:hint="eastAsia" w:ascii="仿宋" w:hAnsi="仿宋" w:eastAsia="仿宋" w:cs="仿宋"/>
          <w:b/>
          <w:color w:val="auto"/>
          <w:sz w:val="32"/>
          <w:szCs w:val="32"/>
          <w:highlight w:val="none"/>
          <w:lang w:eastAsia="zh-CN"/>
        </w:rPr>
      </w:pPr>
    </w:p>
    <w:p w14:paraId="49059043">
      <w:pPr>
        <w:spacing w:line="360" w:lineRule="auto"/>
        <w:outlineLvl w:val="9"/>
        <w:rPr>
          <w:rFonts w:hint="eastAsia" w:ascii="仿宋" w:hAnsi="仿宋" w:eastAsia="仿宋" w:cs="仿宋"/>
          <w:color w:val="auto"/>
          <w:sz w:val="24"/>
          <w:highlight w:val="none"/>
          <w:lang w:eastAsia="zh-CN"/>
        </w:rPr>
      </w:pPr>
    </w:p>
    <w:p w14:paraId="4B2EBB84">
      <w:pPr>
        <w:spacing w:line="360" w:lineRule="auto"/>
        <w:jc w:val="center"/>
        <w:outlineLvl w:val="9"/>
        <w:rPr>
          <w:rFonts w:hint="eastAsia" w:ascii="仿宋" w:hAnsi="仿宋" w:eastAsia="仿宋" w:cs="仿宋"/>
          <w:b/>
          <w:color w:val="auto"/>
          <w:sz w:val="52"/>
          <w:szCs w:val="52"/>
          <w:highlight w:val="none"/>
          <w:lang w:eastAsia="zh-CN"/>
        </w:rPr>
      </w:pPr>
      <w:r>
        <w:rPr>
          <w:rFonts w:hint="eastAsia" w:ascii="仿宋" w:hAnsi="仿宋" w:eastAsia="仿宋" w:cs="仿宋"/>
          <w:b/>
          <w:color w:val="auto"/>
          <w:sz w:val="52"/>
          <w:szCs w:val="52"/>
          <w:highlight w:val="none"/>
          <w:lang w:eastAsia="zh-CN"/>
        </w:rPr>
        <w:t>合同书</w:t>
      </w:r>
    </w:p>
    <w:p w14:paraId="667D2F01">
      <w:pPr>
        <w:spacing w:line="360" w:lineRule="auto"/>
        <w:outlineLvl w:val="9"/>
        <w:rPr>
          <w:rFonts w:hint="eastAsia" w:ascii="仿宋" w:hAnsi="仿宋" w:eastAsia="仿宋" w:cs="仿宋"/>
          <w:color w:val="auto"/>
          <w:sz w:val="24"/>
          <w:highlight w:val="none"/>
          <w:lang w:eastAsia="zh-CN"/>
        </w:rPr>
      </w:pPr>
    </w:p>
    <w:p w14:paraId="2B9405BF">
      <w:pPr>
        <w:spacing w:line="360" w:lineRule="auto"/>
        <w:outlineLvl w:val="9"/>
        <w:rPr>
          <w:rFonts w:hint="eastAsia" w:ascii="仿宋" w:hAnsi="仿宋" w:eastAsia="仿宋" w:cs="仿宋"/>
          <w:color w:val="auto"/>
          <w:sz w:val="24"/>
          <w:highlight w:val="none"/>
          <w:lang w:eastAsia="zh-CN"/>
        </w:rPr>
      </w:pPr>
    </w:p>
    <w:p w14:paraId="410E4FD3">
      <w:pPr>
        <w:outlineLvl w:val="9"/>
        <w:rPr>
          <w:rFonts w:hint="eastAsia" w:ascii="仿宋" w:hAnsi="仿宋" w:eastAsia="仿宋" w:cs="仿宋"/>
          <w:color w:val="auto"/>
          <w:highlight w:val="none"/>
          <w:lang w:eastAsia="zh-CN"/>
        </w:rPr>
      </w:pPr>
    </w:p>
    <w:p w14:paraId="64DE2678">
      <w:pPr>
        <w:rPr>
          <w:rFonts w:hint="eastAsia" w:ascii="仿宋" w:hAnsi="仿宋" w:eastAsia="仿宋" w:cs="仿宋"/>
          <w:color w:val="auto"/>
          <w:lang w:eastAsia="zh-CN"/>
        </w:rPr>
      </w:pPr>
    </w:p>
    <w:p w14:paraId="23883423">
      <w:pPr>
        <w:spacing w:line="360" w:lineRule="auto"/>
        <w:ind w:firstLine="1687" w:firstLineChars="600"/>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lang w:eastAsia="zh-CN"/>
        </w:rPr>
        <w:t>采购人（甲方）：</w:t>
      </w:r>
      <w:r>
        <w:rPr>
          <w:rFonts w:hint="eastAsia" w:ascii="仿宋" w:hAnsi="仿宋" w:eastAsia="仿宋" w:cs="仿宋"/>
          <w:b/>
          <w:bCs/>
          <w:color w:val="auto"/>
          <w:sz w:val="28"/>
          <w:szCs w:val="28"/>
          <w:highlight w:val="none"/>
          <w:u w:val="single"/>
          <w:lang w:val="en-US" w:eastAsia="zh-CN"/>
        </w:rPr>
        <w:t xml:space="preserve">                        </w:t>
      </w:r>
    </w:p>
    <w:p w14:paraId="4088BCE4">
      <w:pPr>
        <w:spacing w:line="360" w:lineRule="auto"/>
        <w:ind w:firstLine="1687" w:firstLineChars="60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eastAsia="zh-CN"/>
        </w:rPr>
        <w:t>成交人（乙方）：</w:t>
      </w:r>
      <w:r>
        <w:rPr>
          <w:rFonts w:hint="eastAsia" w:ascii="仿宋" w:hAnsi="仿宋" w:eastAsia="仿宋" w:cs="仿宋"/>
          <w:b/>
          <w:bCs/>
          <w:color w:val="auto"/>
          <w:sz w:val="28"/>
          <w:szCs w:val="28"/>
          <w:highlight w:val="none"/>
          <w:u w:val="single"/>
          <w:lang w:val="en-US" w:eastAsia="zh-CN"/>
        </w:rPr>
        <w:t xml:space="preserve">                        </w:t>
      </w:r>
      <w:r>
        <w:rPr>
          <w:rFonts w:hint="eastAsia" w:ascii="仿宋" w:hAnsi="仿宋" w:eastAsia="仿宋" w:cs="仿宋"/>
          <w:b/>
          <w:bCs/>
          <w:color w:val="auto"/>
          <w:sz w:val="28"/>
          <w:szCs w:val="28"/>
          <w:highlight w:val="none"/>
          <w:lang w:val="en-US" w:eastAsia="zh-CN"/>
        </w:rPr>
        <w:t xml:space="preserve"> </w:t>
      </w:r>
    </w:p>
    <w:p w14:paraId="004914E2">
      <w:pPr>
        <w:spacing w:line="360" w:lineRule="auto"/>
        <w:ind w:firstLine="1687" w:firstLineChars="600"/>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lang w:eastAsia="zh-CN"/>
        </w:rPr>
        <w:t>签订日期：</w:t>
      </w:r>
      <w:r>
        <w:rPr>
          <w:rFonts w:hint="eastAsia" w:ascii="仿宋" w:hAnsi="仿宋" w:eastAsia="仿宋" w:cs="仿宋"/>
          <w:b/>
          <w:bCs/>
          <w:color w:val="auto"/>
          <w:sz w:val="28"/>
          <w:szCs w:val="28"/>
          <w:highlight w:val="none"/>
          <w:u w:val="single"/>
          <w:lang w:val="en-US" w:eastAsia="zh-CN"/>
        </w:rPr>
        <w:t xml:space="preserve">                              </w:t>
      </w:r>
    </w:p>
    <w:p w14:paraId="36E94883">
      <w:pPr>
        <w:pStyle w:val="5"/>
        <w:rPr>
          <w:rFonts w:hint="eastAsia" w:ascii="仿宋" w:hAnsi="仿宋" w:eastAsia="仿宋" w:cs="仿宋"/>
          <w:color w:val="auto"/>
          <w:highlight w:val="none"/>
          <w:lang w:eastAsia="zh-CN"/>
        </w:rPr>
      </w:pPr>
    </w:p>
    <w:p w14:paraId="7A42F03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80" w:lineRule="auto"/>
        <w:ind w:left="0" w:right="0" w:firstLine="540"/>
        <w:jc w:val="both"/>
        <w:textAlignment w:val="auto"/>
        <w:rPr>
          <w:rFonts w:hint="eastAsia" w:ascii="仿宋" w:hAnsi="仿宋" w:eastAsia="仿宋" w:cs="仿宋"/>
          <w:color w:val="auto"/>
          <w:sz w:val="24"/>
          <w:szCs w:val="24"/>
        </w:rPr>
      </w:pPr>
    </w:p>
    <w:p w14:paraId="2A6BAEBB">
      <w:pPr>
        <w:keepNext w:val="0"/>
        <w:keepLines w:val="0"/>
        <w:widowControl w:val="0"/>
        <w:suppressLineNumbers w:val="0"/>
        <w:spacing w:before="0" w:beforeAutospacing="0" w:after="0" w:afterAutospacing="0" w:line="360" w:lineRule="auto"/>
        <w:ind w:left="0" w:right="0" w:firstLine="480" w:firstLineChars="200"/>
        <w:jc w:val="both"/>
        <w:rPr>
          <w:rFonts w:hint="eastAsia" w:ascii="仿宋" w:hAnsi="仿宋" w:eastAsia="仿宋" w:cs="仿宋"/>
          <w:color w:val="auto"/>
          <w:kern w:val="2"/>
          <w:sz w:val="24"/>
          <w:szCs w:val="24"/>
          <w:lang w:val="en-US" w:eastAsia="zh-CN" w:bidi="ar"/>
        </w:rPr>
        <w:sectPr>
          <w:footerReference r:id="rId3" w:type="default"/>
          <w:pgSz w:w="11906" w:h="16838"/>
          <w:pgMar w:top="1134" w:right="1134" w:bottom="1134" w:left="1134" w:header="851" w:footer="992" w:gutter="0"/>
          <w:pgNumType w:fmt="decimal"/>
          <w:cols w:space="425" w:num="1"/>
          <w:docGrid w:type="lines" w:linePitch="312" w:charSpace="0"/>
        </w:sectPr>
      </w:pPr>
    </w:p>
    <w:p w14:paraId="7CA266AE">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采购人（全称）：</w:t>
      </w:r>
      <w:r>
        <w:rPr>
          <w:rFonts w:hint="eastAsia" w:ascii="仿宋" w:hAnsi="仿宋" w:eastAsia="仿宋" w:cs="仿宋"/>
          <w:sz w:val="21"/>
          <w:szCs w:val="21"/>
          <w:u w:val="single"/>
          <w:lang w:eastAsia="zh-Hans"/>
        </w:rPr>
        <w:t xml:space="preserve">                                      </w:t>
      </w:r>
    </w:p>
    <w:p w14:paraId="1378D21F">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供应商（全称）：</w:t>
      </w:r>
      <w:r>
        <w:rPr>
          <w:rFonts w:hint="eastAsia" w:ascii="仿宋" w:hAnsi="仿宋" w:eastAsia="仿宋" w:cs="仿宋"/>
          <w:sz w:val="21"/>
          <w:szCs w:val="21"/>
          <w:u w:val="single"/>
          <w:lang w:eastAsia="zh-Hans"/>
        </w:rPr>
        <w:t xml:space="preserve">                                      </w:t>
      </w:r>
    </w:p>
    <w:p w14:paraId="4AA05A1E">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根据《中华人民共和国民法典》及其他有关法律、法规，遵循平等、自愿、公平和诚信的原则，双方双方就下述</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lang w:eastAsia="zh-Hans"/>
        </w:rPr>
        <w:t>协商一致，订立本合同。</w:t>
      </w:r>
    </w:p>
    <w:p w14:paraId="2832F5FB">
      <w:pPr>
        <w:pageBreakBefore w:val="0"/>
        <w:kinsoku/>
        <w:wordWrap/>
        <w:overflowPunct/>
        <w:topLinePunct w:val="0"/>
        <w:autoSpaceDE/>
        <w:autoSpaceDN/>
        <w:bidi w:val="0"/>
        <w:adjustRightInd w:val="0"/>
        <w:snapToGrid w:val="0"/>
        <w:spacing w:line="400" w:lineRule="exact"/>
        <w:ind w:left="0" w:leftChars="0"/>
        <w:textAlignment w:val="auto"/>
        <w:rPr>
          <w:rFonts w:hint="eastAsia" w:ascii="仿宋" w:hAnsi="仿宋" w:eastAsia="仿宋" w:cs="仿宋"/>
          <w:b/>
          <w:sz w:val="21"/>
          <w:szCs w:val="21"/>
          <w:lang w:eastAsia="zh-Hans"/>
        </w:rPr>
      </w:pPr>
      <w:r>
        <w:rPr>
          <w:rFonts w:hint="eastAsia" w:ascii="仿宋" w:hAnsi="仿宋" w:eastAsia="仿宋" w:cs="仿宋"/>
          <w:b/>
          <w:sz w:val="21"/>
          <w:szCs w:val="21"/>
          <w:lang w:eastAsia="zh-Hans"/>
        </w:rPr>
        <w:t>一、项目概况</w:t>
      </w:r>
    </w:p>
    <w:p w14:paraId="1A5F323A">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1.项目名称：</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lang w:eastAsia="zh-Hans"/>
        </w:rPr>
        <w:t>；</w:t>
      </w:r>
    </w:p>
    <w:p w14:paraId="2AB078CE">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2.项目地点：</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lang w:eastAsia="zh-Hans"/>
        </w:rPr>
        <w:t>；</w:t>
      </w:r>
    </w:p>
    <w:p w14:paraId="1BE8AEA9">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Hans"/>
        </w:rPr>
      </w:pPr>
      <w:r>
        <w:rPr>
          <w:rFonts w:hint="eastAsia" w:ascii="仿宋" w:hAnsi="仿宋" w:eastAsia="仿宋" w:cs="仿宋"/>
          <w:sz w:val="21"/>
          <w:szCs w:val="21"/>
          <w:lang w:val="en-US" w:eastAsia="zh-Hans"/>
        </w:rPr>
        <w:t>3.项目性质：政府采购竞争性谈判成交项目，合同标的为</w:t>
      </w:r>
      <w:r>
        <w:rPr>
          <w:rFonts w:hint="eastAsia" w:ascii="仿宋" w:hAnsi="仿宋" w:eastAsia="仿宋" w:cs="仿宋"/>
          <w:sz w:val="21"/>
          <w:szCs w:val="21"/>
          <w:lang w:val="en-US" w:eastAsia="zh-CN"/>
        </w:rPr>
        <w:t>生活</w:t>
      </w:r>
      <w:r>
        <w:rPr>
          <w:rFonts w:hint="eastAsia" w:ascii="仿宋" w:hAnsi="仿宋" w:eastAsia="仿宋" w:cs="仿宋"/>
          <w:sz w:val="21"/>
          <w:szCs w:val="21"/>
          <w:lang w:val="en-US" w:eastAsia="zh-Hans"/>
        </w:rPr>
        <w:t>物资，用于红十字博爱送万家慰问箱采购项目。</w:t>
      </w:r>
    </w:p>
    <w:p w14:paraId="5EE5DD23">
      <w:pPr>
        <w:pageBreakBefore w:val="0"/>
        <w:kinsoku/>
        <w:wordWrap/>
        <w:overflowPunct/>
        <w:topLinePunct w:val="0"/>
        <w:autoSpaceDE/>
        <w:autoSpaceDN/>
        <w:bidi w:val="0"/>
        <w:adjustRightInd w:val="0"/>
        <w:snapToGrid w:val="0"/>
        <w:spacing w:line="400" w:lineRule="exact"/>
        <w:ind w:left="0" w:leftChars="0"/>
        <w:textAlignment w:val="auto"/>
        <w:rPr>
          <w:rFonts w:hint="eastAsia" w:ascii="仿宋" w:hAnsi="仿宋" w:eastAsia="仿宋" w:cs="仿宋"/>
          <w:b/>
          <w:sz w:val="21"/>
          <w:szCs w:val="21"/>
          <w:lang w:eastAsia="zh-Hans"/>
        </w:rPr>
      </w:pPr>
      <w:r>
        <w:rPr>
          <w:rFonts w:hint="eastAsia" w:ascii="仿宋" w:hAnsi="仿宋" w:eastAsia="仿宋" w:cs="仿宋"/>
          <w:b/>
          <w:sz w:val="21"/>
          <w:szCs w:val="21"/>
          <w:lang w:eastAsia="zh-Hans"/>
        </w:rPr>
        <w:t>二、组成本合同的文件</w:t>
      </w:r>
    </w:p>
    <w:p w14:paraId="07F082D7">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1.协议书；</w:t>
      </w:r>
    </w:p>
    <w:p w14:paraId="67A9CE33">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2.成交通知书、谈判响应文件、谈判文件、澄清、谈判补充文件（或委托书）；</w:t>
      </w:r>
    </w:p>
    <w:p w14:paraId="29ACE463">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3.相关服务建议书；</w:t>
      </w:r>
    </w:p>
    <w:p w14:paraId="19E6E301">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4.附录，即：附表内相关服务的范围和内容；</w:t>
      </w:r>
    </w:p>
    <w:p w14:paraId="723C1387">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本合同签订后，双方依法签订的补充协议也是本合同文件的组成部分。</w:t>
      </w:r>
    </w:p>
    <w:p w14:paraId="438C2A43">
      <w:pPr>
        <w:pageBreakBefore w:val="0"/>
        <w:kinsoku/>
        <w:wordWrap/>
        <w:overflowPunct/>
        <w:topLinePunct w:val="0"/>
        <w:autoSpaceDE/>
        <w:autoSpaceDN/>
        <w:bidi w:val="0"/>
        <w:adjustRightInd w:val="0"/>
        <w:snapToGrid w:val="0"/>
        <w:spacing w:line="400" w:lineRule="exact"/>
        <w:ind w:left="0" w:leftChars="0"/>
        <w:textAlignment w:val="auto"/>
        <w:rPr>
          <w:rFonts w:hint="eastAsia" w:ascii="仿宋" w:hAnsi="仿宋" w:eastAsia="仿宋" w:cs="仿宋"/>
          <w:b/>
          <w:sz w:val="21"/>
          <w:szCs w:val="21"/>
          <w:lang w:val="en-US" w:eastAsia="zh-CN"/>
        </w:rPr>
      </w:pPr>
      <w:r>
        <w:rPr>
          <w:rFonts w:hint="eastAsia" w:ascii="仿宋" w:hAnsi="仿宋" w:eastAsia="仿宋" w:cs="仿宋"/>
          <w:b/>
          <w:sz w:val="21"/>
          <w:szCs w:val="21"/>
          <w:lang w:eastAsia="zh-Hans"/>
        </w:rPr>
        <w:t>三、合同价款</w:t>
      </w:r>
      <w:r>
        <w:rPr>
          <w:rFonts w:hint="eastAsia" w:ascii="仿宋" w:hAnsi="仿宋" w:eastAsia="仿宋" w:cs="仿宋"/>
          <w:b/>
          <w:sz w:val="21"/>
          <w:szCs w:val="21"/>
          <w:lang w:val="en-US" w:eastAsia="zh-CN"/>
        </w:rPr>
        <w:t>/购置清单</w:t>
      </w:r>
    </w:p>
    <w:p w14:paraId="29478F2F">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1.本合同为</w:t>
      </w:r>
      <w:r>
        <w:rPr>
          <w:rFonts w:hint="eastAsia" w:ascii="仿宋" w:hAnsi="仿宋" w:eastAsia="仿宋" w:cs="仿宋"/>
          <w:sz w:val="21"/>
          <w:szCs w:val="21"/>
          <w:lang w:val="en-US" w:eastAsia="zh-CN"/>
        </w:rPr>
        <w:t>固定</w:t>
      </w:r>
      <w:r>
        <w:rPr>
          <w:rFonts w:hint="eastAsia" w:ascii="仿宋" w:hAnsi="仿宋" w:eastAsia="仿宋" w:cs="仿宋"/>
          <w:sz w:val="21"/>
          <w:szCs w:val="21"/>
          <w:lang w:eastAsia="zh-Hans"/>
        </w:rPr>
        <w:t>单价合同。</w:t>
      </w:r>
    </w:p>
    <w:p w14:paraId="3D989140">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合同总价（大写）：</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lang w:eastAsia="zh-Hans"/>
        </w:rPr>
        <w:t>（¥</w:t>
      </w:r>
      <w:r>
        <w:rPr>
          <w:rFonts w:hint="eastAsia" w:ascii="仿宋" w:hAnsi="仿宋" w:eastAsia="仿宋" w:cs="仿宋"/>
          <w:sz w:val="21"/>
          <w:szCs w:val="21"/>
          <w:u w:val="single"/>
          <w:lang w:eastAsia="zh-Hans"/>
        </w:rPr>
        <w:t xml:space="preserve">        </w:t>
      </w:r>
      <w:r>
        <w:rPr>
          <w:rFonts w:hint="eastAsia" w:ascii="仿宋" w:hAnsi="仿宋" w:eastAsia="仿宋" w:cs="仿宋"/>
          <w:sz w:val="21"/>
          <w:szCs w:val="21"/>
          <w:lang w:eastAsia="zh-Hans"/>
        </w:rPr>
        <w:t>）；</w:t>
      </w:r>
    </w:p>
    <w:p w14:paraId="2E8A4B12">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val="en-US" w:eastAsia="zh-CN"/>
        </w:rPr>
        <w:t>合同单价：详见附件供货清单；</w:t>
      </w:r>
    </w:p>
    <w:p w14:paraId="18E5F35C">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数</w:t>
      </w:r>
      <w:r>
        <w:rPr>
          <w:rFonts w:hint="eastAsia" w:ascii="仿宋" w:hAnsi="仿宋" w:eastAsia="仿宋" w:cs="仿宋"/>
          <w:sz w:val="21"/>
          <w:szCs w:val="21"/>
          <w:lang w:val="en-US" w:eastAsia="zh-CN"/>
        </w:rPr>
        <w:t xml:space="preserve"> </w:t>
      </w:r>
      <w:r>
        <w:rPr>
          <w:rFonts w:hint="eastAsia" w:ascii="仿宋" w:hAnsi="仿宋" w:eastAsia="仿宋" w:cs="仿宋"/>
          <w:sz w:val="21"/>
          <w:szCs w:val="21"/>
          <w:lang w:eastAsia="zh-Hans"/>
        </w:rPr>
        <w:t>量：详见附件供货清单；</w:t>
      </w:r>
    </w:p>
    <w:p w14:paraId="4BE77F51">
      <w:pPr>
        <w:pageBreakBefore w:val="0"/>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eastAsia="zh-Hans"/>
        </w:rPr>
        <w:t>合同单价乘以最终供货数量即成交价，不受市场价格变化</w:t>
      </w:r>
      <w:r>
        <w:rPr>
          <w:rFonts w:hint="eastAsia" w:ascii="仿宋" w:hAnsi="仿宋" w:eastAsia="仿宋" w:cs="仿宋"/>
          <w:sz w:val="21"/>
          <w:szCs w:val="21"/>
          <w:lang w:eastAsia="zh-CN"/>
        </w:rPr>
        <w:t>、</w:t>
      </w:r>
      <w:r>
        <w:rPr>
          <w:rFonts w:hint="eastAsia" w:ascii="仿宋" w:hAnsi="仿宋" w:eastAsia="仿宋" w:cs="仿宋"/>
          <w:sz w:val="21"/>
          <w:szCs w:val="21"/>
          <w:lang w:eastAsia="zh-Hans"/>
        </w:rPr>
        <w:t>原材料涨跌、人工成本变化影响，合同价格为含税价，供应商（成交人）提供产品所发生的一切税（包括增值税）费</w:t>
      </w:r>
      <w:r>
        <w:rPr>
          <w:rFonts w:hint="eastAsia" w:ascii="仿宋" w:hAnsi="仿宋" w:eastAsia="仿宋" w:cs="仿宋"/>
          <w:sz w:val="21"/>
          <w:szCs w:val="21"/>
          <w:lang w:eastAsia="zh-CN"/>
        </w:rPr>
        <w:t>、</w:t>
      </w:r>
      <w:r>
        <w:rPr>
          <w:rFonts w:hint="eastAsia" w:ascii="仿宋" w:hAnsi="仿宋" w:eastAsia="仿宋" w:cs="仿宋"/>
          <w:sz w:val="21"/>
          <w:szCs w:val="21"/>
          <w:lang w:eastAsia="zh-Hans"/>
        </w:rPr>
        <w:t>包装、运输、装卸、仓储、保险、复检、售后、补货、报废清运等全部费用都已包含于合同价款中</w:t>
      </w:r>
      <w:r>
        <w:rPr>
          <w:rFonts w:hint="eastAsia" w:ascii="仿宋" w:hAnsi="仿宋" w:eastAsia="仿宋" w:cs="仿宋"/>
          <w:sz w:val="21"/>
          <w:szCs w:val="21"/>
          <w:lang w:eastAsia="zh-CN"/>
        </w:rPr>
        <w:t>，采购人</w:t>
      </w:r>
      <w:r>
        <w:rPr>
          <w:rFonts w:hint="eastAsia" w:ascii="仿宋" w:hAnsi="仿宋" w:eastAsia="仿宋" w:cs="仿宋"/>
          <w:sz w:val="21"/>
          <w:szCs w:val="21"/>
          <w:lang w:eastAsia="zh-Hans"/>
        </w:rPr>
        <w:t>无需另行支付任何杂费。</w:t>
      </w:r>
    </w:p>
    <w:p w14:paraId="2C00CB80">
      <w:pPr>
        <w:pageBreakBefore w:val="0"/>
        <w:numPr>
          <w:ilvl w:val="0"/>
          <w:numId w:val="0"/>
        </w:numPr>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eastAsia="zh-Hans"/>
        </w:rPr>
      </w:pPr>
      <w:r>
        <w:rPr>
          <w:rFonts w:hint="eastAsia" w:ascii="仿宋" w:hAnsi="仿宋" w:eastAsia="仿宋" w:cs="仿宋"/>
          <w:sz w:val="21"/>
          <w:szCs w:val="21"/>
          <w:lang w:val="en-US" w:eastAsia="zh-CN"/>
        </w:rPr>
        <w:t>2</w:t>
      </w:r>
      <w:r>
        <w:rPr>
          <w:rFonts w:hint="eastAsia" w:ascii="仿宋" w:hAnsi="仿宋" w:eastAsia="仿宋" w:cs="仿宋"/>
          <w:sz w:val="21"/>
          <w:szCs w:val="21"/>
          <w:lang w:val="en-US" w:eastAsia="zh-Hans"/>
        </w:rPr>
        <w:t>.</w:t>
      </w:r>
      <w:r>
        <w:rPr>
          <w:rFonts w:hint="eastAsia" w:ascii="仿宋" w:hAnsi="仿宋" w:eastAsia="仿宋" w:cs="仿宋"/>
          <w:sz w:val="21"/>
          <w:szCs w:val="21"/>
          <w:lang w:eastAsia="zh-CN"/>
        </w:rPr>
        <w:t>供应商</w:t>
      </w:r>
      <w:r>
        <w:rPr>
          <w:rFonts w:hint="eastAsia" w:ascii="仿宋" w:hAnsi="仿宋" w:eastAsia="仿宋" w:cs="仿宋"/>
          <w:sz w:val="21"/>
          <w:szCs w:val="21"/>
          <w:lang w:eastAsia="zh-Hans"/>
        </w:rPr>
        <w:t>承诺所有单品单价、总价与竞争性谈判最终报价完全一致，不得拆分加价、变相增收费用；若清单存在漏项，视为</w:t>
      </w:r>
      <w:r>
        <w:rPr>
          <w:rFonts w:hint="eastAsia" w:ascii="仿宋" w:hAnsi="仿宋" w:eastAsia="仿宋" w:cs="仿宋"/>
          <w:sz w:val="21"/>
          <w:szCs w:val="21"/>
          <w:lang w:eastAsia="zh-CN"/>
        </w:rPr>
        <w:t>供应商</w:t>
      </w:r>
      <w:r>
        <w:rPr>
          <w:rFonts w:hint="eastAsia" w:ascii="仿宋" w:hAnsi="仿宋" w:eastAsia="仿宋" w:cs="仿宋"/>
          <w:sz w:val="21"/>
          <w:szCs w:val="21"/>
          <w:lang w:eastAsia="zh-Hans"/>
        </w:rPr>
        <w:t>无偿配套，</w:t>
      </w:r>
      <w:r>
        <w:rPr>
          <w:rFonts w:hint="eastAsia" w:ascii="仿宋" w:hAnsi="仿宋" w:eastAsia="仿宋" w:cs="仿宋"/>
          <w:sz w:val="21"/>
          <w:szCs w:val="21"/>
          <w:lang w:eastAsia="zh-CN"/>
        </w:rPr>
        <w:t>采购人</w:t>
      </w:r>
      <w:r>
        <w:rPr>
          <w:rFonts w:hint="eastAsia" w:ascii="仿宋" w:hAnsi="仿宋" w:eastAsia="仿宋" w:cs="仿宋"/>
          <w:sz w:val="21"/>
          <w:szCs w:val="21"/>
          <w:lang w:eastAsia="zh-Hans"/>
        </w:rPr>
        <w:t>不追加任何款项。</w:t>
      </w:r>
    </w:p>
    <w:p w14:paraId="58B40DEB">
      <w:pPr>
        <w:pageBreakBefore w:val="0"/>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rPr>
      </w:pPr>
      <w:r>
        <w:rPr>
          <w:rFonts w:hint="eastAsia" w:ascii="仿宋" w:hAnsi="仿宋" w:eastAsia="仿宋" w:cs="仿宋"/>
          <w:b/>
          <w:sz w:val="21"/>
          <w:szCs w:val="21"/>
        </w:rPr>
        <w:t>四、结算方式</w:t>
      </w:r>
    </w:p>
    <w:p w14:paraId="673730D6">
      <w:pPr>
        <w:pStyle w:val="19"/>
        <w:keepNext w:val="0"/>
        <w:keepLines w:val="0"/>
        <w:pageBreakBefore w:val="0"/>
        <w:widowControl/>
        <w:kinsoku/>
        <w:wordWrap/>
        <w:overflowPunct/>
        <w:topLinePunct w:val="0"/>
        <w:autoSpaceDE/>
        <w:autoSpaceDN/>
        <w:bidi w:val="0"/>
        <w:adjustRightInd w:val="0"/>
        <w:snapToGrid w:val="0"/>
        <w:spacing w:line="400" w:lineRule="exact"/>
        <w:ind w:left="0" w:leftChars="0" w:firstLine="420" w:firstLineChars="200"/>
        <w:textAlignment w:val="auto"/>
        <w:outlineLvl w:val="9"/>
        <w:rPr>
          <w:rFonts w:hint="eastAsia" w:ascii="仿宋" w:hAnsi="仿宋" w:eastAsia="仿宋" w:cs="仿宋"/>
          <w:b/>
          <w:sz w:val="21"/>
          <w:szCs w:val="21"/>
        </w:rPr>
      </w:pPr>
      <w:r>
        <w:rPr>
          <w:rFonts w:hint="eastAsia" w:ascii="仿宋" w:hAnsi="仿宋" w:eastAsia="仿宋" w:cs="仿宋"/>
          <w:sz w:val="21"/>
          <w:szCs w:val="21"/>
        </w:rPr>
        <w:t>1.结算单位：银行转账，由采购人负责结算。在付款前，供应商必须开具与合同金额相应的发票给采购人，附详细</w:t>
      </w:r>
      <w:r>
        <w:rPr>
          <w:rFonts w:hint="eastAsia" w:ascii="仿宋" w:hAnsi="仿宋" w:eastAsia="仿宋" w:cs="仿宋"/>
          <w:sz w:val="21"/>
          <w:szCs w:val="21"/>
          <w:lang w:val="en-US" w:eastAsia="zh-CN"/>
        </w:rPr>
        <w:t>供货</w:t>
      </w:r>
      <w:r>
        <w:rPr>
          <w:rFonts w:hint="eastAsia" w:ascii="仿宋" w:hAnsi="仿宋" w:eastAsia="仿宋" w:cs="仿宋"/>
          <w:sz w:val="21"/>
          <w:szCs w:val="21"/>
        </w:rPr>
        <w:t>清单。</w:t>
      </w:r>
    </w:p>
    <w:p w14:paraId="42DF9711">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left"/>
        <w:textAlignment w:val="auto"/>
        <w:rPr>
          <w:rFonts w:hint="eastAsia" w:ascii="仿宋" w:hAnsi="仿宋" w:eastAsia="仿宋" w:cs="仿宋"/>
          <w:color w:val="auto"/>
          <w:kern w:val="2"/>
          <w:sz w:val="21"/>
          <w:szCs w:val="21"/>
        </w:rPr>
      </w:pPr>
      <w:r>
        <w:rPr>
          <w:rFonts w:hint="eastAsia" w:ascii="仿宋" w:hAnsi="仿宋" w:eastAsia="仿宋" w:cs="仿宋"/>
          <w:sz w:val="21"/>
          <w:szCs w:val="21"/>
        </w:rPr>
        <w:t>2.付款方式：①合同签订</w:t>
      </w:r>
      <w:r>
        <w:rPr>
          <w:rFonts w:hint="eastAsia" w:ascii="仿宋" w:hAnsi="仿宋" w:eastAsia="仿宋" w:cs="仿宋"/>
          <w:sz w:val="21"/>
          <w:szCs w:val="21"/>
          <w:lang w:val="en-US" w:eastAsia="zh-CN"/>
        </w:rPr>
        <w:t>且供应商</w:t>
      </w:r>
      <w:r>
        <w:rPr>
          <w:rFonts w:hint="eastAsia" w:ascii="仿宋" w:hAnsi="仿宋" w:eastAsia="仿宋" w:cs="仿宋"/>
          <w:sz w:val="21"/>
          <w:szCs w:val="21"/>
        </w:rPr>
        <w:t>提交合规发票后，达到付款条件起</w:t>
      </w:r>
      <w:r>
        <w:rPr>
          <w:rFonts w:hint="eastAsia" w:ascii="仿宋" w:hAnsi="仿宋" w:eastAsia="仿宋" w:cs="仿宋"/>
          <w:sz w:val="21"/>
          <w:szCs w:val="21"/>
          <w:lang w:val="en-US" w:eastAsia="zh-CN"/>
        </w:rPr>
        <w:t>10个工作日</w:t>
      </w:r>
      <w:r>
        <w:rPr>
          <w:rFonts w:hint="eastAsia" w:ascii="仿宋" w:hAnsi="仿宋" w:eastAsia="仿宋" w:cs="仿宋"/>
          <w:sz w:val="21"/>
          <w:szCs w:val="21"/>
        </w:rPr>
        <w:t>内支付合同总金额的</w:t>
      </w:r>
      <w:r>
        <w:rPr>
          <w:rFonts w:hint="eastAsia" w:ascii="仿宋" w:hAnsi="仿宋" w:eastAsia="仿宋" w:cs="仿宋"/>
          <w:sz w:val="21"/>
          <w:szCs w:val="21"/>
          <w:lang w:val="en-US" w:eastAsia="zh-CN"/>
        </w:rPr>
        <w:t>4</w:t>
      </w:r>
      <w:r>
        <w:rPr>
          <w:rFonts w:hint="eastAsia" w:ascii="仿宋" w:hAnsi="仿宋" w:eastAsia="仿宋" w:cs="仿宋"/>
          <w:sz w:val="21"/>
          <w:szCs w:val="21"/>
        </w:rPr>
        <w:t>0%</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即</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元</w:t>
      </w:r>
      <w:r>
        <w:rPr>
          <w:rFonts w:hint="eastAsia" w:ascii="仿宋" w:hAnsi="仿宋" w:eastAsia="仿宋" w:cs="仿宋"/>
          <w:sz w:val="21"/>
          <w:szCs w:val="21"/>
        </w:rPr>
        <w:t>；②供应商按期交货完成，经采购人验收合格后</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并书面签字确定后，达到付款条件起10个工作日</w:t>
      </w:r>
      <w:r>
        <w:rPr>
          <w:rFonts w:hint="eastAsia" w:ascii="仿宋" w:hAnsi="仿宋" w:eastAsia="仿宋" w:cs="仿宋"/>
          <w:sz w:val="21"/>
          <w:szCs w:val="21"/>
        </w:rPr>
        <w:t>内支付合同总金额的60%</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即</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元</w:t>
      </w:r>
      <w:r>
        <w:rPr>
          <w:rFonts w:hint="eastAsia" w:ascii="仿宋" w:hAnsi="仿宋" w:eastAsia="仿宋" w:cs="仿宋"/>
          <w:sz w:val="21"/>
          <w:szCs w:val="21"/>
        </w:rPr>
        <w:t>。</w:t>
      </w:r>
    </w:p>
    <w:p w14:paraId="62ECBAD5">
      <w:pPr>
        <w:pageBreakBefore w:val="0"/>
        <w:tabs>
          <w:tab w:val="left" w:pos="840"/>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u w:val="single"/>
        </w:rPr>
      </w:pPr>
      <w:r>
        <w:rPr>
          <w:rFonts w:hint="eastAsia" w:ascii="仿宋" w:hAnsi="仿宋" w:eastAsia="仿宋" w:cs="仿宋"/>
          <w:b/>
          <w:sz w:val="21"/>
          <w:szCs w:val="21"/>
        </w:rPr>
        <w:t>五、</w:t>
      </w:r>
      <w:r>
        <w:rPr>
          <w:rFonts w:hint="eastAsia" w:ascii="仿宋" w:hAnsi="仿宋" w:eastAsia="仿宋" w:cs="仿宋"/>
          <w:b/>
          <w:sz w:val="21"/>
          <w:szCs w:val="21"/>
          <w:lang w:eastAsia="zh-Hans"/>
        </w:rPr>
        <w:t>交货期：自合同签订之日起30个工作日内到货，全部物资一次性送达</w:t>
      </w:r>
      <w:r>
        <w:rPr>
          <w:rFonts w:hint="eastAsia" w:ascii="仿宋" w:hAnsi="仿宋" w:eastAsia="仿宋" w:cs="仿宋"/>
          <w:b/>
          <w:sz w:val="21"/>
          <w:szCs w:val="21"/>
          <w:lang w:eastAsia="zh-CN"/>
        </w:rPr>
        <w:t>采购人</w:t>
      </w:r>
      <w:r>
        <w:rPr>
          <w:rFonts w:hint="eastAsia" w:ascii="仿宋" w:hAnsi="仿宋" w:eastAsia="仿宋" w:cs="仿宋"/>
          <w:b/>
          <w:sz w:val="21"/>
          <w:szCs w:val="21"/>
          <w:lang w:eastAsia="zh-Hans"/>
        </w:rPr>
        <w:t>指定储备仓库并完成卸货、码放、现场清点，不得分批延期交付；逾期交货按本合同第十三条承担违约责任</w:t>
      </w:r>
      <w:r>
        <w:rPr>
          <w:rFonts w:hint="eastAsia" w:ascii="仿宋" w:hAnsi="仿宋" w:eastAsia="仿宋" w:cs="仿宋"/>
          <w:b/>
          <w:sz w:val="21"/>
          <w:szCs w:val="21"/>
          <w:u w:val="none"/>
          <w:lang w:val="en-US" w:eastAsia="zh-CN"/>
        </w:rPr>
        <w:t xml:space="preserve"> </w:t>
      </w:r>
      <w:r>
        <w:rPr>
          <w:rFonts w:hint="eastAsia" w:ascii="仿宋" w:hAnsi="仿宋" w:eastAsia="仿宋" w:cs="仿宋"/>
          <w:b/>
          <w:bCs/>
          <w:sz w:val="21"/>
          <w:szCs w:val="21"/>
          <w:u w:val="none"/>
        </w:rPr>
        <w:t>；</w:t>
      </w:r>
    </w:p>
    <w:p w14:paraId="0060026C">
      <w:pPr>
        <w:pageBreakBefore w:val="0"/>
        <w:tabs>
          <w:tab w:val="left" w:pos="840"/>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u w:val="none"/>
        </w:rPr>
      </w:pPr>
      <w:r>
        <w:rPr>
          <w:rFonts w:hint="eastAsia" w:ascii="仿宋" w:hAnsi="仿宋" w:eastAsia="仿宋" w:cs="仿宋"/>
          <w:b/>
          <w:sz w:val="21"/>
          <w:szCs w:val="21"/>
          <w:u w:val="none"/>
        </w:rPr>
        <w:t>六、质保期：</w:t>
      </w:r>
      <w:r>
        <w:rPr>
          <w:rFonts w:hint="eastAsia" w:ascii="仿宋" w:hAnsi="仿宋" w:eastAsia="仿宋" w:cs="仿宋"/>
          <w:b/>
          <w:sz w:val="21"/>
          <w:szCs w:val="21"/>
          <w:u w:val="single"/>
        </w:rPr>
        <w:t>自验收合格之日起</w:t>
      </w:r>
      <w:r>
        <w:rPr>
          <w:rFonts w:hint="eastAsia" w:ascii="仿宋" w:hAnsi="仿宋" w:eastAsia="仿宋" w:cs="仿宋"/>
          <w:b/>
          <w:sz w:val="21"/>
          <w:szCs w:val="21"/>
          <w:u w:val="single"/>
          <w:lang w:val="en-US" w:eastAsia="zh-CN"/>
        </w:rPr>
        <w:t xml:space="preserve">    </w:t>
      </w:r>
      <w:r>
        <w:rPr>
          <w:rFonts w:hint="eastAsia" w:ascii="仿宋" w:hAnsi="仿宋" w:eastAsia="仿宋" w:cs="仿宋"/>
          <w:b/>
          <w:sz w:val="21"/>
          <w:szCs w:val="21"/>
          <w:u w:val="single"/>
        </w:rPr>
        <w:t>年。食品接触类物资（碗筷、汤勺、塑料餐盒、洗漱用品）质保期内出现开裂、异味、材质析出、霉变、包装渗漏等质量问题，</w:t>
      </w:r>
      <w:r>
        <w:rPr>
          <w:rFonts w:hint="eastAsia" w:ascii="仿宋" w:hAnsi="仿宋" w:eastAsia="仿宋" w:cs="仿宋"/>
          <w:b/>
          <w:sz w:val="21"/>
          <w:szCs w:val="21"/>
          <w:u w:val="single"/>
          <w:lang w:val="en-US" w:eastAsia="zh-CN"/>
        </w:rPr>
        <w:t>供应商</w:t>
      </w:r>
      <w:r>
        <w:rPr>
          <w:rFonts w:hint="eastAsia" w:ascii="仿宋" w:hAnsi="仿宋" w:eastAsia="仿宋" w:cs="仿宋"/>
          <w:b/>
          <w:sz w:val="21"/>
          <w:szCs w:val="21"/>
          <w:u w:val="single"/>
        </w:rPr>
        <w:t>无条件免费整批更换，承担全部运输、拆装费用。</w:t>
      </w:r>
    </w:p>
    <w:p w14:paraId="27CE0D53">
      <w:pPr>
        <w:pageBreakBefore w:val="0"/>
        <w:tabs>
          <w:tab w:val="left" w:pos="840"/>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rPr>
      </w:pPr>
      <w:r>
        <w:rPr>
          <w:rFonts w:hint="eastAsia" w:ascii="仿宋" w:hAnsi="仿宋" w:eastAsia="仿宋" w:cs="仿宋"/>
          <w:b/>
          <w:sz w:val="21"/>
          <w:szCs w:val="21"/>
        </w:rPr>
        <w:t>七、质量标准：</w:t>
      </w:r>
      <w:r>
        <w:rPr>
          <w:rFonts w:hint="eastAsia" w:ascii="仿宋" w:hAnsi="仿宋" w:eastAsia="仿宋" w:cs="仿宋"/>
          <w:b/>
          <w:sz w:val="21"/>
          <w:szCs w:val="21"/>
          <w:u w:val="single"/>
        </w:rPr>
        <w:t>符合国家及行业质量验收合格标准</w:t>
      </w:r>
      <w:r>
        <w:rPr>
          <w:rFonts w:hint="eastAsia" w:ascii="仿宋" w:hAnsi="仿宋" w:eastAsia="仿宋" w:cs="仿宋"/>
          <w:b/>
          <w:sz w:val="21"/>
          <w:szCs w:val="21"/>
          <w:u w:val="single"/>
          <w:lang w:eastAsia="zh-CN"/>
        </w:rPr>
        <w:t>，</w:t>
      </w:r>
      <w:r>
        <w:rPr>
          <w:rFonts w:hint="eastAsia" w:ascii="仿宋" w:hAnsi="仿宋" w:eastAsia="仿宋" w:cs="仿宋"/>
          <w:b/>
          <w:sz w:val="21"/>
          <w:szCs w:val="21"/>
          <w:u w:val="single"/>
        </w:rPr>
        <w:t>食品接触产品必须提供第三方食品接触安全检测报告，随货交付</w:t>
      </w:r>
      <w:r>
        <w:rPr>
          <w:rFonts w:hint="eastAsia" w:ascii="仿宋" w:hAnsi="仿宋" w:eastAsia="仿宋" w:cs="仿宋"/>
          <w:b/>
          <w:sz w:val="21"/>
          <w:szCs w:val="21"/>
          <w:u w:val="single"/>
          <w:lang w:eastAsia="zh-CN"/>
        </w:rPr>
        <w:t>采购人</w:t>
      </w:r>
      <w:r>
        <w:rPr>
          <w:rFonts w:hint="eastAsia" w:ascii="仿宋" w:hAnsi="仿宋" w:eastAsia="仿宋" w:cs="仿宋"/>
          <w:b/>
          <w:sz w:val="21"/>
          <w:szCs w:val="21"/>
          <w:u w:val="single"/>
        </w:rPr>
        <w:t>留存备查。</w:t>
      </w:r>
    </w:p>
    <w:p w14:paraId="4CC37F0E">
      <w:pPr>
        <w:pageBreakBefore w:val="0"/>
        <w:tabs>
          <w:tab w:val="left" w:pos="840"/>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rPr>
      </w:pPr>
      <w:r>
        <w:rPr>
          <w:rFonts w:hint="eastAsia" w:ascii="仿宋" w:hAnsi="仿宋" w:eastAsia="仿宋" w:cs="仿宋"/>
          <w:b/>
          <w:sz w:val="21"/>
          <w:szCs w:val="21"/>
        </w:rPr>
        <w:t>八、内容及要求</w:t>
      </w:r>
    </w:p>
    <w:p w14:paraId="499F539B">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即交付的产品、服务内容、数量与竞争性谈判响应文件、竞争性谈判文件等所指明的，或者与本合同所指明的产品、服务内容相一致。（附清单）</w:t>
      </w:r>
    </w:p>
    <w:p w14:paraId="76E53292">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b/>
          <w:sz w:val="21"/>
          <w:szCs w:val="21"/>
        </w:rPr>
      </w:pPr>
      <w:bookmarkStart w:id="1" w:name="_Toc13024"/>
      <w:bookmarkStart w:id="2" w:name="_Toc6161"/>
      <w:bookmarkStart w:id="3" w:name="_Toc18856"/>
      <w:r>
        <w:rPr>
          <w:rFonts w:hint="eastAsia" w:ascii="仿宋" w:hAnsi="仿宋" w:eastAsia="仿宋" w:cs="仿宋"/>
          <w:b/>
          <w:sz w:val="21"/>
          <w:szCs w:val="21"/>
        </w:rPr>
        <w:t>供货内容一览表</w:t>
      </w:r>
      <w:bookmarkEnd w:id="1"/>
      <w:bookmarkEnd w:id="2"/>
      <w:bookmarkEnd w:id="3"/>
    </w:p>
    <w:tbl>
      <w:tblPr>
        <w:tblStyle w:val="1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629D0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0FDD988E">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b/>
                <w:sz w:val="21"/>
                <w:szCs w:val="21"/>
              </w:rPr>
            </w:pPr>
            <w:r>
              <w:rPr>
                <w:rFonts w:hint="eastAsia" w:ascii="仿宋" w:hAnsi="仿宋" w:eastAsia="仿宋" w:cs="仿宋"/>
                <w:b/>
                <w:sz w:val="21"/>
                <w:szCs w:val="21"/>
              </w:rPr>
              <w:t>序号</w:t>
            </w:r>
          </w:p>
        </w:tc>
        <w:tc>
          <w:tcPr>
            <w:tcW w:w="960" w:type="dxa"/>
            <w:vAlign w:val="center"/>
          </w:tcPr>
          <w:p w14:paraId="1E93E8D1">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b/>
                <w:sz w:val="21"/>
                <w:szCs w:val="21"/>
              </w:rPr>
            </w:pPr>
            <w:r>
              <w:rPr>
                <w:rFonts w:hint="eastAsia" w:ascii="仿宋" w:hAnsi="仿宋" w:eastAsia="仿宋" w:cs="仿宋"/>
                <w:b/>
                <w:sz w:val="21"/>
                <w:szCs w:val="21"/>
              </w:rPr>
              <w:t>名称</w:t>
            </w:r>
          </w:p>
        </w:tc>
        <w:tc>
          <w:tcPr>
            <w:tcW w:w="1485" w:type="dxa"/>
            <w:tcBorders>
              <w:right w:val="single" w:color="auto" w:sz="4" w:space="0"/>
            </w:tcBorders>
            <w:vAlign w:val="center"/>
          </w:tcPr>
          <w:p w14:paraId="23AA8329">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4" w:name="_Toc27392"/>
            <w:bookmarkStart w:id="5" w:name="_Toc16506"/>
            <w:bookmarkStart w:id="6" w:name="_Toc21512"/>
            <w:bookmarkStart w:id="7" w:name="_Toc30417"/>
            <w:r>
              <w:rPr>
                <w:rFonts w:hint="eastAsia" w:ascii="仿宋" w:hAnsi="仿宋" w:eastAsia="仿宋" w:cs="仿宋"/>
                <w:sz w:val="21"/>
                <w:szCs w:val="21"/>
              </w:rPr>
              <w:t>品牌、规格及型号</w:t>
            </w:r>
            <w:bookmarkEnd w:id="4"/>
            <w:bookmarkEnd w:id="5"/>
            <w:bookmarkEnd w:id="6"/>
            <w:bookmarkEnd w:id="7"/>
          </w:p>
        </w:tc>
        <w:tc>
          <w:tcPr>
            <w:tcW w:w="1695" w:type="dxa"/>
            <w:tcBorders>
              <w:left w:val="single" w:color="auto" w:sz="4" w:space="0"/>
            </w:tcBorders>
            <w:vAlign w:val="center"/>
          </w:tcPr>
          <w:p w14:paraId="18171E27">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8" w:name="_Toc27421"/>
            <w:bookmarkStart w:id="9" w:name="_Toc15345"/>
            <w:bookmarkStart w:id="10" w:name="_Toc109"/>
            <w:bookmarkStart w:id="11" w:name="_Toc8981"/>
            <w:r>
              <w:rPr>
                <w:rFonts w:hint="eastAsia" w:ascii="仿宋" w:hAnsi="仿宋" w:eastAsia="仿宋" w:cs="仿宋"/>
                <w:sz w:val="21"/>
                <w:szCs w:val="21"/>
              </w:rPr>
              <w:t>原产地及 制造厂名</w:t>
            </w:r>
            <w:bookmarkEnd w:id="8"/>
            <w:bookmarkEnd w:id="9"/>
            <w:bookmarkEnd w:id="10"/>
            <w:bookmarkEnd w:id="11"/>
          </w:p>
        </w:tc>
        <w:tc>
          <w:tcPr>
            <w:tcW w:w="825" w:type="dxa"/>
            <w:tcBorders>
              <w:right w:val="single" w:color="auto" w:sz="4" w:space="0"/>
            </w:tcBorders>
            <w:vAlign w:val="center"/>
          </w:tcPr>
          <w:p w14:paraId="1CF9391A">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12" w:name="_Toc14339"/>
            <w:bookmarkStart w:id="13" w:name="_Toc10570"/>
            <w:bookmarkStart w:id="14" w:name="_Toc14127"/>
            <w:bookmarkStart w:id="15" w:name="_Toc20611"/>
            <w:r>
              <w:rPr>
                <w:rFonts w:hint="eastAsia" w:ascii="仿宋" w:hAnsi="仿宋" w:eastAsia="仿宋" w:cs="仿宋"/>
                <w:sz w:val="21"/>
                <w:szCs w:val="21"/>
              </w:rPr>
              <w:t>单价</w:t>
            </w:r>
            <w:bookmarkEnd w:id="12"/>
            <w:bookmarkEnd w:id="13"/>
            <w:bookmarkEnd w:id="14"/>
            <w:bookmarkEnd w:id="15"/>
          </w:p>
        </w:tc>
        <w:tc>
          <w:tcPr>
            <w:tcW w:w="735" w:type="dxa"/>
            <w:tcBorders>
              <w:left w:val="single" w:color="auto" w:sz="4" w:space="0"/>
              <w:right w:val="single" w:color="auto" w:sz="4" w:space="0"/>
            </w:tcBorders>
            <w:vAlign w:val="center"/>
          </w:tcPr>
          <w:p w14:paraId="5907A603">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16" w:name="_Toc21991"/>
            <w:bookmarkStart w:id="17" w:name="_Toc31109"/>
            <w:bookmarkStart w:id="18" w:name="_Toc879"/>
            <w:bookmarkStart w:id="19" w:name="_Toc15777"/>
            <w:r>
              <w:rPr>
                <w:rFonts w:hint="eastAsia" w:ascii="仿宋" w:hAnsi="仿宋" w:eastAsia="仿宋" w:cs="仿宋"/>
                <w:sz w:val="21"/>
                <w:szCs w:val="21"/>
              </w:rPr>
              <w:t>数量</w:t>
            </w:r>
            <w:bookmarkEnd w:id="16"/>
            <w:bookmarkEnd w:id="17"/>
            <w:bookmarkEnd w:id="18"/>
            <w:bookmarkEnd w:id="19"/>
          </w:p>
        </w:tc>
        <w:tc>
          <w:tcPr>
            <w:tcW w:w="1050" w:type="dxa"/>
            <w:tcBorders>
              <w:left w:val="single" w:color="auto" w:sz="4" w:space="0"/>
            </w:tcBorders>
            <w:vAlign w:val="center"/>
          </w:tcPr>
          <w:p w14:paraId="1ECF78F9">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20" w:name="_Toc6689"/>
            <w:bookmarkStart w:id="21" w:name="_Toc23428"/>
            <w:bookmarkStart w:id="22" w:name="_Toc28024"/>
            <w:bookmarkStart w:id="23" w:name="_Toc12748"/>
            <w:r>
              <w:rPr>
                <w:rFonts w:hint="eastAsia" w:ascii="仿宋" w:hAnsi="仿宋" w:eastAsia="仿宋" w:cs="仿宋"/>
                <w:sz w:val="21"/>
                <w:szCs w:val="21"/>
              </w:rPr>
              <w:t>交付地点</w:t>
            </w:r>
            <w:bookmarkEnd w:id="20"/>
            <w:bookmarkEnd w:id="21"/>
            <w:bookmarkEnd w:id="22"/>
            <w:bookmarkEnd w:id="23"/>
          </w:p>
        </w:tc>
        <w:tc>
          <w:tcPr>
            <w:tcW w:w="1215" w:type="dxa"/>
            <w:tcBorders>
              <w:right w:val="single" w:color="auto" w:sz="4" w:space="0"/>
            </w:tcBorders>
            <w:vAlign w:val="center"/>
          </w:tcPr>
          <w:p w14:paraId="4B786F4C">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24" w:name="_Toc916"/>
            <w:bookmarkStart w:id="25" w:name="_Toc10344"/>
            <w:bookmarkStart w:id="26" w:name="_Toc2991"/>
            <w:bookmarkStart w:id="27" w:name="_Toc21882"/>
            <w:r>
              <w:rPr>
                <w:rFonts w:hint="eastAsia" w:ascii="仿宋" w:hAnsi="仿宋" w:eastAsia="仿宋" w:cs="仿宋"/>
                <w:sz w:val="21"/>
                <w:szCs w:val="21"/>
              </w:rPr>
              <w:t>交付时间</w:t>
            </w:r>
            <w:bookmarkEnd w:id="24"/>
            <w:bookmarkEnd w:id="25"/>
            <w:bookmarkEnd w:id="26"/>
            <w:bookmarkEnd w:id="27"/>
          </w:p>
        </w:tc>
        <w:tc>
          <w:tcPr>
            <w:tcW w:w="903" w:type="dxa"/>
            <w:tcBorders>
              <w:right w:val="single" w:color="auto" w:sz="4" w:space="0"/>
            </w:tcBorders>
            <w:vAlign w:val="center"/>
          </w:tcPr>
          <w:p w14:paraId="2F58A06E">
            <w:pPr>
              <w:pStyle w:val="2"/>
              <w:pageBreakBefore w:val="0"/>
              <w:kinsoku/>
              <w:wordWrap/>
              <w:overflowPunct/>
              <w:topLinePunct w:val="0"/>
              <w:autoSpaceDE/>
              <w:autoSpaceDN/>
              <w:bidi w:val="0"/>
              <w:adjustRightInd w:val="0"/>
              <w:snapToGrid w:val="0"/>
              <w:spacing w:before="0" w:after="0" w:line="400" w:lineRule="exact"/>
              <w:ind w:left="0" w:leftChars="0"/>
              <w:jc w:val="center"/>
              <w:textAlignment w:val="auto"/>
              <w:rPr>
                <w:rFonts w:hint="eastAsia" w:ascii="仿宋" w:hAnsi="仿宋" w:eastAsia="仿宋" w:cs="仿宋"/>
                <w:sz w:val="21"/>
                <w:szCs w:val="21"/>
              </w:rPr>
            </w:pPr>
            <w:bookmarkStart w:id="28" w:name="_Toc18945"/>
            <w:bookmarkStart w:id="29" w:name="_Toc31273"/>
            <w:bookmarkStart w:id="30" w:name="_Toc17703"/>
            <w:bookmarkStart w:id="31" w:name="_Toc10193"/>
            <w:r>
              <w:rPr>
                <w:rFonts w:hint="eastAsia" w:ascii="仿宋" w:hAnsi="仿宋" w:eastAsia="仿宋" w:cs="仿宋"/>
                <w:sz w:val="21"/>
                <w:szCs w:val="21"/>
              </w:rPr>
              <w:t>备注</w:t>
            </w:r>
            <w:bookmarkEnd w:id="28"/>
            <w:bookmarkEnd w:id="29"/>
            <w:bookmarkEnd w:id="30"/>
            <w:bookmarkEnd w:id="31"/>
          </w:p>
        </w:tc>
      </w:tr>
      <w:tr w14:paraId="3E04E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2F4F639D">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60" w:type="dxa"/>
          </w:tcPr>
          <w:p w14:paraId="30AC5074">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485" w:type="dxa"/>
            <w:tcBorders>
              <w:right w:val="single" w:color="auto" w:sz="4" w:space="0"/>
            </w:tcBorders>
          </w:tcPr>
          <w:p w14:paraId="63092576">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695" w:type="dxa"/>
            <w:tcBorders>
              <w:left w:val="single" w:color="auto" w:sz="4" w:space="0"/>
            </w:tcBorders>
          </w:tcPr>
          <w:p w14:paraId="3F18C0C2">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825" w:type="dxa"/>
            <w:tcBorders>
              <w:right w:val="single" w:color="auto" w:sz="4" w:space="0"/>
            </w:tcBorders>
          </w:tcPr>
          <w:p w14:paraId="1A97BA1F">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735" w:type="dxa"/>
            <w:tcBorders>
              <w:left w:val="single" w:color="auto" w:sz="4" w:space="0"/>
              <w:right w:val="single" w:color="auto" w:sz="4" w:space="0"/>
            </w:tcBorders>
          </w:tcPr>
          <w:p w14:paraId="05B6DA42">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050" w:type="dxa"/>
            <w:tcBorders>
              <w:left w:val="single" w:color="auto" w:sz="4" w:space="0"/>
            </w:tcBorders>
          </w:tcPr>
          <w:p w14:paraId="3894AFCA">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215" w:type="dxa"/>
            <w:tcBorders>
              <w:right w:val="single" w:color="auto" w:sz="4" w:space="0"/>
            </w:tcBorders>
          </w:tcPr>
          <w:p w14:paraId="048BA65C">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03" w:type="dxa"/>
            <w:tcBorders>
              <w:right w:val="single" w:color="auto" w:sz="4" w:space="0"/>
            </w:tcBorders>
          </w:tcPr>
          <w:p w14:paraId="2BE3D618">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r>
      <w:tr w14:paraId="2ECA3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35245AFF">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60" w:type="dxa"/>
          </w:tcPr>
          <w:p w14:paraId="1EA3613A">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485" w:type="dxa"/>
            <w:tcBorders>
              <w:right w:val="single" w:color="auto" w:sz="4" w:space="0"/>
            </w:tcBorders>
          </w:tcPr>
          <w:p w14:paraId="16A2C9F9">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695" w:type="dxa"/>
            <w:tcBorders>
              <w:left w:val="single" w:color="auto" w:sz="4" w:space="0"/>
            </w:tcBorders>
          </w:tcPr>
          <w:p w14:paraId="50984494">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825" w:type="dxa"/>
            <w:tcBorders>
              <w:right w:val="single" w:color="auto" w:sz="4" w:space="0"/>
            </w:tcBorders>
          </w:tcPr>
          <w:p w14:paraId="263C11EC">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735" w:type="dxa"/>
            <w:tcBorders>
              <w:left w:val="single" w:color="auto" w:sz="4" w:space="0"/>
              <w:right w:val="single" w:color="auto" w:sz="4" w:space="0"/>
            </w:tcBorders>
          </w:tcPr>
          <w:p w14:paraId="4B265081">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050" w:type="dxa"/>
            <w:tcBorders>
              <w:left w:val="single" w:color="auto" w:sz="4" w:space="0"/>
            </w:tcBorders>
          </w:tcPr>
          <w:p w14:paraId="7E8AF0AB">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215" w:type="dxa"/>
            <w:tcBorders>
              <w:right w:val="single" w:color="auto" w:sz="4" w:space="0"/>
            </w:tcBorders>
          </w:tcPr>
          <w:p w14:paraId="0FCD787F">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03" w:type="dxa"/>
            <w:tcBorders>
              <w:right w:val="single" w:color="auto" w:sz="4" w:space="0"/>
            </w:tcBorders>
          </w:tcPr>
          <w:p w14:paraId="74C8B800">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r>
      <w:tr w14:paraId="5EE64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6F7E51C4">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60" w:type="dxa"/>
          </w:tcPr>
          <w:p w14:paraId="6612CA48">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485" w:type="dxa"/>
            <w:tcBorders>
              <w:right w:val="single" w:color="auto" w:sz="4" w:space="0"/>
            </w:tcBorders>
          </w:tcPr>
          <w:p w14:paraId="7F02AAE1">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695" w:type="dxa"/>
            <w:tcBorders>
              <w:left w:val="single" w:color="auto" w:sz="4" w:space="0"/>
            </w:tcBorders>
          </w:tcPr>
          <w:p w14:paraId="1A4F9B57">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825" w:type="dxa"/>
            <w:tcBorders>
              <w:right w:val="single" w:color="auto" w:sz="4" w:space="0"/>
            </w:tcBorders>
          </w:tcPr>
          <w:p w14:paraId="27BF0068">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735" w:type="dxa"/>
            <w:tcBorders>
              <w:left w:val="single" w:color="auto" w:sz="4" w:space="0"/>
              <w:right w:val="single" w:color="auto" w:sz="4" w:space="0"/>
            </w:tcBorders>
          </w:tcPr>
          <w:p w14:paraId="02452F26">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050" w:type="dxa"/>
            <w:tcBorders>
              <w:left w:val="single" w:color="auto" w:sz="4" w:space="0"/>
            </w:tcBorders>
          </w:tcPr>
          <w:p w14:paraId="59FEC245">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215" w:type="dxa"/>
            <w:tcBorders>
              <w:right w:val="single" w:color="auto" w:sz="4" w:space="0"/>
            </w:tcBorders>
          </w:tcPr>
          <w:p w14:paraId="71BDD7A0">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03" w:type="dxa"/>
            <w:tcBorders>
              <w:right w:val="single" w:color="auto" w:sz="4" w:space="0"/>
            </w:tcBorders>
          </w:tcPr>
          <w:p w14:paraId="2EE0C936">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r>
      <w:tr w14:paraId="184EB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B408B8C">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60" w:type="dxa"/>
          </w:tcPr>
          <w:p w14:paraId="0931D967">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485" w:type="dxa"/>
            <w:tcBorders>
              <w:right w:val="single" w:color="auto" w:sz="4" w:space="0"/>
            </w:tcBorders>
          </w:tcPr>
          <w:p w14:paraId="049CCC82">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695" w:type="dxa"/>
            <w:tcBorders>
              <w:left w:val="single" w:color="auto" w:sz="4" w:space="0"/>
            </w:tcBorders>
          </w:tcPr>
          <w:p w14:paraId="537C8407">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825" w:type="dxa"/>
            <w:tcBorders>
              <w:right w:val="single" w:color="auto" w:sz="4" w:space="0"/>
            </w:tcBorders>
          </w:tcPr>
          <w:p w14:paraId="3268EF09">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735" w:type="dxa"/>
            <w:tcBorders>
              <w:left w:val="single" w:color="auto" w:sz="4" w:space="0"/>
              <w:right w:val="single" w:color="auto" w:sz="4" w:space="0"/>
            </w:tcBorders>
          </w:tcPr>
          <w:p w14:paraId="120FE671">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050" w:type="dxa"/>
            <w:tcBorders>
              <w:left w:val="single" w:color="auto" w:sz="4" w:space="0"/>
            </w:tcBorders>
          </w:tcPr>
          <w:p w14:paraId="220D3623">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1215" w:type="dxa"/>
            <w:tcBorders>
              <w:right w:val="single" w:color="auto" w:sz="4" w:space="0"/>
            </w:tcBorders>
          </w:tcPr>
          <w:p w14:paraId="3E40C5E3">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c>
          <w:tcPr>
            <w:tcW w:w="903" w:type="dxa"/>
            <w:tcBorders>
              <w:right w:val="single" w:color="auto" w:sz="4" w:space="0"/>
            </w:tcBorders>
          </w:tcPr>
          <w:p w14:paraId="57839412">
            <w:pPr>
              <w:pageBreakBefore w:val="0"/>
              <w:kinsoku/>
              <w:wordWrap/>
              <w:overflowPunct/>
              <w:topLinePunct w:val="0"/>
              <w:autoSpaceDE/>
              <w:autoSpaceDN/>
              <w:bidi w:val="0"/>
              <w:adjustRightInd w:val="0"/>
              <w:snapToGrid w:val="0"/>
              <w:spacing w:line="400" w:lineRule="exact"/>
              <w:ind w:left="0" w:leftChars="0"/>
              <w:jc w:val="center"/>
              <w:textAlignment w:val="auto"/>
              <w:rPr>
                <w:rFonts w:hint="eastAsia" w:ascii="仿宋" w:hAnsi="仿宋" w:eastAsia="仿宋" w:cs="仿宋"/>
                <w:sz w:val="21"/>
                <w:szCs w:val="21"/>
              </w:rPr>
            </w:pPr>
          </w:p>
        </w:tc>
      </w:tr>
    </w:tbl>
    <w:p w14:paraId="6C19E4E8">
      <w:pPr>
        <w:pageBreakBefore w:val="0"/>
        <w:tabs>
          <w:tab w:val="left" w:pos="840"/>
        </w:tabs>
        <w:kinsoku/>
        <w:wordWrap/>
        <w:overflowPunct/>
        <w:topLinePunct w:val="0"/>
        <w:autoSpaceDE/>
        <w:autoSpaceDN/>
        <w:bidi w:val="0"/>
        <w:adjustRightInd w:val="0"/>
        <w:snapToGrid w:val="0"/>
        <w:spacing w:line="400" w:lineRule="exact"/>
        <w:ind w:left="0" w:leftChars="0" w:firstLine="422" w:firstLineChars="200"/>
        <w:textAlignment w:val="auto"/>
        <w:rPr>
          <w:rFonts w:hint="eastAsia" w:ascii="仿宋" w:hAnsi="仿宋" w:eastAsia="仿宋" w:cs="仿宋"/>
          <w:b/>
          <w:sz w:val="21"/>
          <w:szCs w:val="21"/>
        </w:rPr>
      </w:pPr>
      <w:r>
        <w:rPr>
          <w:rFonts w:hint="eastAsia" w:ascii="仿宋" w:hAnsi="仿宋" w:eastAsia="仿宋" w:cs="仿宋"/>
          <w:b/>
          <w:sz w:val="21"/>
          <w:szCs w:val="21"/>
          <w:lang w:val="en-US" w:eastAsia="zh-CN"/>
        </w:rPr>
        <w:t>九．</w:t>
      </w:r>
      <w:r>
        <w:rPr>
          <w:rFonts w:hint="eastAsia" w:ascii="仿宋" w:hAnsi="仿宋" w:eastAsia="仿宋" w:cs="仿宋"/>
          <w:b/>
          <w:sz w:val="21"/>
          <w:szCs w:val="21"/>
        </w:rPr>
        <w:t>质量标准与技术要求</w:t>
      </w:r>
    </w:p>
    <w:p w14:paraId="6DC5ADC6">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1.所有物资符合国家现行行业标准、质量规范</w:t>
      </w:r>
      <w:r>
        <w:rPr>
          <w:rFonts w:hint="eastAsia" w:ascii="华文仿宋" w:hAnsi="华文仿宋" w:cs="华文仿宋"/>
          <w:highlight w:val="none"/>
        </w:rPr>
        <w:t>。</w:t>
      </w:r>
    </w:p>
    <w:p w14:paraId="763E23DB">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所有物资全新原厂未使用、无破损、无刺鼻异味，真空/防潮密封包装完整规范，每件外包装印刷产品名称、规格、生产批次、保质期、厂名厂址，便于长期储备、调拨、盘点发放；严禁库存尾货、残次品、翻新货、临期产品。</w:t>
      </w:r>
    </w:p>
    <w:p w14:paraId="16C9FC43">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3.整套物资统一收纳、成套配置，规格统一、品类齐全，满足项目需求。</w:t>
      </w:r>
    </w:p>
    <w:p w14:paraId="27B3A5E3">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4.供应商保证所供物资不存在知识产权侵权、假冒品牌、仿冒伪劣情形；若出现假冒伪劣产品，采购人有权立即解除合同，供应商全额退还采购人已支付全部货款，并按合同总价 30% 支付违约金，同时承担行政处罚、群众应急安置受损的全部赔偿责任。</w:t>
      </w:r>
    </w:p>
    <w:p w14:paraId="1A845F85">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3.若乙方所供货物存在质量问题，乙方应在接到甲方通知后的[  ]个工作日内免费更换合格产品，并承担由此产生的一切费用，包括但不限于运输费、安装费等。</w:t>
      </w:r>
    </w:p>
    <w:p w14:paraId="25CA9C64">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4.乙方需对所供货物提供详细的质量说明书，包括产品的性能参数、使用方法、维护保养要求等内容。</w:t>
      </w:r>
    </w:p>
    <w:p w14:paraId="4D9F79BD">
      <w:pPr>
        <w:pageBreakBefore w:val="0"/>
        <w:tabs>
          <w:tab w:val="left" w:pos="840"/>
        </w:tabs>
        <w:kinsoku/>
        <w:wordWrap/>
        <w:overflowPunct/>
        <w:topLinePunct w:val="0"/>
        <w:autoSpaceDE/>
        <w:autoSpaceDN/>
        <w:bidi w:val="0"/>
        <w:adjustRightInd w:val="0"/>
        <w:snapToGrid w:val="0"/>
        <w:spacing w:line="400" w:lineRule="exact"/>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5.在产品的正常使用过程中，如因产品质量问题导致甲方或第三方遭受损失的，乙方应承担相应的赔偿责任</w:t>
      </w:r>
    </w:p>
    <w:p w14:paraId="086A0FC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rPr>
      </w:pPr>
      <w:r>
        <w:rPr>
          <w:rFonts w:hint="eastAsia" w:ascii="仿宋" w:hAnsi="仿宋" w:eastAsia="仿宋" w:cs="仿宋"/>
          <w:b/>
          <w:bCs w:val="0"/>
          <w:color w:val="auto"/>
          <w:kern w:val="2"/>
          <w:sz w:val="21"/>
          <w:szCs w:val="21"/>
          <w:lang w:val="en-US" w:eastAsia="zh-CN" w:bidi="ar"/>
        </w:rPr>
        <w:t>十.运输、安装、调试要求</w:t>
      </w:r>
    </w:p>
    <w:p w14:paraId="262EC9B1">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1.供应商提供的全部货物，均应按标准保护措施进行包装。这类包装应适应于远距离运输、防潮、防震和防野蛮装卸，以确保货物安全、完整到达使用地点。</w:t>
      </w:r>
    </w:p>
    <w:p w14:paraId="4DC93196">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2.每一个包装箱内应附一份详细装箱单和质量合格证。</w:t>
      </w:r>
    </w:p>
    <w:p w14:paraId="762F92DD">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3.运杂费用包含在总价内，包括货物从出发地点到使用地点的运输费、仓储费、保险费、搬运费等。</w:t>
      </w:r>
    </w:p>
    <w:p w14:paraId="29E2126F">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4.供应商在按相关规定送货到位后，采购人应及时配合配送人员接货，并对合同指定的产品进行验收，对破包、胀包、过期、漏包、受污染的产品有权整箱、整批拒收，无需承担任何保管费用，</w:t>
      </w:r>
      <w:r>
        <w:rPr>
          <w:rFonts w:hint="eastAsia" w:ascii="仿宋" w:hAnsi="仿宋" w:eastAsia="仿宋" w:cs="仿宋"/>
          <w:sz w:val="21"/>
          <w:szCs w:val="21"/>
          <w:lang w:val="en-US" w:eastAsia="zh-CN"/>
        </w:rPr>
        <w:t>供应商</w:t>
      </w:r>
      <w:r>
        <w:rPr>
          <w:rFonts w:hint="eastAsia" w:ascii="仿宋" w:hAnsi="仿宋" w:eastAsia="仿宋" w:cs="仿宋"/>
          <w:sz w:val="21"/>
          <w:szCs w:val="21"/>
        </w:rPr>
        <w:t>当日运回不合格物资并限期补发合格货物。</w:t>
      </w:r>
    </w:p>
    <w:p w14:paraId="55E588A7">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5.所有货物在运输、搬运的过程中，造成采购人损失的，由供应商48 小时内免费更换、补齐全部缺损物资，并承担仓储空置、应急储备缺口造成的全部损失。</w:t>
      </w:r>
    </w:p>
    <w:p w14:paraId="4DD649BA">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6.到货验收：货物到货后，由采购人与供应商共同进行外观验收，由采购人负责人在收货清单上签字或加盖采购人公章予以确认。验收内容包括：外包装的完好性，产品品牌、规格、数量及产地与合同要求的一致性。如果双方在清点验收中发现货物存有缺陷或与合同约定不符，采购人有权拒绝接收该批次全部货物，</w:t>
      </w:r>
      <w:r>
        <w:rPr>
          <w:rFonts w:hint="eastAsia" w:ascii="仿宋" w:hAnsi="仿宋" w:eastAsia="仿宋" w:cs="仿宋"/>
          <w:sz w:val="21"/>
          <w:szCs w:val="21"/>
          <w:lang w:val="en-US" w:eastAsia="zh-CN"/>
        </w:rPr>
        <w:t>供应商</w:t>
      </w:r>
      <w:r>
        <w:rPr>
          <w:rFonts w:hint="eastAsia" w:ascii="仿宋" w:hAnsi="仿宋" w:eastAsia="仿宋" w:cs="仿宋"/>
          <w:sz w:val="21"/>
          <w:szCs w:val="21"/>
        </w:rPr>
        <w:t>应在3日内免费更换、补齐全部合格货物，直至整体验收合格为止。若因此延误储备、应急保障，</w:t>
      </w:r>
      <w:r>
        <w:rPr>
          <w:rFonts w:hint="eastAsia" w:ascii="仿宋" w:hAnsi="仿宋" w:eastAsia="仿宋" w:cs="仿宋"/>
          <w:sz w:val="21"/>
          <w:szCs w:val="21"/>
          <w:lang w:val="en-US" w:eastAsia="zh-CN"/>
        </w:rPr>
        <w:t>供应商</w:t>
      </w:r>
      <w:r>
        <w:rPr>
          <w:rFonts w:hint="eastAsia" w:ascii="仿宋" w:hAnsi="仿宋" w:eastAsia="仿宋" w:cs="仿宋"/>
          <w:sz w:val="21"/>
          <w:szCs w:val="21"/>
        </w:rPr>
        <w:t>承担相应赔偿责任。</w:t>
      </w:r>
    </w:p>
    <w:p w14:paraId="7ECF7CDB">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7.产品验收：供应商到达采购人指定现场卸货后，由采购人组织验收（必要时可聘请相应专家或委托相应部门进行验收），验收合格后，出具收货证明。供应商负责安排货物到达交货地点的一切运输，并承担运输费用。对于隐蔽瑕疵，仓储存放后暴露的材质、霉变、异味问题，</w:t>
      </w:r>
      <w:r>
        <w:rPr>
          <w:rFonts w:hint="eastAsia" w:ascii="仿宋" w:hAnsi="仿宋" w:eastAsia="仿宋" w:cs="仿宋"/>
          <w:sz w:val="21"/>
          <w:szCs w:val="21"/>
          <w:lang w:eastAsia="zh-CN"/>
        </w:rPr>
        <w:t>采购人</w:t>
      </w:r>
      <w:r>
        <w:rPr>
          <w:rFonts w:hint="eastAsia" w:ascii="仿宋" w:hAnsi="仿宋" w:eastAsia="仿宋" w:cs="仿宋"/>
          <w:sz w:val="21"/>
          <w:szCs w:val="21"/>
        </w:rPr>
        <w:t>在物资入库后2年内发现，均有权要求</w:t>
      </w:r>
      <w:r>
        <w:rPr>
          <w:rFonts w:hint="eastAsia" w:ascii="仿宋" w:hAnsi="仿宋" w:eastAsia="仿宋" w:cs="仿宋"/>
          <w:sz w:val="21"/>
          <w:szCs w:val="21"/>
          <w:lang w:val="en-US" w:eastAsia="zh-CN"/>
        </w:rPr>
        <w:t>供应商</w:t>
      </w:r>
      <w:r>
        <w:rPr>
          <w:rFonts w:hint="eastAsia" w:ascii="仿宋" w:hAnsi="仿宋" w:eastAsia="仿宋" w:cs="仿宋"/>
          <w:sz w:val="21"/>
          <w:szCs w:val="21"/>
        </w:rPr>
        <w:t>无条件更换、退货，并承担因此给</w:t>
      </w:r>
      <w:r>
        <w:rPr>
          <w:rFonts w:hint="eastAsia" w:ascii="仿宋" w:hAnsi="仿宋" w:eastAsia="仿宋" w:cs="仿宋"/>
          <w:sz w:val="21"/>
          <w:szCs w:val="21"/>
          <w:lang w:eastAsia="zh-CN"/>
        </w:rPr>
        <w:t>采购人</w:t>
      </w:r>
      <w:r>
        <w:rPr>
          <w:rFonts w:hint="eastAsia" w:ascii="仿宋" w:hAnsi="仿宋" w:eastAsia="仿宋" w:cs="仿宋"/>
          <w:sz w:val="21"/>
          <w:szCs w:val="21"/>
        </w:rPr>
        <w:t>带来的仓储、应急保障、群众安置全部经济损失。</w:t>
      </w:r>
    </w:p>
    <w:p w14:paraId="0039DAD3">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8.验收依据：</w:t>
      </w:r>
    </w:p>
    <w:p w14:paraId="462A362C">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8.1合同文本、合同附件、成交通知书、谈判响应文件。</w:t>
      </w:r>
    </w:p>
    <w:p w14:paraId="70E5F0D1">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rPr>
        <w:t>8.2国家标准、规范。</w:t>
      </w:r>
    </w:p>
    <w:p w14:paraId="1106C1A4">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rPr>
        <w:t>供应商装运的货物不应超过合同规定的数量或重量。否则，供应商应对因超数量或重量而产生的一切后果负责。</w:t>
      </w:r>
    </w:p>
    <w:p w14:paraId="36965A0A">
      <w:pPr>
        <w:pageBreakBefore w:val="0"/>
        <w:kinsoku/>
        <w:wordWrap/>
        <w:overflowPunct/>
        <w:topLinePunct w:val="0"/>
        <w:autoSpaceDE/>
        <w:autoSpaceDN/>
        <w:bidi w:val="0"/>
        <w:adjustRightInd w:val="0"/>
        <w:snapToGrid w:val="0"/>
        <w:spacing w:line="400" w:lineRule="exact"/>
        <w:ind w:left="0" w:leftChars="0" w:firstLine="415" w:firstLineChars="198"/>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10.</w:t>
      </w:r>
      <w:r>
        <w:rPr>
          <w:rFonts w:hint="eastAsia" w:ascii="仿宋" w:hAnsi="仿宋" w:eastAsia="仿宋" w:cs="仿宋"/>
          <w:sz w:val="21"/>
          <w:szCs w:val="21"/>
        </w:rPr>
        <w:t>异议期：货物入库后180日内，</w:t>
      </w:r>
      <w:r>
        <w:rPr>
          <w:rFonts w:hint="eastAsia" w:ascii="仿宋" w:hAnsi="仿宋" w:eastAsia="仿宋" w:cs="仿宋"/>
          <w:sz w:val="21"/>
          <w:szCs w:val="21"/>
          <w:lang w:eastAsia="zh-CN"/>
        </w:rPr>
        <w:t>采购人</w:t>
      </w:r>
      <w:r>
        <w:rPr>
          <w:rFonts w:hint="eastAsia" w:ascii="仿宋" w:hAnsi="仿宋" w:eastAsia="仿宋" w:cs="仿宋"/>
          <w:sz w:val="21"/>
          <w:szCs w:val="21"/>
        </w:rPr>
        <w:t>发现批量质量缺陷、批量缺件、虚假材质，均可向</w:t>
      </w:r>
      <w:r>
        <w:rPr>
          <w:rFonts w:hint="eastAsia" w:ascii="仿宋" w:hAnsi="仿宋" w:eastAsia="仿宋" w:cs="仿宋"/>
          <w:sz w:val="21"/>
          <w:szCs w:val="21"/>
          <w:lang w:val="en-US" w:eastAsia="zh-CN"/>
        </w:rPr>
        <w:t>供应商</w:t>
      </w:r>
      <w:r>
        <w:rPr>
          <w:rFonts w:hint="eastAsia" w:ascii="仿宋" w:hAnsi="仿宋" w:eastAsia="仿宋" w:cs="仿宋"/>
          <w:sz w:val="21"/>
          <w:szCs w:val="21"/>
        </w:rPr>
        <w:t>书面提出索赔，</w:t>
      </w:r>
      <w:r>
        <w:rPr>
          <w:rFonts w:hint="eastAsia" w:ascii="仿宋" w:hAnsi="仿宋" w:eastAsia="仿宋" w:cs="仿宋"/>
          <w:sz w:val="21"/>
          <w:szCs w:val="21"/>
          <w:lang w:val="en-US" w:eastAsia="zh-CN"/>
        </w:rPr>
        <w:t>供应商</w:t>
      </w:r>
      <w:r>
        <w:rPr>
          <w:rFonts w:hint="eastAsia" w:ascii="仿宋" w:hAnsi="仿宋" w:eastAsia="仿宋" w:cs="仿宋"/>
          <w:sz w:val="21"/>
          <w:szCs w:val="21"/>
        </w:rPr>
        <w:t>不得以此为由拒绝售后整改。</w:t>
      </w:r>
    </w:p>
    <w:p w14:paraId="3BD2963C">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bCs w:val="0"/>
          <w:color w:val="auto"/>
          <w:kern w:val="2"/>
          <w:sz w:val="21"/>
          <w:szCs w:val="21"/>
          <w:highlight w:val="none"/>
          <w:lang w:val="en-US" w:eastAsia="zh-CN" w:bidi="ar"/>
        </w:rPr>
        <w:t>十一.采购人权利义务</w:t>
      </w:r>
    </w:p>
    <w:p w14:paraId="2EC30A5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1.采购人有权对供应商提供的货物进行检验和验收，如发现货物不符合合同约定，有权要求供应商更换或处理。</w:t>
      </w:r>
    </w:p>
    <w:p w14:paraId="24107146">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2.采购人应按照合同约定的付款方式和时间向供应商支付合同款项。</w:t>
      </w:r>
    </w:p>
    <w:p w14:paraId="3C9ECE36">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3.采购人有义务为供应商提供必要的协助，如提供安装场地、配合调试等。</w:t>
      </w:r>
    </w:p>
    <w:p w14:paraId="20BB900B">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4.采购人不得随意变更合同内容，如需变更，应与供应商协商一致并签订书面变更协议。</w:t>
      </w:r>
    </w:p>
    <w:p w14:paraId="39821261">
      <w:pPr>
        <w:pageBreakBefore w:val="0"/>
        <w:kinsoku/>
        <w:wordWrap/>
        <w:overflowPunct/>
        <w:topLinePunct w:val="0"/>
        <w:autoSpaceDE/>
        <w:autoSpaceDN/>
        <w:bidi w:val="0"/>
        <w:adjustRightInd w:val="0"/>
        <w:snapToGrid w:val="0"/>
        <w:spacing w:line="400" w:lineRule="exact"/>
        <w:ind w:left="0" w:leftChars="0" w:firstLine="411" w:firstLineChars="196"/>
        <w:textAlignment w:val="auto"/>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lang w:val="en-US" w:eastAsia="zh-CN" w:bidi="ar"/>
        </w:rPr>
        <w:t>5.采购人享有应急保供特殊优益权：如遇突发灾害、上级储备调拨任务，采购人有权要求供应商加急补货，供应商须在接到通知后 72 小时内完成补充供货，相关费用已包含在合同总价内，不得另行加价。</w:t>
      </w:r>
    </w:p>
    <w:p w14:paraId="3EC9CD85">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bCs w:val="0"/>
          <w:color w:val="auto"/>
          <w:kern w:val="2"/>
          <w:sz w:val="21"/>
          <w:szCs w:val="21"/>
          <w:highlight w:val="none"/>
          <w:lang w:val="en-US" w:eastAsia="zh-CN" w:bidi="ar"/>
        </w:rPr>
        <w:t>十二.供应商权利义务</w:t>
      </w:r>
    </w:p>
    <w:p w14:paraId="56D30CDB">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1.供应商应按照合同约定的时间和质量要求向采购人提供货物，并确保货物符合相关标准和规定。</w:t>
      </w:r>
    </w:p>
    <w:p w14:paraId="6FB7FB3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2.供应商有义务对所提供的货物进行安装和调试，直至货物正常运行，并向采购人提供必要的技术培训。</w:t>
      </w:r>
    </w:p>
    <w:p w14:paraId="50CC94F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3.供应商在质保期内，应免费提供维修、更换等售后服务，确保货物的正常使用。</w:t>
      </w:r>
    </w:p>
    <w:p w14:paraId="49DECA3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11" w:firstLineChars="196"/>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4.供应商不得擅自变更合同内容，如需变更，应与采购人协商一致并签订书面变更协议。</w:t>
      </w:r>
    </w:p>
    <w:p w14:paraId="5800E8CF">
      <w:pPr>
        <w:pageBreakBefore w:val="0"/>
        <w:kinsoku/>
        <w:wordWrap/>
        <w:overflowPunct/>
        <w:topLinePunct w:val="0"/>
        <w:autoSpaceDE/>
        <w:autoSpaceDN/>
        <w:bidi w:val="0"/>
        <w:adjustRightInd w:val="0"/>
        <w:snapToGrid w:val="0"/>
        <w:spacing w:line="400" w:lineRule="exact"/>
        <w:ind w:left="0" w:leftChars="0" w:firstLine="411" w:firstLineChars="196"/>
        <w:textAlignment w:val="auto"/>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lang w:val="en-US" w:eastAsia="zh-CN" w:bidi="ar"/>
        </w:rPr>
        <w:t xml:space="preserve">5.供应商必须留存同批次产品样品、检测报告2年，以备采购人、应急管理、市场监管部门复检核查；供应商配合采购人、监管部门开展物资抽检、质量核查工作，相关费用由供应商承担。 </w:t>
      </w:r>
    </w:p>
    <w:p w14:paraId="258F8DC4">
      <w:pPr>
        <w:pageBreakBefore w:val="0"/>
        <w:kinsoku/>
        <w:wordWrap/>
        <w:overflowPunct/>
        <w:topLinePunct w:val="0"/>
        <w:autoSpaceDE/>
        <w:autoSpaceDN/>
        <w:bidi w:val="0"/>
        <w:adjustRightInd w:val="0"/>
        <w:snapToGrid w:val="0"/>
        <w:spacing w:line="400" w:lineRule="exact"/>
        <w:ind w:left="0" w:leftChars="0" w:firstLine="411" w:firstLineChars="196"/>
        <w:textAlignment w:val="auto"/>
        <w:rPr>
          <w:rFonts w:hint="eastAsia" w:ascii="仿宋" w:hAnsi="仿宋" w:eastAsia="仿宋" w:cs="仿宋"/>
          <w:color w:val="auto"/>
          <w:sz w:val="21"/>
          <w:szCs w:val="21"/>
          <w:highlight w:val="none"/>
          <w:lang w:val="en-US" w:eastAsia="zh-CN" w:bidi="ar"/>
        </w:rPr>
      </w:pPr>
      <w:r>
        <w:rPr>
          <w:rFonts w:hint="eastAsia" w:ascii="仿宋" w:hAnsi="仿宋" w:eastAsia="仿宋" w:cs="仿宋"/>
          <w:color w:val="auto"/>
          <w:sz w:val="21"/>
          <w:szCs w:val="21"/>
          <w:highlight w:val="none"/>
          <w:lang w:val="en-US" w:eastAsia="zh-CN" w:bidi="ar"/>
        </w:rPr>
        <w:t>6. 供应商保证具备充足产能，若因自身产能、原材料短缺无法按期供货，视为供应商单方违约，采购人有权解除合同。</w:t>
      </w:r>
    </w:p>
    <w:p w14:paraId="3D552AFB">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highlight w:val="none"/>
        </w:rPr>
      </w:pPr>
      <w:r>
        <w:rPr>
          <w:rFonts w:hint="eastAsia" w:ascii="仿宋" w:hAnsi="仿宋" w:eastAsia="仿宋" w:cs="仿宋"/>
          <w:b/>
          <w:bCs w:val="0"/>
          <w:color w:val="auto"/>
          <w:kern w:val="2"/>
          <w:sz w:val="21"/>
          <w:szCs w:val="21"/>
          <w:highlight w:val="none"/>
          <w:lang w:val="en-US" w:eastAsia="zh-CN" w:bidi="ar"/>
        </w:rPr>
        <w:t>十三.违约责任</w:t>
      </w:r>
    </w:p>
    <w:p w14:paraId="3F9B7392">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1.合同生效后，甲乙双方应按合同规定认真履约。供应商履约责任独立，不得以第三方工厂、物流、原材料厂商延误为由免责，全部履约风险由供应商自行承担。</w:t>
      </w:r>
    </w:p>
    <w:p w14:paraId="7E78E553">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2.除不可抗力原因外，如遇下列情况之一者，采购人有权继续向供应商追偿全部实际损失（含重新采购差价、仓储空置损失、应急安置群众补偿、第三方检测费、律师费、诉讼费、保全费等）：（1）合同签订后不能按合同时限要求供货或安装调试；（2）所供货物存在假冒伪劣、材质不达标、食品接触不合格、与合同规格品牌不符；（3）供货缺件、不成套、破损霉变、包装不满足长期储备要求，经催告仍未整改；（4）货物两次验收仍不合格，无法满足备灾储备使用要求；（5）售后响应、补货、更换拖延，未在约定期限处置完毕。</w:t>
      </w:r>
    </w:p>
    <w:p w14:paraId="0501DC8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3.供应商逾期交货违约责任细化：（1）逾期1-7日历天：每逾期一日，按合同总金额0.3%向采购人支付违约金；（2）逾期超过7日历天：采购人有权单方解除合同，供应商须3日内全额退还采购人已支付全部预付款</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万元，同时按合同总价20%支付违约金，供应商承担重新采购全部差价损失。</w:t>
      </w:r>
    </w:p>
    <w:p w14:paraId="66E52505">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4.供应商对所供产品出现的问题推委、拖延，24小时未作出服务响应，若因此给采购人造成了额外的经济损失，供应商还应承担相应的赔偿责任。同时，采购人有权要求供应商立即对问题进行处理，若供应商在规定的额外时间内仍未完成处理或服务响应依旧不及时，采购人有权单方面解除合同，要求供应商退还全部已付款、支付合同总价 30% 违约金，并赔偿全部维权、重购损失。</w:t>
      </w:r>
    </w:p>
    <w:p w14:paraId="09C73DF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lang w:val="en-US" w:eastAsia="zh-CN" w:bidi="ar"/>
        </w:rPr>
      </w:pPr>
      <w:r>
        <w:rPr>
          <w:rFonts w:hint="eastAsia" w:ascii="仿宋" w:hAnsi="仿宋" w:eastAsia="仿宋" w:cs="仿宋"/>
          <w:color w:val="auto"/>
          <w:kern w:val="2"/>
          <w:sz w:val="21"/>
          <w:szCs w:val="21"/>
          <w:highlight w:val="none"/>
          <w:lang w:val="en-US" w:eastAsia="zh-CN" w:bidi="ar"/>
        </w:rPr>
        <w:t>5.合同履约过程中，采购人应积极配合供应商进行货物验收以及验收前的外围配套等工作。否则，因此导致货物不能按期验收时，不能追究供应商责任；正常情况下应在货物验收合格后15天内按规定向供应商付款，最长时间不能超过30天。</w:t>
      </w:r>
      <w:r>
        <w:rPr>
          <w:rFonts w:hint="eastAsia" w:ascii="仿宋" w:hAnsi="仿宋" w:eastAsia="仿宋" w:cs="仿宋"/>
          <w:sz w:val="21"/>
          <w:szCs w:val="21"/>
          <w:lang w:eastAsia="zh-CN"/>
        </w:rPr>
        <w:t>采购人</w:t>
      </w:r>
      <w:r>
        <w:rPr>
          <w:rFonts w:hint="eastAsia" w:ascii="仿宋" w:hAnsi="仿宋" w:eastAsia="仿宋" w:cs="仿宋"/>
          <w:sz w:val="21"/>
          <w:szCs w:val="21"/>
        </w:rPr>
        <w:t>仅因自身无正当理由恶意拖延付款超过 60 日，按应付未付款金额每日万分之三支付违约金；因财政资金拨付、内部审批、</w:t>
      </w:r>
      <w:r>
        <w:rPr>
          <w:rFonts w:hint="eastAsia" w:ascii="仿宋" w:hAnsi="仿宋" w:eastAsia="仿宋" w:cs="仿宋"/>
          <w:sz w:val="21"/>
          <w:szCs w:val="21"/>
          <w:lang w:eastAsia="zh-CN"/>
        </w:rPr>
        <w:t>供应商</w:t>
      </w:r>
      <w:r>
        <w:rPr>
          <w:rFonts w:hint="eastAsia" w:ascii="仿宋" w:hAnsi="仿宋" w:eastAsia="仿宋" w:cs="仿宋"/>
          <w:sz w:val="21"/>
          <w:szCs w:val="21"/>
        </w:rPr>
        <w:t>发票不合规、验收未完成等</w:t>
      </w:r>
      <w:r>
        <w:rPr>
          <w:rFonts w:hint="eastAsia" w:ascii="仿宋" w:hAnsi="仿宋" w:eastAsia="仿宋" w:cs="仿宋"/>
          <w:sz w:val="21"/>
          <w:szCs w:val="21"/>
          <w:lang w:eastAsia="zh-CN"/>
        </w:rPr>
        <w:t>供应商</w:t>
      </w:r>
      <w:r>
        <w:rPr>
          <w:rFonts w:hint="eastAsia" w:ascii="仿宋" w:hAnsi="仿宋" w:eastAsia="仿宋" w:cs="仿宋"/>
          <w:sz w:val="21"/>
          <w:szCs w:val="21"/>
        </w:rPr>
        <w:t xml:space="preserve"> / 客观政策原因导致付款延迟，</w:t>
      </w:r>
      <w:r>
        <w:rPr>
          <w:rFonts w:hint="eastAsia" w:ascii="仿宋" w:hAnsi="仿宋" w:eastAsia="仿宋" w:cs="仿宋"/>
          <w:sz w:val="21"/>
          <w:szCs w:val="21"/>
          <w:lang w:eastAsia="zh-CN"/>
        </w:rPr>
        <w:t>采购人</w:t>
      </w:r>
      <w:r>
        <w:rPr>
          <w:rFonts w:hint="eastAsia" w:ascii="仿宋" w:hAnsi="仿宋" w:eastAsia="仿宋" w:cs="仿宋"/>
          <w:sz w:val="21"/>
          <w:szCs w:val="21"/>
        </w:rPr>
        <w:t>不承担任何逾期付款违约金。</w:t>
      </w:r>
    </w:p>
    <w:p w14:paraId="6C4F120E">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6. 供应商提供虚假检测报告、伪造合格证、以次充好、翻新旧货充全新物资，属于严重欺诈，采购人有权立即解除合同，供应商全额退还已收货款，并按合同总价 30% 支付惩罚性违约金，同时采购人保留向市场监管、政府采购监管部门举报追责的权利。</w:t>
      </w:r>
    </w:p>
    <w:p w14:paraId="13FF77C6">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bCs w:val="0"/>
          <w:color w:val="auto"/>
          <w:kern w:val="2"/>
          <w:sz w:val="21"/>
          <w:szCs w:val="21"/>
          <w:highlight w:val="none"/>
          <w:lang w:val="en-US" w:eastAsia="zh-CN" w:bidi="ar"/>
        </w:rPr>
        <w:t>十四、不可抗力</w:t>
      </w:r>
    </w:p>
    <w:p w14:paraId="7C23289C">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val="0"/>
          <w:bCs/>
          <w:color w:val="auto"/>
          <w:kern w:val="2"/>
          <w:sz w:val="21"/>
          <w:szCs w:val="21"/>
          <w:highlight w:val="none"/>
          <w:lang w:val="en-US" w:eastAsia="zh-CN" w:bidi="ar"/>
        </w:rPr>
        <w:t>若因不可抗力事件，如自然灾害、战争、政府行为等不可预见、不可避免且不可克服的情况发生，导致合同一方或双方无法履行合同义务，受影响的一方应及时通知对方，并在合理期限内提供相关证明文件。在此情况下，双方互不承担违约责任，但应积极采取措施减少损失。若不可抗力事件导致合同无法继续履行，双方可协商解除合同，且互不承担解除合同的赔偿责任。若合同部分无法履行，双方应根据实际情况协商对合同进行变更或调整，以继续履行可能的部分。</w:t>
      </w:r>
    </w:p>
    <w:p w14:paraId="0AE5E17D">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Autospacing="0" w:afterAutospacing="0" w:line="400" w:lineRule="exact"/>
        <w:ind w:left="0" w:leftChars="0" w:right="0" w:rightChars="0" w:firstLine="422"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bCs w:val="0"/>
          <w:color w:val="auto"/>
          <w:kern w:val="2"/>
          <w:sz w:val="21"/>
          <w:szCs w:val="21"/>
          <w:highlight w:val="none"/>
          <w:lang w:val="en-US" w:eastAsia="zh-CN" w:bidi="ar"/>
        </w:rPr>
        <w:t>十五.争议解决方式</w:t>
      </w:r>
    </w:p>
    <w:p w14:paraId="32C947C9">
      <w:pPr>
        <w:keepNext w:val="0"/>
        <w:keepLines w:val="0"/>
        <w:pageBreakBefore w:val="0"/>
        <w:widowControl w:val="0"/>
        <w:numPr>
          <w:ilvl w:val="-1"/>
          <w:numId w:val="0"/>
        </w:numPr>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b/>
          <w:bCs w:val="0"/>
          <w:color w:val="auto"/>
          <w:kern w:val="2"/>
          <w:sz w:val="21"/>
          <w:szCs w:val="21"/>
          <w:highlight w:val="none"/>
          <w:lang w:val="en-US" w:eastAsia="zh-CN" w:bidi="ar"/>
        </w:rPr>
      </w:pPr>
      <w:r>
        <w:rPr>
          <w:rFonts w:hint="eastAsia" w:ascii="仿宋" w:hAnsi="仿宋" w:eastAsia="仿宋" w:cs="仿宋"/>
          <w:b w:val="0"/>
          <w:bCs/>
          <w:color w:val="auto"/>
          <w:kern w:val="2"/>
          <w:sz w:val="21"/>
          <w:szCs w:val="21"/>
          <w:highlight w:val="none"/>
          <w:lang w:val="en-US" w:eastAsia="zh-CN" w:bidi="ar"/>
        </w:rPr>
        <w:t>若双方在本合同履行过程中发生争议，应首先通过友好协商解决。协商不成的，任何一方均有权向采购人所在地的人民法院提起诉讼。</w:t>
      </w:r>
      <w:r>
        <w:rPr>
          <w:rFonts w:hint="eastAsia" w:ascii="仿宋" w:hAnsi="仿宋" w:eastAsia="仿宋" w:cs="仿宋"/>
          <w:sz w:val="21"/>
          <w:szCs w:val="21"/>
        </w:rPr>
        <w:t>因</w:t>
      </w:r>
      <w:r>
        <w:rPr>
          <w:rFonts w:hint="eastAsia" w:ascii="仿宋" w:hAnsi="仿宋" w:eastAsia="仿宋" w:cs="仿宋"/>
          <w:sz w:val="21"/>
          <w:szCs w:val="21"/>
          <w:lang w:eastAsia="zh-CN"/>
        </w:rPr>
        <w:t>供应商</w:t>
      </w:r>
      <w:r>
        <w:rPr>
          <w:rFonts w:hint="eastAsia" w:ascii="仿宋" w:hAnsi="仿宋" w:eastAsia="仿宋" w:cs="仿宋"/>
          <w:sz w:val="21"/>
          <w:szCs w:val="21"/>
        </w:rPr>
        <w:t>违约引发诉讼的，</w:t>
      </w:r>
      <w:r>
        <w:rPr>
          <w:rFonts w:hint="eastAsia" w:ascii="仿宋" w:hAnsi="仿宋" w:eastAsia="仿宋" w:cs="仿宋"/>
          <w:sz w:val="21"/>
          <w:szCs w:val="21"/>
          <w:lang w:eastAsia="zh-CN"/>
        </w:rPr>
        <w:t>采购人</w:t>
      </w:r>
      <w:r>
        <w:rPr>
          <w:rFonts w:hint="eastAsia" w:ascii="仿宋" w:hAnsi="仿宋" w:eastAsia="仿宋" w:cs="仿宋"/>
          <w:sz w:val="21"/>
          <w:szCs w:val="21"/>
        </w:rPr>
        <w:t>产生的律师费、诉讼费、保全费、鉴定费、差旅费等全部维权费用，均由</w:t>
      </w:r>
      <w:r>
        <w:rPr>
          <w:rFonts w:hint="eastAsia" w:ascii="仿宋" w:hAnsi="仿宋" w:eastAsia="仿宋" w:cs="仿宋"/>
          <w:sz w:val="21"/>
          <w:szCs w:val="21"/>
          <w:lang w:eastAsia="zh-CN"/>
        </w:rPr>
        <w:t>供应商</w:t>
      </w:r>
      <w:r>
        <w:rPr>
          <w:rFonts w:hint="eastAsia" w:ascii="仿宋" w:hAnsi="仿宋" w:eastAsia="仿宋" w:cs="仿宋"/>
          <w:sz w:val="21"/>
          <w:szCs w:val="21"/>
        </w:rPr>
        <w:t>全额承担。</w:t>
      </w:r>
      <w:r>
        <w:rPr>
          <w:rFonts w:hint="eastAsia" w:ascii="仿宋" w:hAnsi="仿宋" w:eastAsia="仿宋" w:cs="仿宋"/>
          <w:b w:val="0"/>
          <w:bCs/>
          <w:color w:val="auto"/>
          <w:kern w:val="2"/>
          <w:sz w:val="21"/>
          <w:szCs w:val="21"/>
          <w:highlight w:val="none"/>
          <w:lang w:val="en-US" w:eastAsia="zh-CN" w:bidi="ar"/>
        </w:rPr>
        <w:t>在争议解决期间，除争议事项外，双方应继续履行本合同约定的其他义务，以保证合同的正常履行。</w:t>
      </w:r>
    </w:p>
    <w:p w14:paraId="12C412E8">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2" w:firstLineChars="200"/>
        <w:jc w:val="both"/>
        <w:textAlignment w:val="auto"/>
        <w:rPr>
          <w:rFonts w:hint="eastAsia" w:ascii="仿宋" w:hAnsi="仿宋" w:eastAsia="仿宋" w:cs="仿宋"/>
          <w:b/>
          <w:bCs w:val="0"/>
          <w:color w:val="auto"/>
          <w:kern w:val="2"/>
          <w:sz w:val="21"/>
          <w:szCs w:val="21"/>
          <w:highlight w:val="none"/>
        </w:rPr>
      </w:pPr>
      <w:r>
        <w:rPr>
          <w:rFonts w:hint="eastAsia" w:ascii="仿宋" w:hAnsi="仿宋" w:eastAsia="仿宋" w:cs="仿宋"/>
          <w:b/>
          <w:bCs w:val="0"/>
          <w:color w:val="auto"/>
          <w:kern w:val="2"/>
          <w:sz w:val="21"/>
          <w:szCs w:val="21"/>
          <w:highlight w:val="none"/>
          <w:lang w:val="en-US" w:eastAsia="zh-CN" w:bidi="ar"/>
        </w:rPr>
        <w:t>十六.其它事项</w:t>
      </w:r>
    </w:p>
    <w:p w14:paraId="6E138124">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1.合同经双方签字盖章后生效。本合同一式陆份，采购人执</w:t>
      </w:r>
      <w:r>
        <w:rPr>
          <w:rFonts w:hint="eastAsia" w:ascii="仿宋" w:hAnsi="仿宋" w:eastAsia="仿宋" w:cs="仿宋"/>
          <w:color w:val="auto"/>
          <w:kern w:val="2"/>
          <w:sz w:val="21"/>
          <w:szCs w:val="21"/>
          <w:highlight w:val="none"/>
          <w:u w:val="single"/>
          <w:lang w:val="en-US" w:eastAsia="zh-CN" w:bidi="ar"/>
        </w:rPr>
        <w:t xml:space="preserve"> 肆 </w:t>
      </w:r>
      <w:r>
        <w:rPr>
          <w:rFonts w:hint="eastAsia" w:ascii="仿宋" w:hAnsi="仿宋" w:eastAsia="仿宋" w:cs="仿宋"/>
          <w:color w:val="auto"/>
          <w:kern w:val="2"/>
          <w:sz w:val="21"/>
          <w:szCs w:val="21"/>
          <w:highlight w:val="none"/>
          <w:lang w:val="en-US" w:eastAsia="zh-CN" w:bidi="ar"/>
        </w:rPr>
        <w:t>份，供应商</w:t>
      </w:r>
      <w:r>
        <w:rPr>
          <w:rFonts w:hint="eastAsia" w:ascii="仿宋" w:hAnsi="仿宋" w:eastAsia="仿宋" w:cs="仿宋"/>
          <w:color w:val="auto"/>
          <w:kern w:val="2"/>
          <w:sz w:val="21"/>
          <w:szCs w:val="21"/>
          <w:highlight w:val="none"/>
          <w:u w:val="single"/>
          <w:lang w:val="en-US" w:eastAsia="zh-CN" w:bidi="ar"/>
        </w:rPr>
        <w:t xml:space="preserve"> 贰 </w:t>
      </w:r>
      <w:r>
        <w:rPr>
          <w:rFonts w:hint="eastAsia" w:ascii="仿宋" w:hAnsi="仿宋" w:eastAsia="仿宋" w:cs="仿宋"/>
          <w:color w:val="auto"/>
          <w:kern w:val="2"/>
          <w:sz w:val="21"/>
          <w:szCs w:val="21"/>
          <w:highlight w:val="none"/>
          <w:lang w:val="en-US" w:eastAsia="zh-CN" w:bidi="ar"/>
        </w:rPr>
        <w:t>份，执行完毕后自行失效。</w:t>
      </w:r>
    </w:p>
    <w:p w14:paraId="7AC0487A">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2.下述文件为本合同的一部分，并与本合同一起阅读和解释，且具有同等法律效力：</w:t>
      </w:r>
    </w:p>
    <w:p w14:paraId="53E8DF94">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①合同附件1：产品功能要求、技术规格及配置详单；</w:t>
      </w:r>
    </w:p>
    <w:p w14:paraId="38BE4FC0">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②合同附件2：补充条款（如果有）；</w:t>
      </w:r>
    </w:p>
    <w:p w14:paraId="3AF6B471">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③合同附件3：澄清函及最终报价和承诺（如果有）；</w:t>
      </w:r>
    </w:p>
    <w:p w14:paraId="1DD58CA3">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④竞争性谈判文件；</w:t>
      </w:r>
    </w:p>
    <w:p w14:paraId="130D6D26">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⑤响应文件；</w:t>
      </w:r>
    </w:p>
    <w:p w14:paraId="7CB3C4C2">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56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⑥成交通知书。</w:t>
      </w:r>
    </w:p>
    <w:p w14:paraId="0C6CD04C">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3.在本合同执行过程中，甲、乙双方协商签订的补充合同与原合同具有同等法律效力。</w:t>
      </w:r>
    </w:p>
    <w:p w14:paraId="35AC2C1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bidi="ar"/>
        </w:rPr>
        <w:t>4.未尽事宜，双方协商解决。</w:t>
      </w:r>
    </w:p>
    <w:p w14:paraId="1056BCE7">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leftChars="0" w:right="0" w:firstLine="420" w:firstLineChars="200"/>
        <w:jc w:val="both"/>
        <w:textAlignment w:val="auto"/>
        <w:rPr>
          <w:rFonts w:hint="eastAsia" w:ascii="仿宋" w:hAnsi="仿宋" w:eastAsia="仿宋" w:cs="仿宋"/>
          <w:color w:val="auto"/>
          <w:kern w:val="2"/>
          <w:sz w:val="21"/>
          <w:szCs w:val="21"/>
          <w:highlight w:val="none"/>
          <w:lang w:val="en-US"/>
        </w:rPr>
      </w:pPr>
      <w:r>
        <w:rPr>
          <w:rFonts w:hint="eastAsia" w:ascii="仿宋" w:hAnsi="仿宋" w:eastAsia="仿宋" w:cs="仿宋"/>
          <w:color w:val="auto"/>
          <w:kern w:val="2"/>
          <w:sz w:val="21"/>
          <w:szCs w:val="21"/>
          <w:highlight w:val="none"/>
          <w:lang w:val="en-US" w:eastAsia="zh-CN" w:bidi="ar"/>
        </w:rPr>
        <w:t>5.合同签订地点：</w:t>
      </w:r>
      <w:r>
        <w:rPr>
          <w:rFonts w:hint="eastAsia" w:ascii="仿宋" w:hAnsi="仿宋" w:eastAsia="仿宋" w:cs="仿宋"/>
          <w:color w:val="auto"/>
          <w:sz w:val="21"/>
          <w:szCs w:val="21"/>
          <w:highlight w:val="none"/>
          <w:lang w:val="en-US" w:eastAsia="zh-CN"/>
        </w:rPr>
        <w:t>采购人指定地点</w:t>
      </w:r>
    </w:p>
    <w:p w14:paraId="21FF581C">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right="0" w:firstLine="420" w:firstLineChars="200"/>
        <w:jc w:val="both"/>
        <w:textAlignment w:val="auto"/>
        <w:rPr>
          <w:rFonts w:hint="eastAsia" w:ascii="仿宋" w:hAnsi="仿宋" w:eastAsia="仿宋" w:cs="仿宋"/>
          <w:color w:val="auto"/>
          <w:kern w:val="2"/>
          <w:sz w:val="21"/>
          <w:szCs w:val="21"/>
          <w:lang w:val="en-US" w:eastAsia="zh-CN" w:bidi="ar"/>
        </w:rPr>
      </w:pPr>
      <w:r>
        <w:rPr>
          <w:rFonts w:hint="eastAsia" w:ascii="仿宋" w:hAnsi="仿宋" w:eastAsia="仿宋" w:cs="仿宋"/>
          <w:color w:val="auto"/>
          <w:kern w:val="2"/>
          <w:sz w:val="21"/>
          <w:szCs w:val="21"/>
          <w:highlight w:val="none"/>
          <w:lang w:val="en-US" w:eastAsia="zh-CN" w:bidi="ar"/>
        </w:rPr>
        <w:t>6.合同签订时间：</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年</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月</w:t>
      </w:r>
      <w:r>
        <w:rPr>
          <w:rFonts w:hint="eastAsia" w:ascii="仿宋" w:hAnsi="仿宋" w:eastAsia="仿宋" w:cs="仿宋"/>
          <w:color w:val="auto"/>
          <w:kern w:val="2"/>
          <w:sz w:val="21"/>
          <w:szCs w:val="21"/>
          <w:highlight w:val="none"/>
          <w:u w:val="single"/>
          <w:lang w:val="en-US" w:eastAsia="zh-CN" w:bidi="ar"/>
        </w:rPr>
        <w:t xml:space="preserve">   </w:t>
      </w:r>
      <w:r>
        <w:rPr>
          <w:rFonts w:hint="eastAsia" w:ascii="仿宋" w:hAnsi="仿宋" w:eastAsia="仿宋" w:cs="仿宋"/>
          <w:color w:val="auto"/>
          <w:kern w:val="2"/>
          <w:sz w:val="21"/>
          <w:szCs w:val="21"/>
          <w:highlight w:val="none"/>
          <w:lang w:val="en-US" w:eastAsia="zh-CN" w:bidi="ar"/>
        </w:rPr>
        <w:t>日</w:t>
      </w:r>
      <w:r>
        <w:rPr>
          <w:rFonts w:hint="eastAsia" w:ascii="仿宋" w:hAnsi="仿宋" w:eastAsia="仿宋" w:cs="仿宋"/>
          <w:color w:val="auto"/>
          <w:kern w:val="2"/>
          <w:sz w:val="21"/>
          <w:szCs w:val="21"/>
          <w:lang w:val="en-US" w:eastAsia="zh-CN" w:bidi="ar"/>
        </w:rPr>
        <w:t xml:space="preserve"> </w:t>
      </w:r>
    </w:p>
    <w:p w14:paraId="6C43E2C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firstLine="540"/>
        <w:jc w:val="both"/>
        <w:textAlignment w:val="auto"/>
        <w:rPr>
          <w:rFonts w:hint="eastAsia" w:ascii="仿宋" w:hAnsi="仿宋" w:eastAsia="仿宋" w:cs="仿宋"/>
          <w:color w:val="auto"/>
          <w:kern w:val="2"/>
          <w:sz w:val="21"/>
          <w:szCs w:val="21"/>
          <w:lang w:val="en-US" w:eastAsia="zh-CN" w:bidi="ar"/>
        </w:rPr>
      </w:pPr>
    </w:p>
    <w:p w14:paraId="18836EA5">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采购人：</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（盖章） 供应商：</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（盖章）</w:t>
      </w:r>
    </w:p>
    <w:p w14:paraId="6A82D413">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地  址：</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 xml:space="preserve">       地  址：</w:t>
      </w:r>
      <w:r>
        <w:rPr>
          <w:rFonts w:hint="eastAsia" w:ascii="仿宋" w:hAnsi="仿宋" w:eastAsia="仿宋" w:cs="仿宋"/>
          <w:sz w:val="21"/>
          <w:szCs w:val="21"/>
          <w:highlight w:val="none"/>
          <w:u w:val="single"/>
          <w:lang w:eastAsia="zh-CN"/>
        </w:rPr>
        <w:t xml:space="preserve">                       </w:t>
      </w:r>
    </w:p>
    <w:p w14:paraId="536B9AB2">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法定代表人                             法定代表人</w:t>
      </w:r>
    </w:p>
    <w:p w14:paraId="7246E458">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或其授权的代理人：</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（签字）或其授权的代理人：</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（签字）</w:t>
      </w:r>
    </w:p>
    <w:p w14:paraId="3D54AAE1">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开户银行：</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 xml:space="preserve">       开户银行：</w:t>
      </w:r>
      <w:r>
        <w:rPr>
          <w:rFonts w:hint="eastAsia" w:ascii="仿宋" w:hAnsi="仿宋" w:eastAsia="仿宋" w:cs="仿宋"/>
          <w:sz w:val="21"/>
          <w:szCs w:val="21"/>
          <w:highlight w:val="none"/>
          <w:u w:val="single"/>
          <w:lang w:eastAsia="zh-CN"/>
        </w:rPr>
        <w:t xml:space="preserve">                      </w:t>
      </w:r>
    </w:p>
    <w:p w14:paraId="7F703F4F">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账    号：</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 xml:space="preserve">       账    号：</w:t>
      </w:r>
      <w:r>
        <w:rPr>
          <w:rFonts w:hint="eastAsia" w:ascii="仿宋" w:hAnsi="仿宋" w:eastAsia="仿宋" w:cs="仿宋"/>
          <w:sz w:val="21"/>
          <w:szCs w:val="21"/>
          <w:highlight w:val="none"/>
          <w:u w:val="single"/>
          <w:lang w:eastAsia="zh-CN"/>
        </w:rPr>
        <w:t xml:space="preserve">                      </w:t>
      </w:r>
    </w:p>
    <w:p w14:paraId="772091AA">
      <w:pPr>
        <w:pStyle w:val="19"/>
        <w:pageBreakBefore w:val="0"/>
        <w:widowControl w:val="0"/>
        <w:kinsoku/>
        <w:wordWrap/>
        <w:overflowPunct/>
        <w:topLinePunct w:val="0"/>
        <w:autoSpaceDE/>
        <w:autoSpaceDN/>
        <w:bidi w:val="0"/>
        <w:adjustRightInd w:val="0"/>
        <w:snapToGrid w:val="0"/>
        <w:spacing w:line="400" w:lineRule="exact"/>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eastAsia="zh-CN"/>
        </w:rPr>
        <w:t>电    话：</w:t>
      </w:r>
      <w:r>
        <w:rPr>
          <w:rFonts w:hint="eastAsia" w:ascii="仿宋" w:hAnsi="仿宋" w:eastAsia="仿宋" w:cs="仿宋"/>
          <w:sz w:val="21"/>
          <w:szCs w:val="21"/>
          <w:highlight w:val="none"/>
          <w:u w:val="single"/>
          <w:lang w:eastAsia="zh-CN"/>
        </w:rPr>
        <w:t xml:space="preserve">                      </w:t>
      </w:r>
      <w:r>
        <w:rPr>
          <w:rFonts w:hint="eastAsia" w:ascii="仿宋" w:hAnsi="仿宋" w:eastAsia="仿宋" w:cs="仿宋"/>
          <w:sz w:val="21"/>
          <w:szCs w:val="21"/>
          <w:highlight w:val="none"/>
          <w:lang w:eastAsia="zh-CN"/>
        </w:rPr>
        <w:t xml:space="preserve">       电    话：</w:t>
      </w:r>
      <w:r>
        <w:rPr>
          <w:rFonts w:hint="eastAsia" w:ascii="仿宋" w:hAnsi="仿宋" w:eastAsia="仿宋" w:cs="仿宋"/>
          <w:sz w:val="21"/>
          <w:szCs w:val="21"/>
          <w:highlight w:val="none"/>
          <w:u w:val="single"/>
          <w:lang w:eastAsia="zh-CN"/>
        </w:rPr>
        <w:t xml:space="preserve">                      </w:t>
      </w:r>
    </w:p>
    <w:p w14:paraId="2E1F57B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firstLine="540"/>
        <w:jc w:val="both"/>
        <w:textAlignment w:val="auto"/>
        <w:rPr>
          <w:rFonts w:hint="eastAsia" w:ascii="仿宋" w:hAnsi="仿宋" w:eastAsia="仿宋" w:cs="仿宋"/>
          <w:color w:val="auto"/>
          <w:kern w:val="2"/>
          <w:sz w:val="21"/>
          <w:szCs w:val="21"/>
          <w:lang w:val="en-US" w:eastAsia="zh-CN" w:bidi="ar"/>
        </w:rPr>
      </w:pPr>
      <w:r>
        <w:rPr>
          <w:rFonts w:hint="eastAsia" w:ascii="仿宋" w:hAnsi="仿宋" w:eastAsia="仿宋" w:cs="仿宋"/>
          <w:color w:val="auto"/>
          <w:kern w:val="2"/>
          <w:sz w:val="21"/>
          <w:szCs w:val="21"/>
          <w:lang w:val="en-US" w:eastAsia="zh-CN" w:bidi="ar"/>
        </w:rPr>
        <w:t xml:space="preserve">                    </w:t>
      </w:r>
    </w:p>
    <w:p w14:paraId="2046C2C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firstLine="540"/>
        <w:jc w:val="both"/>
        <w:textAlignment w:val="auto"/>
        <w:rPr>
          <w:rFonts w:hint="eastAsia" w:ascii="仿宋" w:hAnsi="仿宋" w:eastAsia="仿宋" w:cs="仿宋"/>
          <w:color w:val="auto"/>
          <w:kern w:val="2"/>
          <w:sz w:val="21"/>
          <w:szCs w:val="21"/>
          <w:lang w:val="en-US" w:eastAsia="zh-CN" w:bidi="ar"/>
        </w:rPr>
      </w:pPr>
    </w:p>
    <w:p w14:paraId="22A84DF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firstLine="540"/>
        <w:jc w:val="both"/>
        <w:textAlignment w:val="auto"/>
        <w:rPr>
          <w:rFonts w:hint="eastAsia" w:ascii="仿宋" w:hAnsi="仿宋" w:eastAsia="仿宋" w:cs="仿宋"/>
          <w:b/>
          <w:bCs/>
          <w:lang w:val="en-US" w:eastAsia="zh-Hans"/>
        </w:rPr>
      </w:pPr>
      <w:r>
        <w:rPr>
          <w:rFonts w:hint="eastAsia" w:ascii="仿宋" w:hAnsi="仿宋" w:eastAsia="仿宋" w:cs="仿宋"/>
          <w:b/>
          <w:bCs/>
          <w:color w:val="auto"/>
          <w:kern w:val="2"/>
          <w:sz w:val="21"/>
          <w:szCs w:val="21"/>
          <w:lang w:val="en-US" w:eastAsia="zh-CN" w:bidi="ar"/>
        </w:rPr>
        <w:t>注：上述合同仅作为参考文本，合同签订时双方可根据项目的具体要求进行修订，实质性内容不得违背谈判文件的条款。</w:t>
      </w:r>
    </w:p>
    <w:sectPr>
      <w:pgSz w:w="11906" w:h="16838"/>
      <w:pgMar w:top="1134" w:right="1134" w:bottom="1134" w:left="113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FDA9B">
    <w:pPr>
      <w:spacing w:line="188" w:lineRule="auto"/>
      <w:ind w:left="310"/>
      <w:rPr>
        <w:rFonts w:ascii="宋体" w:hAnsi="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DA171A">
                          <w:pPr>
                            <w:pStyle w:val="10"/>
                          </w:pPr>
                          <w:r>
                            <w:t xml:space="preserve">第 </w:t>
                          </w:r>
                          <w:r>
                            <w:fldChar w:fldCharType="begin"/>
                          </w:r>
                          <w:r>
                            <w:instrText xml:space="preserve"> PAGE  \* MERGEFORMAT </w:instrText>
                          </w:r>
                          <w:r>
                            <w:fldChar w:fldCharType="separate"/>
                          </w:r>
                          <w:r>
                            <w:t>70</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03DA171A">
                    <w:pPr>
                      <w:pStyle w:val="10"/>
                    </w:pPr>
                    <w:r>
                      <w:t xml:space="preserve">第 </w:t>
                    </w:r>
                    <w:r>
                      <w:fldChar w:fldCharType="begin"/>
                    </w:r>
                    <w:r>
                      <w:instrText xml:space="preserve"> PAGE  \* MERGEFORMAT </w:instrText>
                    </w:r>
                    <w:r>
                      <w:fldChar w:fldCharType="separate"/>
                    </w:r>
                    <w:r>
                      <w:t>70</w:t>
                    </w:r>
                    <w:r>
                      <w:fldChar w:fldCharType="end"/>
                    </w:r>
                    <w:r>
                      <w:t xml:space="preserve"> 页 共 </w:t>
                    </w:r>
                    <w:r>
                      <w:fldChar w:fldCharType="begin"/>
                    </w:r>
                    <w:r>
                      <w:instrText xml:space="preserve"> NUMPAGES  \* MERGEFORMAT </w:instrText>
                    </w:r>
                    <w:r>
                      <w:fldChar w:fldCharType="separate"/>
                    </w:r>
                    <w:r>
                      <w:t>80</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7A3406"/>
    <w:rsid w:val="01782C45"/>
    <w:rsid w:val="023B0973"/>
    <w:rsid w:val="024261A6"/>
    <w:rsid w:val="02554CD8"/>
    <w:rsid w:val="03630182"/>
    <w:rsid w:val="04713457"/>
    <w:rsid w:val="04BE356F"/>
    <w:rsid w:val="04C9685E"/>
    <w:rsid w:val="04D40E15"/>
    <w:rsid w:val="04EF0EBA"/>
    <w:rsid w:val="05840805"/>
    <w:rsid w:val="05A47C83"/>
    <w:rsid w:val="05E275A9"/>
    <w:rsid w:val="066F3D43"/>
    <w:rsid w:val="06C929F2"/>
    <w:rsid w:val="07950B26"/>
    <w:rsid w:val="08561B43"/>
    <w:rsid w:val="08E9627C"/>
    <w:rsid w:val="093920B1"/>
    <w:rsid w:val="095742E5"/>
    <w:rsid w:val="09EC2DF4"/>
    <w:rsid w:val="0A2006DF"/>
    <w:rsid w:val="0A540824"/>
    <w:rsid w:val="0ADC5CA0"/>
    <w:rsid w:val="0B16579E"/>
    <w:rsid w:val="0B44473A"/>
    <w:rsid w:val="0BAB2C99"/>
    <w:rsid w:val="0D54327C"/>
    <w:rsid w:val="0D8F0A9E"/>
    <w:rsid w:val="0DE95727"/>
    <w:rsid w:val="0DED5218"/>
    <w:rsid w:val="0E0013EF"/>
    <w:rsid w:val="0E5972B7"/>
    <w:rsid w:val="0E83303B"/>
    <w:rsid w:val="0EE7137F"/>
    <w:rsid w:val="0EF657F3"/>
    <w:rsid w:val="0FDA3975"/>
    <w:rsid w:val="10836545"/>
    <w:rsid w:val="110A7E8F"/>
    <w:rsid w:val="115012ED"/>
    <w:rsid w:val="11B61DC5"/>
    <w:rsid w:val="12314E84"/>
    <w:rsid w:val="125258F4"/>
    <w:rsid w:val="12751056"/>
    <w:rsid w:val="127D025B"/>
    <w:rsid w:val="13AC347F"/>
    <w:rsid w:val="143A2296"/>
    <w:rsid w:val="14A30D26"/>
    <w:rsid w:val="14F46542"/>
    <w:rsid w:val="15655FDB"/>
    <w:rsid w:val="1618750F"/>
    <w:rsid w:val="161B2B0B"/>
    <w:rsid w:val="163D7764"/>
    <w:rsid w:val="16616F25"/>
    <w:rsid w:val="17654277"/>
    <w:rsid w:val="177F50ED"/>
    <w:rsid w:val="17B44FF8"/>
    <w:rsid w:val="18C272A1"/>
    <w:rsid w:val="18E50A4D"/>
    <w:rsid w:val="18EC6D50"/>
    <w:rsid w:val="1902505E"/>
    <w:rsid w:val="1912647A"/>
    <w:rsid w:val="19697BFA"/>
    <w:rsid w:val="1AFE3B23"/>
    <w:rsid w:val="1B45310B"/>
    <w:rsid w:val="1BC53AEF"/>
    <w:rsid w:val="1C816441"/>
    <w:rsid w:val="1CA65CBB"/>
    <w:rsid w:val="1CA91B78"/>
    <w:rsid w:val="1CE41EDC"/>
    <w:rsid w:val="1D8F0099"/>
    <w:rsid w:val="20F3093F"/>
    <w:rsid w:val="211A0DC1"/>
    <w:rsid w:val="2127683B"/>
    <w:rsid w:val="21BF0821"/>
    <w:rsid w:val="22673393"/>
    <w:rsid w:val="23451001"/>
    <w:rsid w:val="238D3CD2"/>
    <w:rsid w:val="23BF0FAD"/>
    <w:rsid w:val="23F55006"/>
    <w:rsid w:val="25184381"/>
    <w:rsid w:val="25506360"/>
    <w:rsid w:val="275F0ADD"/>
    <w:rsid w:val="28593DA2"/>
    <w:rsid w:val="29C14F55"/>
    <w:rsid w:val="2AFB4FC0"/>
    <w:rsid w:val="2B465B0F"/>
    <w:rsid w:val="2B6C1A1A"/>
    <w:rsid w:val="2B797102"/>
    <w:rsid w:val="2C161986"/>
    <w:rsid w:val="2C8D1C48"/>
    <w:rsid w:val="2CF63C91"/>
    <w:rsid w:val="2D460049"/>
    <w:rsid w:val="2DB77AD8"/>
    <w:rsid w:val="2DDB2E87"/>
    <w:rsid w:val="2E0A4CB7"/>
    <w:rsid w:val="2E3D3BC8"/>
    <w:rsid w:val="2F081A5A"/>
    <w:rsid w:val="31771119"/>
    <w:rsid w:val="31B07A61"/>
    <w:rsid w:val="32AE391B"/>
    <w:rsid w:val="32B64D3F"/>
    <w:rsid w:val="32D428B1"/>
    <w:rsid w:val="33122EA7"/>
    <w:rsid w:val="33414E17"/>
    <w:rsid w:val="339715FE"/>
    <w:rsid w:val="339A2E9C"/>
    <w:rsid w:val="33E16D1D"/>
    <w:rsid w:val="345E619E"/>
    <w:rsid w:val="34880F47"/>
    <w:rsid w:val="34D10B40"/>
    <w:rsid w:val="34F817EF"/>
    <w:rsid w:val="35527ED3"/>
    <w:rsid w:val="356279EA"/>
    <w:rsid w:val="360A2C32"/>
    <w:rsid w:val="3679148F"/>
    <w:rsid w:val="368B4F0E"/>
    <w:rsid w:val="37C624B2"/>
    <w:rsid w:val="38BB7B3D"/>
    <w:rsid w:val="39444501"/>
    <w:rsid w:val="39CB0253"/>
    <w:rsid w:val="39D37108"/>
    <w:rsid w:val="3A3B7187"/>
    <w:rsid w:val="3A561FD2"/>
    <w:rsid w:val="3B0A4DAB"/>
    <w:rsid w:val="3B2F5B79"/>
    <w:rsid w:val="3BD57167"/>
    <w:rsid w:val="3C9C5ED7"/>
    <w:rsid w:val="3D556267"/>
    <w:rsid w:val="3F5465F5"/>
    <w:rsid w:val="3F6C7946"/>
    <w:rsid w:val="3F92130B"/>
    <w:rsid w:val="40414DCB"/>
    <w:rsid w:val="407802FB"/>
    <w:rsid w:val="41682115"/>
    <w:rsid w:val="4186517B"/>
    <w:rsid w:val="4255523A"/>
    <w:rsid w:val="42A94EAA"/>
    <w:rsid w:val="430372E0"/>
    <w:rsid w:val="43505556"/>
    <w:rsid w:val="43B27D8E"/>
    <w:rsid w:val="442C7B41"/>
    <w:rsid w:val="45D1274E"/>
    <w:rsid w:val="46311933"/>
    <w:rsid w:val="46697027"/>
    <w:rsid w:val="46B67B95"/>
    <w:rsid w:val="46C76F99"/>
    <w:rsid w:val="46DF758A"/>
    <w:rsid w:val="479C6C06"/>
    <w:rsid w:val="48396BC5"/>
    <w:rsid w:val="4856705C"/>
    <w:rsid w:val="487715FB"/>
    <w:rsid w:val="4A712751"/>
    <w:rsid w:val="4BE86A43"/>
    <w:rsid w:val="4C7A1154"/>
    <w:rsid w:val="4CB306D4"/>
    <w:rsid w:val="4CD50C4C"/>
    <w:rsid w:val="4D852E94"/>
    <w:rsid w:val="4D8B3B2A"/>
    <w:rsid w:val="4DC56B4E"/>
    <w:rsid w:val="4DE23516"/>
    <w:rsid w:val="4E371DBD"/>
    <w:rsid w:val="4F2935FA"/>
    <w:rsid w:val="507F270B"/>
    <w:rsid w:val="513D338D"/>
    <w:rsid w:val="52854FEC"/>
    <w:rsid w:val="52F537F4"/>
    <w:rsid w:val="53A475B9"/>
    <w:rsid w:val="53AB0FB7"/>
    <w:rsid w:val="53B52B8D"/>
    <w:rsid w:val="53FA5565"/>
    <w:rsid w:val="545804DE"/>
    <w:rsid w:val="546C32D0"/>
    <w:rsid w:val="547D2651"/>
    <w:rsid w:val="54EB1352"/>
    <w:rsid w:val="55426099"/>
    <w:rsid w:val="556B321E"/>
    <w:rsid w:val="55990DAE"/>
    <w:rsid w:val="55C23E61"/>
    <w:rsid w:val="56250A5B"/>
    <w:rsid w:val="562C1C22"/>
    <w:rsid w:val="563A15E6"/>
    <w:rsid w:val="56470716"/>
    <w:rsid w:val="58B33EA7"/>
    <w:rsid w:val="59294788"/>
    <w:rsid w:val="59D6612D"/>
    <w:rsid w:val="5A126853"/>
    <w:rsid w:val="5A5359CF"/>
    <w:rsid w:val="5A657ABB"/>
    <w:rsid w:val="5AF669C0"/>
    <w:rsid w:val="5BC546AB"/>
    <w:rsid w:val="5BE56AFB"/>
    <w:rsid w:val="5C411822"/>
    <w:rsid w:val="5C4C62B6"/>
    <w:rsid w:val="5CDB3A5A"/>
    <w:rsid w:val="5E2A4056"/>
    <w:rsid w:val="5E2E6801"/>
    <w:rsid w:val="5ED2780B"/>
    <w:rsid w:val="609E5846"/>
    <w:rsid w:val="60CF38D6"/>
    <w:rsid w:val="60FA6BA5"/>
    <w:rsid w:val="61726EE6"/>
    <w:rsid w:val="61B52ACC"/>
    <w:rsid w:val="62A90956"/>
    <w:rsid w:val="63383535"/>
    <w:rsid w:val="637846F9"/>
    <w:rsid w:val="645663F0"/>
    <w:rsid w:val="65DE0DD7"/>
    <w:rsid w:val="66311F74"/>
    <w:rsid w:val="66406B81"/>
    <w:rsid w:val="668B60D0"/>
    <w:rsid w:val="66CF11E2"/>
    <w:rsid w:val="67332E10"/>
    <w:rsid w:val="673334AB"/>
    <w:rsid w:val="67D839B8"/>
    <w:rsid w:val="68221992"/>
    <w:rsid w:val="68F45F85"/>
    <w:rsid w:val="69822891"/>
    <w:rsid w:val="6A404461"/>
    <w:rsid w:val="6BC93D43"/>
    <w:rsid w:val="6C7E6B4A"/>
    <w:rsid w:val="6D12171A"/>
    <w:rsid w:val="6D386553"/>
    <w:rsid w:val="6DF826BE"/>
    <w:rsid w:val="6E8B4399"/>
    <w:rsid w:val="6F060D0B"/>
    <w:rsid w:val="6F5C6481"/>
    <w:rsid w:val="6FA523D2"/>
    <w:rsid w:val="6FBC7006"/>
    <w:rsid w:val="6FCE7B7A"/>
    <w:rsid w:val="70E46B9A"/>
    <w:rsid w:val="71933575"/>
    <w:rsid w:val="727F4840"/>
    <w:rsid w:val="735B0C3A"/>
    <w:rsid w:val="739509AF"/>
    <w:rsid w:val="743E4BA3"/>
    <w:rsid w:val="749D3FBF"/>
    <w:rsid w:val="74FE2E5B"/>
    <w:rsid w:val="753D1AF7"/>
    <w:rsid w:val="75ED6880"/>
    <w:rsid w:val="760D0CD1"/>
    <w:rsid w:val="76261BD0"/>
    <w:rsid w:val="767D5E56"/>
    <w:rsid w:val="76C56CE8"/>
    <w:rsid w:val="76DB13DC"/>
    <w:rsid w:val="7711659E"/>
    <w:rsid w:val="774F4C8F"/>
    <w:rsid w:val="7789082B"/>
    <w:rsid w:val="77AB79BE"/>
    <w:rsid w:val="77F79321"/>
    <w:rsid w:val="78462278"/>
    <w:rsid w:val="78986C02"/>
    <w:rsid w:val="7927526C"/>
    <w:rsid w:val="797A48CF"/>
    <w:rsid w:val="799C4845"/>
    <w:rsid w:val="7AB03FD0"/>
    <w:rsid w:val="7BDF6C6B"/>
    <w:rsid w:val="7BEC3554"/>
    <w:rsid w:val="7BF5699E"/>
    <w:rsid w:val="7C3C2F1B"/>
    <w:rsid w:val="7C3E2946"/>
    <w:rsid w:val="7C991510"/>
    <w:rsid w:val="7DDF49B4"/>
    <w:rsid w:val="7E3A1DCC"/>
    <w:rsid w:val="7F02529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Calibri" w:hAnsi="Calibri" w:eastAsia="宋体" w:cs="Times New Roman"/>
      <w:kern w:val="0"/>
      <w:sz w:val="24"/>
      <w:szCs w:val="24"/>
      <w:lang w:val="en-US" w:eastAsia="zh-CN" w:bidi="ar"/>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paragraph" w:styleId="3">
    <w:name w:val="heading 3"/>
    <w:basedOn w:val="1"/>
    <w:next w:val="1"/>
    <w:unhideWhenUsed/>
    <w:qFormat/>
    <w:uiPriority w:val="9"/>
    <w:pPr>
      <w:spacing w:beforeLines="0" w:afterLines="0" w:line="560" w:lineRule="exact"/>
      <w:jc w:val="center"/>
      <w:outlineLvl w:val="2"/>
    </w:pPr>
    <w:rPr>
      <w:rFonts w:hint="eastAsia" w:ascii="方正小标宋_GBK" w:hAnsi="仿宋" w:eastAsia="方正小标宋_GBK"/>
      <w:sz w:val="36"/>
      <w:szCs w:val="36"/>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annotation text"/>
    <w:basedOn w:val="1"/>
    <w:unhideWhenUsed/>
    <w:qFormat/>
    <w:uiPriority w:val="0"/>
    <w:pPr>
      <w:spacing w:beforeLines="0" w:afterLines="0"/>
    </w:pPr>
    <w:rPr>
      <w:rFonts w:hint="default"/>
      <w:sz w:val="21"/>
      <w:szCs w:val="21"/>
    </w:rPr>
  </w:style>
  <w:style w:type="paragraph" w:styleId="5">
    <w:name w:val="Body Text"/>
    <w:basedOn w:val="1"/>
    <w:next w:val="6"/>
    <w:qFormat/>
    <w:uiPriority w:val="99"/>
    <w:rPr>
      <w:color w:val="993300"/>
      <w:sz w:val="24"/>
    </w:rPr>
  </w:style>
  <w:style w:type="paragraph" w:customStyle="1" w:styleId="6">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 w:type="paragraph" w:styleId="7">
    <w:name w:val="Body Text Indent"/>
    <w:basedOn w:val="1"/>
    <w:unhideWhenUsed/>
    <w:qFormat/>
    <w:uiPriority w:val="0"/>
    <w:pPr>
      <w:tabs>
        <w:tab w:val="left" w:pos="8640"/>
      </w:tabs>
      <w:spacing w:beforeLines="0" w:afterLines="0"/>
      <w:ind w:firstLine="420"/>
    </w:pPr>
    <w:rPr>
      <w:rFonts w:hint="eastAsia" w:ascii="楷体_GB2312" w:eastAsia="楷体_GB2312"/>
      <w:sz w:val="28"/>
      <w:szCs w:val="21"/>
    </w:rPr>
  </w:style>
  <w:style w:type="paragraph" w:styleId="8">
    <w:name w:val="Block Text"/>
    <w:basedOn w:val="1"/>
    <w:unhideWhenUsed/>
    <w:qFormat/>
    <w:uiPriority w:val="0"/>
    <w:pPr>
      <w:spacing w:beforeLines="0" w:afterLines="0"/>
      <w:ind w:left="420" w:right="33"/>
    </w:pPr>
    <w:rPr>
      <w:rFonts w:hint="default"/>
      <w:sz w:val="21"/>
      <w:szCs w:val="21"/>
    </w:rPr>
  </w:style>
  <w:style w:type="paragraph" w:styleId="9">
    <w:name w:val="Body Text Indent 2"/>
    <w:basedOn w:val="1"/>
    <w:qFormat/>
    <w:uiPriority w:val="0"/>
    <w:pPr>
      <w:spacing w:after="120" w:line="480" w:lineRule="auto"/>
      <w:ind w:left="420" w:leftChars="200"/>
    </w:pPr>
  </w:style>
  <w:style w:type="paragraph" w:styleId="10">
    <w:name w:val="footer"/>
    <w:basedOn w:val="1"/>
    <w:unhideWhenUsed/>
    <w:qFormat/>
    <w:uiPriority w:val="0"/>
    <w:pPr>
      <w:tabs>
        <w:tab w:val="center" w:pos="4153"/>
        <w:tab w:val="right" w:pos="8306"/>
      </w:tabs>
      <w:spacing w:beforeLines="0" w:afterLines="0"/>
    </w:pPr>
    <w:rPr>
      <w:rFonts w:hint="default"/>
      <w:sz w:val="18"/>
      <w:szCs w:val="21"/>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unhideWhenUsed/>
    <w:qFormat/>
    <w:uiPriority w:val="0"/>
    <w:pPr>
      <w:spacing w:beforeLines="0" w:afterLines="0"/>
      <w:ind w:left="420" w:leftChars="200"/>
    </w:pPr>
    <w:rPr>
      <w:rFonts w:hint="default"/>
      <w:sz w:val="21"/>
      <w:szCs w:val="21"/>
    </w:rPr>
  </w:style>
  <w:style w:type="paragraph" w:styleId="14">
    <w:name w:val="Normal (Web)"/>
    <w:basedOn w:val="1"/>
    <w:qFormat/>
    <w:uiPriority w:val="0"/>
    <w:pPr>
      <w:spacing w:before="100" w:beforeAutospacing="1" w:after="100" w:afterAutospacing="1"/>
    </w:pPr>
    <w:rPr>
      <w:rFonts w:cs="Times New Roman"/>
      <w:sz w:val="24"/>
      <w:lang w:eastAsia="zh-CN"/>
    </w:rPr>
  </w:style>
  <w:style w:type="paragraph" w:styleId="15">
    <w:name w:val="annotation subject"/>
    <w:basedOn w:val="4"/>
    <w:next w:val="4"/>
    <w:unhideWhenUsed/>
    <w:qFormat/>
    <w:uiPriority w:val="99"/>
    <w:pPr>
      <w:spacing w:beforeLines="0" w:afterLines="0"/>
    </w:pPr>
    <w:rPr>
      <w:rFonts w:hint="default"/>
      <w:b/>
      <w:sz w:val="21"/>
      <w:szCs w:val="21"/>
    </w:rPr>
  </w:style>
  <w:style w:type="paragraph" w:styleId="16">
    <w:name w:val="Body Text First Indent"/>
    <w:basedOn w:val="5"/>
    <w:unhideWhenUsed/>
    <w:qFormat/>
    <w:uiPriority w:val="99"/>
    <w:pPr>
      <w:spacing w:beforeLines="0" w:afterLines="0"/>
      <w:ind w:firstLine="420" w:firstLineChars="100"/>
    </w:pPr>
    <w:rPr>
      <w:rFonts w:hint="eastAsia"/>
      <w:sz w:val="21"/>
      <w:szCs w:val="21"/>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3697</Words>
  <Characters>4042</Characters>
  <Lines>0</Lines>
  <Paragraphs>0</Paragraphs>
  <TotalTime>57</TotalTime>
  <ScaleCrop>false</ScaleCrop>
  <LinksUpToDate>false</LinksUpToDate>
  <CharactersWithSpaces>4074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晓晓芸</cp:lastModifiedBy>
  <cp:lastPrinted>2026-08-25T04:13:00Z</cp:lastPrinted>
  <dcterms:modified xsi:type="dcterms:W3CDTF">2026-08-26T02:07:23Z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eyJoZGlkIjoiMWYwY2I5ZjE3Njc0ZjcwZDBlZjE3ODhiMzNmZTA4NDIiLCJ1c2VySWQiOiIzMDE3NjUwNDIifQ==</vt:lpwstr>
  </property>
  <property fmtid="{D5CDD505-2E9C-101B-9397-08002B2CF9AE}" pid="4" name="ICV">
    <vt:lpwstr>001E54D77DC645A9B350DDED30FC1436_12</vt:lpwstr>
  </property>
</Properties>
</file>