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版本号：SXLZ-2026-121.1B120260623001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信息化建设项目(二次)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SXLZ-2026-121.1B1</w:t>
      </w:r>
      <w:r>
        <w:br/>
      </w:r>
      <w:r>
        <w:br/>
      </w:r>
      <w:r>
        <w:br/>
      </w:r>
    </w:p>
    <w:p>
      <w:pPr>
        <w:pStyle w:val="null3"/>
        <w:jc w:val="center"/>
        <w:outlineLvl w:val="2"/>
      </w:pPr>
      <w:r>
        <w:rPr>
          <w:rFonts w:ascii="仿宋_GB2312" w:hAnsi="仿宋_GB2312" w:cs="仿宋_GB2312" w:eastAsia="仿宋_GB2312"/>
          <w:sz w:val="28"/>
          <w:b/>
        </w:rPr>
        <w:t>西安市雁塔区医疗保障经办服务中心</w:t>
      </w:r>
    </w:p>
    <w:p>
      <w:pPr>
        <w:pStyle w:val="null3"/>
        <w:jc w:val="center"/>
        <w:outlineLvl w:val="2"/>
      </w:pPr>
      <w:r>
        <w:rPr>
          <w:rFonts w:ascii="仿宋_GB2312" w:hAnsi="仿宋_GB2312" w:cs="仿宋_GB2312" w:eastAsia="仿宋_GB2312"/>
          <w:sz w:val="28"/>
          <w:b/>
        </w:rPr>
        <w:t>陕西龙泽项目咨询管理有限公司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陕西龙泽项目咨询管理有限公司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西安市雁塔区医疗保障经办服务中心</w:t>
      </w:r>
      <w:r>
        <w:rPr>
          <w:rFonts w:ascii="仿宋_GB2312" w:hAnsi="仿宋_GB2312" w:cs="仿宋_GB2312" w:eastAsia="仿宋_GB2312"/>
        </w:rPr>
        <w:t>委托，拟对</w:t>
      </w:r>
      <w:r>
        <w:rPr>
          <w:rFonts w:ascii="仿宋_GB2312" w:hAnsi="仿宋_GB2312" w:cs="仿宋_GB2312" w:eastAsia="仿宋_GB2312"/>
        </w:rPr>
        <w:t>信息化建设项目(二次)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SXLZ-2026-121.1B1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信息化建设项目(二次)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雁塔区医疗保障经办服务中⼼智能语⾳客服系统租赁；主要包括建设智能客服系统，嵌⼊中⼼热线服务渠道，接⼊⼤模型，配备坐席⼈员，并配备相应的硬件设备。系统依托健全的业务问答⼤模型，精准定位业务场景，提供业务呼⼊与呼出服务，搭建语⾳导航机器⼈、智能语⾳机器⼈、⼤模型机器⼈。⽀持呼⼊路由优先级，⽀持转接到语⾳导航、指定分机或固定号码，⽀持全程录音并录⾳⽂件备份。同时，提供机器⼈管理、知识库管理、⼈⼯客服管理、⼤模型管理、数据管理等功能，实现咨询热线智能化管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采购包1（信息化建设项目）：属于专门面向中小企业采购。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1、企业资质：供应商须具备合格有效的基础电信业务经营许可证或增值电信业务经营许可证。</w:t>
      </w:r>
    </w:p>
    <w:p>
      <w:pPr>
        <w:pStyle w:val="null3"/>
      </w:pPr>
      <w:r>
        <w:rPr>
          <w:rFonts w:ascii="仿宋_GB2312" w:hAnsi="仿宋_GB2312" w:cs="仿宋_GB2312" w:eastAsia="仿宋_GB2312"/>
        </w:rPr>
        <w:t>2、法定代表人身份证明书或授权委托书：供应商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3、信用查询截图：供应商在递交响应文件截止时间前被“中国执行信息公开网（http://zxgk.court.gov.cn/shixin/）”列入失信被执行人；被“信用中国”网站（www.creditchina.gov.cn）列入重大税收违法失信主体、政府采购严重违法失信行为记录名单；被“中国政府采购网”（www.ccgp.gov.cn）列入政府采购严重违法失信行为信息记录的，不得参加投标。</w:t>
      </w:r>
    </w:p>
    <w:p>
      <w:pPr>
        <w:pStyle w:val="null3"/>
      </w:pPr>
      <w:r>
        <w:rPr>
          <w:rFonts w:ascii="仿宋_GB2312" w:hAnsi="仿宋_GB2312" w:cs="仿宋_GB2312" w:eastAsia="仿宋_GB2312"/>
        </w:rPr>
        <w:t>4、非联合体投标：本项目不接受联合体投标，提供非联合体投标声明。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西安市雁塔区医疗保障经办服务中心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雁塔区电子二路32号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钟朵朵</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15202965625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陕西龙泽项目咨询管理有限公司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陕西省西安市国家民用航天产业基地神舟五路与东长安街交汇处东南角航天城中心广场1号楼708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郭佳星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15309270789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采购包1：173,000.00元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经与采购单位协商，根据成交金额，参照国家计委颁发的《招标代理服务收费管理暂行办法》(计价格〔2002〕1980号)、国家发展和改革委员会办公厅颁发的《关于招标代理服务费收费有关问题的通知》及《调整后的招标代理服务收费标准》(发改价格〔2011〕〕534号)规定计取，代理服务费不足5000元按5000元计取。2.采购代理服务费由成交供应商支付，成交供应商领取成交通知书时，须一次性向采购代理机构交纳采购代理服务费。3.采购代理服务费账户：公司名称：陕西龙泽项目咨询管理有限公司；账 号: 61050111583800000087；开户行：中国建设银行股份有限公司西安雁塔南路南段支行。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西安市雁塔区医疗保障经办服务中心</w:t>
      </w:r>
      <w:r>
        <w:rPr>
          <w:rFonts w:ascii="仿宋_GB2312" w:hAnsi="仿宋_GB2312" w:cs="仿宋_GB2312" w:eastAsia="仿宋_GB2312"/>
        </w:rPr>
        <w:t>和</w:t>
      </w:r>
      <w:r>
        <w:rPr>
          <w:rFonts w:ascii="仿宋_GB2312" w:hAnsi="仿宋_GB2312" w:cs="仿宋_GB2312" w:eastAsia="仿宋_GB2312"/>
        </w:rPr>
        <w:t>陕西龙泽项目咨询管理有限公司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西安市雁塔区医疗保障经办服务中心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陕西龙泽项目咨询管理有限公司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西安市雁塔区医疗保障经办服务中心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陕西龙泽项目咨询管理有限公司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3.如采用供应商所不拥有的知识产权，则在报价中必须包括合法使用该知识产权的相关费用。4.构成本采购文件的各组成部分，未经采购人书面同意，供应商不得擅自复印或用于非本采购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按国家有关规定以及磋商文件的要求、供应商的响应文件及承诺与本项目合同约定标准进行验收。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联系人：郭佳星</w:t>
      </w:r>
    </w:p>
    <w:p>
      <w:pPr>
        <w:pStyle w:val="null3"/>
      </w:pPr>
      <w:r>
        <w:rPr>
          <w:rFonts w:ascii="仿宋_GB2312" w:hAnsi="仿宋_GB2312" w:cs="仿宋_GB2312" w:eastAsia="仿宋_GB2312"/>
        </w:rPr>
        <w:t>联系电话：15309270789</w:t>
      </w:r>
    </w:p>
    <w:p>
      <w:pPr>
        <w:pStyle w:val="null3"/>
      </w:pPr>
      <w:r>
        <w:rPr>
          <w:rFonts w:ascii="仿宋_GB2312" w:hAnsi="仿宋_GB2312" w:cs="仿宋_GB2312" w:eastAsia="仿宋_GB2312"/>
        </w:rPr>
        <w:t>地址：陕西省西安市国家民用航天产业基地神舟五路与东长安街交汇处东南角航天城中心广场1号楼708</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雁塔区医疗保障经办服务中心智能语音客服系统租赁；主要包括建设智能客服系统，嵌入中心热线服务渠道，接入大模型，配备坐席人员，并配备相应的硬件设备。系统依托健全的业务问答大模型，精准定位业务场景，提供业务呼入与呼出服务，搭建语音导航机器人、智能语音机器人、大模型机器人。支持呼入路由优先级，支持转接到语音导航、指定分机或固定号码，支持全程录音并录音文件备份。同时，提供机器人管理、知识库管理、人工客服管理、大模型管理、数据管理等功能，实现咨询热线智能化管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173,000.00</w:t>
      </w:r>
    </w:p>
    <w:p>
      <w:pPr>
        <w:pStyle w:val="null3"/>
      </w:pPr>
      <w:r>
        <w:rPr>
          <w:rFonts w:ascii="仿宋_GB2312" w:hAnsi="仿宋_GB2312" w:cs="仿宋_GB2312" w:eastAsia="仿宋_GB2312"/>
        </w:rPr>
        <w:t>采购包最高限价（元）: 173,000.00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智能语音客服系统租赁服务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173,000.00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标的名称：智能语音客服系统租赁服务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outlineLvl w:val="0"/>
            </w:pPr>
            <w:r>
              <w:rPr>
                <w:rFonts w:ascii="仿宋_GB2312" w:hAnsi="仿宋_GB2312" w:cs="仿宋_GB2312" w:eastAsia="仿宋_GB2312"/>
                <w:sz w:val="21"/>
                <w:b/>
              </w:rPr>
              <w:t>一、项目概况</w:t>
            </w:r>
          </w:p>
          <w:p>
            <w:pPr>
              <w:pStyle w:val="null3"/>
              <w:spacing w:before="105" w:after="105"/>
              <w:jc w:val="left"/>
            </w:pPr>
            <w:r>
              <w:rPr>
                <w:rFonts w:ascii="仿宋_GB2312" w:hAnsi="仿宋_GB2312" w:cs="仿宋_GB2312" w:eastAsia="仿宋_GB2312"/>
                <w:sz w:val="21"/>
              </w:rPr>
              <w:t xml:space="preserve">   办服务中心智能语音客服系统租赁；主要包括建设智能客服系统，嵌入中心热线服务渠道，接入大模型，配备坐席人员，并配备相应的硬件设备。系统依托健全的业务问答大模型，精准定位业务场景，提供业务呼入与呼出服务，搭建语音导航机器人、智能语音机器人、大模型机器人。支持呼入路由优先级，支持转接到语音导航、指定分机或固定号码，支持全程录音并录音文件备份。同时，提供机器人管理、知识库管理、人工客服管理、大模型管理、数据管理等功能，实现咨询热线智能化管理。</w:t>
            </w:r>
          </w:p>
          <w:p>
            <w:pPr>
              <w:pStyle w:val="null3"/>
              <w:spacing w:before="105" w:after="105"/>
              <w:jc w:val="left"/>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二、采购内容与要求</w:t>
            </w:r>
          </w:p>
          <w:p>
            <w:pPr>
              <w:pStyle w:val="null3"/>
              <w:ind w:firstLine="480"/>
              <w:jc w:val="both"/>
            </w:pPr>
            <w:r>
              <w:rPr>
                <w:rFonts w:ascii="仿宋_GB2312" w:hAnsi="仿宋_GB2312" w:cs="仿宋_GB2312" w:eastAsia="仿宋_GB2312"/>
                <w:sz w:val="21"/>
              </w:rPr>
              <w:t>1、系统建设与渠道嵌入</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1）搭建医保专用智能语音客服平台，嵌入中心现有服务渠道。</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2）接入医保业务大模型，支撑精准问答与场景理解。</w:t>
            </w:r>
          </w:p>
          <w:p>
            <w:pPr>
              <w:pStyle w:val="null3"/>
              <w:ind w:firstLine="480"/>
              <w:jc w:val="both"/>
            </w:pPr>
            <w:r>
              <w:rPr>
                <w:rFonts w:ascii="仿宋_GB2312" w:hAnsi="仿宋_GB2312" w:cs="仿宋_GB2312" w:eastAsia="仿宋_GB2312"/>
                <w:sz w:val="21"/>
              </w:rPr>
              <w:t>2、机器人能力</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1）语音导航机器人：7×24自动接待、语音菜单、按键/语音导航、优先级路由。</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2）智能语音机器人（ASR/TTS）：呼入自动应答、多轮对话、意图识别、外呼通知/回访/催办。</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3）大模型机器人：医保业务深度问答、上下文理解、复杂意图推理、话术生成、智能推荐。</w:t>
            </w:r>
          </w:p>
          <w:p>
            <w:pPr>
              <w:pStyle w:val="null3"/>
              <w:ind w:firstLine="480"/>
              <w:jc w:val="both"/>
            </w:pPr>
            <w:r>
              <w:rPr>
                <w:rFonts w:ascii="仿宋_GB2312" w:hAnsi="仿宋_GB2312" w:cs="仿宋_GB2312" w:eastAsia="仿宋_GB2312"/>
                <w:sz w:val="21"/>
              </w:rPr>
              <w:t>3、核心通话功能</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1）呼入路由：支持优先级，可转语音导航、指定分机、固定号码、人工坐席。</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2）全程录音+自动备份：录音保存≥1年，支持检索、导出、审计。</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3）并发≥10路，响应≤2秒，可用性≥99.9%。</w:t>
            </w:r>
          </w:p>
          <w:p>
            <w:pPr>
              <w:pStyle w:val="null3"/>
              <w:ind w:firstLine="480"/>
              <w:jc w:val="both"/>
            </w:pPr>
            <w:r>
              <w:rPr>
                <w:rFonts w:ascii="仿宋_GB2312" w:hAnsi="仿宋_GB2312" w:cs="仿宋_GB2312" w:eastAsia="仿宋_GB2312"/>
                <w:sz w:val="21"/>
              </w:rPr>
              <w:t>4、坐席与硬件配备</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1）配备专职人工坐席人员（不少于2名）。</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2）配套硬件：IP电话、办公电脑、耳麦、工控机/终端、录音服务器（租赁期内使用权）。</w:t>
            </w:r>
          </w:p>
          <w:p>
            <w:pPr>
              <w:pStyle w:val="null3"/>
              <w:ind w:firstLine="480"/>
              <w:jc w:val="both"/>
            </w:pPr>
            <w:r>
              <w:rPr>
                <w:rFonts w:ascii="仿宋_GB2312" w:hAnsi="仿宋_GB2312" w:cs="仿宋_GB2312" w:eastAsia="仿宋_GB2312"/>
                <w:sz w:val="21"/>
              </w:rPr>
              <w:t>5、管理平台功能</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1）机器人管理：话术配置、意图维护、对话日志、效果优化。</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2）知识库管理：医保知识分岗位和权限维护、支持批量导入/编辑、关键词检索、自动学习、敏感词过滤。</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3）人工客服管理：坐席状态、弹屏、工单、转接、质检、绩效。</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4）大模型管理：模型切换、参数调优、Prompt配置、问答样本管理、安全过滤。</w:t>
            </w:r>
          </w:p>
          <w:p>
            <w:pPr>
              <w:pStyle w:val="null3"/>
              <w:ind w:firstLine="480"/>
              <w:jc w:val="both"/>
            </w:pPr>
            <w:r>
              <w:rPr>
                <w:rFonts w:ascii="仿宋_GB2312" w:hAnsi="仿宋_GB2312" w:cs="仿宋_GB2312" w:eastAsia="仿宋_GB2312"/>
                <w:sz w:val="21"/>
              </w:rPr>
              <w:t>（</w:t>
            </w:r>
            <w:r>
              <w:rPr>
                <w:rFonts w:ascii="仿宋_GB2312" w:hAnsi="仿宋_GB2312" w:cs="仿宋_GB2312" w:eastAsia="仿宋_GB2312"/>
                <w:sz w:val="21"/>
              </w:rPr>
              <w:t>5）数据管理：可视化大屏、通话统计、接通率、满意度、忙闲时、报表导出。</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三、技术性能指标</w:t>
            </w:r>
          </w:p>
          <w:p>
            <w:pPr>
              <w:pStyle w:val="null3"/>
              <w:ind w:firstLine="480"/>
              <w:jc w:val="both"/>
            </w:pPr>
            <w:r>
              <w:rPr>
                <w:rFonts w:ascii="仿宋_GB2312" w:hAnsi="仿宋_GB2312" w:cs="仿宋_GB2312" w:eastAsia="仿宋_GB2312"/>
                <w:sz w:val="21"/>
              </w:rPr>
              <w:t>1、系统可用性：≥99.9%，7×24小时运行。</w:t>
            </w:r>
          </w:p>
          <w:p>
            <w:pPr>
              <w:pStyle w:val="null3"/>
              <w:ind w:firstLine="480"/>
              <w:jc w:val="both"/>
            </w:pPr>
            <w:r>
              <w:rPr>
                <w:rFonts w:ascii="仿宋_GB2312" w:hAnsi="仿宋_GB2312" w:cs="仿宋_GB2312" w:eastAsia="仿宋_GB2312"/>
                <w:sz w:val="21"/>
              </w:rPr>
              <w:t>2、并发能力：支持≥10路并发通话，峰值可弹性扩展。</w:t>
            </w:r>
          </w:p>
          <w:p>
            <w:pPr>
              <w:pStyle w:val="null3"/>
              <w:ind w:firstLine="480"/>
              <w:jc w:val="both"/>
            </w:pPr>
            <w:r>
              <w:rPr>
                <w:rFonts w:ascii="仿宋_GB2312" w:hAnsi="仿宋_GB2312" w:cs="仿宋_GB2312" w:eastAsia="仿宋_GB2312"/>
                <w:sz w:val="21"/>
              </w:rPr>
              <w:t>3、响应时间：语音应答≤2秒，知识库查询≤1秒。</w:t>
            </w:r>
          </w:p>
          <w:p>
            <w:pPr>
              <w:pStyle w:val="null3"/>
              <w:ind w:firstLine="480"/>
              <w:jc w:val="both"/>
            </w:pPr>
            <w:r>
              <w:rPr>
                <w:rFonts w:ascii="仿宋_GB2312" w:hAnsi="仿宋_GB2312" w:cs="仿宋_GB2312" w:eastAsia="仿宋_GB2312"/>
                <w:sz w:val="21"/>
              </w:rPr>
              <w:t>4、数据存储：通话录音/记录保存≥1年，支持导出备份。</w:t>
            </w:r>
          </w:p>
          <w:p>
            <w:pPr>
              <w:pStyle w:val="null3"/>
              <w:ind w:firstLine="480"/>
              <w:jc w:val="both"/>
            </w:pPr>
            <w:r>
              <w:rPr>
                <w:rFonts w:ascii="仿宋_GB2312" w:hAnsi="仿宋_GB2312" w:cs="仿宋_GB2312" w:eastAsia="仿宋_GB2312"/>
                <w:sz w:val="21"/>
              </w:rPr>
              <w:t>5、安全合规：数据加密、脱敏、防攻击、日志留存≥1年。</w:t>
            </w:r>
          </w:p>
          <w:p>
            <w:pPr>
              <w:pStyle w:val="null3"/>
              <w:jc w:val="left"/>
              <w:outlineLvl w:val="0"/>
            </w:pP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四、商务要求</w:t>
            </w:r>
          </w:p>
          <w:p>
            <w:pPr>
              <w:pStyle w:val="null3"/>
              <w:ind w:firstLine="480"/>
              <w:jc w:val="both"/>
            </w:pPr>
            <w:r>
              <w:rPr>
                <w:rFonts w:ascii="仿宋_GB2312" w:hAnsi="仿宋_GB2312" w:cs="仿宋_GB2312" w:eastAsia="仿宋_GB2312"/>
                <w:sz w:val="21"/>
              </w:rPr>
              <w:t>1、交付周期：合同签订后10日历天内完成部署、测试、上线。</w:t>
            </w:r>
          </w:p>
          <w:p>
            <w:pPr>
              <w:pStyle w:val="null3"/>
              <w:ind w:firstLine="480"/>
              <w:jc w:val="both"/>
            </w:pPr>
            <w:r>
              <w:rPr>
                <w:rFonts w:ascii="仿宋_GB2312" w:hAnsi="仿宋_GB2312" w:cs="仿宋_GB2312" w:eastAsia="仿宋_GB2312"/>
                <w:sz w:val="21"/>
              </w:rPr>
              <w:t>2、付款：双方签订合同，系统调试完毕上线后，支付合同总金额的80%；完成所有服务内容且经采购人验收合格后，支付合同总金额的20%。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满足磋商文件及采购人要求。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单位应负责在项目验收前将项目过程中产生的全部资料整理归档，并提交至采购方。2、对整个项目的验收包括是否实现了采购人在响应文件中所要求的服务内容，是否与成交单位提出的解决方案完全一致。3、本项目的最终验收由采购人、成交单位共同进行。4、验收依据：（1）合同文本及合同补充文件（条款）（2）采购文件（3）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进度款，双方签订合同，系统调试完毕上线后，达到付款条件起30个工作日内，支付合同总金额的80.0%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进度款，完成所有服务内容且经采购人验收合格后，达到付款条件起30个工作日内，支付合同总金额的20.0%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2、未按照合同要求提供服务或服务质量不能满足服务要求和标准，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根据采购文件要求及合同约定执行；事业单位参与投标时，可不提供社会保障资金和税收缴纳证明；依法免税或不需要缴纳社会保障资金的供应商，应提供相应证明文件，证明其依法免税或不需要缴纳社会保障资金；自然人（仅限中国公民）参与投标时，只须提供身份证复印件。2.为顺利推进政府采购电子化交易平台应用工作，供应商需要在线提交所有通过电子化交易平台实施的政府采购项目的响应文件，确定成交后，根据采购人要求，成交供应商向代理机构提交纸质版磋商响应文件用于项目存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3、提供响应文件递交截止时间前六个月内至少一个月的纳税证明或完税证明，依法免税的单位应提供相关证明材料；时间以税款所属时期为准。 4、提供响应文件递交截止时间前近六个月内至少一个月的社会保障资金缴存单据或社保机构开具的社会保险参保缴费情况证明，依法不需要缴纳社会保障资金的单位应提供相关证明材料。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扫描件或复印件，应满足以下要求：①资信证明须为递交响应文件截止时间前三个月内由供应商开户银行出具。②无论开具银行是否标明“复印无效”，供应商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供应商须具备合格有效的基础电信业务经营许可证或增值电信业务经营许可证。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信用查询截图</w:t>
            </w:r>
          </w:p>
        </w:tc>
        <w:tc>
          <w:tcPr>
            <w:tcW w:type="dxa" w:w="3322"/>
          </w:tcPr>
          <w:p>
            <w:pPr>
              <w:pStyle w:val="null3"/>
            </w:pPr>
            <w:r>
              <w:rPr>
                <w:rFonts w:ascii="仿宋_GB2312" w:hAnsi="仿宋_GB2312" w:cs="仿宋_GB2312" w:eastAsia="仿宋_GB2312"/>
              </w:rPr>
              <w:t>供应商在递交响应文件截止时间前被“中国执行信息公开网（http://zxgk.court.gov.cn/shixin/）”列入失信被执行人；被“信用中国”网站（www.creditchina.gov.cn）列入重大税收违法失信主体、政府采购严重违法失信行为记录名单；被“中国政府采购网”（www.ccgp.gov.cn）列入政府采购严重违法失信行为信息记录的，不得参加投标。</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本项目不接受联合体投标，提供非联合体投标声明。</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应符合“竞争性磋商响应文件格式”要求（不得因文件排序限制和影响供应商响应）。</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磋商响应文件的签署盖章 应符合竞争性磋商响应文件要求。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磋商报价符合唯一性要求、响应报价表填写符合要求、报价货币符合磋商文件要求、报价数量与要求符合并未出现漏项、未超出采购预算和磋商文件规定的各分项最高限价；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 磋商响应文件中项目名称、项目编号与本项目一致；磋商响应文件至少包括：（1）响应函、（2）响应报价表、（3）供应商资格证明、（4）采购需求偏离表、（5）供应商承诺书。</w:t>
            </w:r>
          </w:p>
        </w:tc>
        <w:tc>
          <w:tcPr>
            <w:tcW w:type="dxa" w:w="1661"/>
          </w:tcPr>
          <w:p>
            <w:pPr>
              <w:pStyle w:val="null3"/>
            </w:pPr>
            <w:r>
              <w:rPr>
                <w:rFonts w:ascii="仿宋_GB2312" w:hAnsi="仿宋_GB2312" w:cs="仿宋_GB2312" w:eastAsia="仿宋_GB2312"/>
              </w:rPr>
              <w:t>采购需求偏离表.pdf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对磋商文件条款响应</w:t>
            </w:r>
          </w:p>
        </w:tc>
        <w:tc>
          <w:tcPr>
            <w:tcW w:type="dxa" w:w="3322"/>
          </w:tcPr>
          <w:p>
            <w:pPr>
              <w:pStyle w:val="null3"/>
            </w:pPr>
            <w:r>
              <w:rPr>
                <w:rFonts w:ascii="仿宋_GB2312" w:hAnsi="仿宋_GB2312" w:cs="仿宋_GB2312" w:eastAsia="仿宋_GB2312"/>
              </w:rPr>
              <w:t>要求实质性条款全部响应，不能有采购人不能接受的附加条件，未有负偏离且响应的内容未含有采购人不能接受的附加条件。</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服务需求理解程度</w:t>
            </w:r>
          </w:p>
        </w:tc>
        <w:tc>
          <w:tcPr>
            <w:tcW w:type="dxa" w:w="2492"/>
          </w:tcPr>
          <w:p>
            <w:pPr>
              <w:pStyle w:val="null3"/>
            </w:pPr>
            <w:r>
              <w:rPr>
                <w:rFonts w:ascii="仿宋_GB2312" w:hAnsi="仿宋_GB2312" w:cs="仿宋_GB2312" w:eastAsia="仿宋_GB2312"/>
              </w:rPr>
              <w:t>供应商针对本项目服务内容结合项目具体情况提供项目理解及需求分析：（1）对本项目服务内容了解全面完整、准确充分，对本项目的系统服务需求理解表述准确清楚的，得5分；（2）对本项目服务内容了解较为全面、充分，对本项目的系统服务需求理解表述较为准确清楚的，得3分；（3）对本项目服务内容了解不全面，对本项目系统服务需求理解表述不准确的，得1分；（4）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系统功能设计方案</w:t>
            </w:r>
          </w:p>
        </w:tc>
        <w:tc>
          <w:tcPr>
            <w:tcW w:type="dxa" w:w="2492"/>
          </w:tcPr>
          <w:p>
            <w:pPr>
              <w:pStyle w:val="null3"/>
            </w:pPr>
            <w:r>
              <w:rPr>
                <w:rFonts w:ascii="仿宋_GB2312" w:hAnsi="仿宋_GB2312" w:cs="仿宋_GB2312" w:eastAsia="仿宋_GB2312"/>
              </w:rPr>
              <w:t>供应商针对本项目服务内容提供系统功能设计方案：（1）系统功能设计全面翔实，技术实现可行性高，系统应用后有助于采购人日常业务开展与工作效率提升的，得8分；（2）系统功能设计较为全面，技术实现可行性较高的，能保障采购人日常业务开展的，得5分；（3）系统功能设计与技术实现存在欠缺，可行性较差的，得3分；（4）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软件系统运行服务方案</w:t>
            </w:r>
          </w:p>
        </w:tc>
        <w:tc>
          <w:tcPr>
            <w:tcW w:type="dxa" w:w="2492"/>
          </w:tcPr>
          <w:p>
            <w:pPr>
              <w:pStyle w:val="null3"/>
            </w:pPr>
            <w:r>
              <w:rPr>
                <w:rFonts w:ascii="仿宋_GB2312" w:hAnsi="仿宋_GB2312" w:cs="仿宋_GB2312" w:eastAsia="仿宋_GB2312"/>
              </w:rPr>
              <w:t>供应商针对本项目服务内容提供软件系统运行服务方案： （1）方案逻辑层次清晰、针对性强、与采购内容的吻合程度高的，得8分； （2）方案逻辑层次较清晰、针对性较强、与采购内容的吻合程度一般，内容较简单的，得5分； （3）方案逻辑层次不清晰、不全面的 得3分； （4）未提供的不得分。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服务进度保障方案</w:t>
            </w:r>
          </w:p>
        </w:tc>
        <w:tc>
          <w:tcPr>
            <w:tcW w:type="dxa" w:w="2492"/>
          </w:tcPr>
          <w:p>
            <w:pPr>
              <w:pStyle w:val="null3"/>
            </w:pPr>
            <w:r>
              <w:rPr>
                <w:rFonts w:ascii="仿宋_GB2312" w:hAnsi="仿宋_GB2312" w:cs="仿宋_GB2312" w:eastAsia="仿宋_GB2312"/>
              </w:rPr>
              <w:t>供应商针对本项目服务内容提供服务进度保障方案： （1）有合理的阶段划分，各阶段有明确的工作目标、有可行的时间进度保障措施，保障方案科学合理且具有实际的可行性，得8分；（2）有各阶段工作安排及进度保障措施，方案内容基本完整、合理可行的，得5分；（3）方案内容不完整、阐述不清晰的，得3分；（4）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故障处理服务方案</w:t>
            </w:r>
          </w:p>
        </w:tc>
        <w:tc>
          <w:tcPr>
            <w:tcW w:type="dxa" w:w="2492"/>
          </w:tcPr>
          <w:p>
            <w:pPr>
              <w:pStyle w:val="null3"/>
            </w:pPr>
            <w:r>
              <w:rPr>
                <w:rFonts w:ascii="仿宋_GB2312" w:hAnsi="仿宋_GB2312" w:cs="仿宋_GB2312" w:eastAsia="仿宋_GB2312"/>
              </w:rPr>
              <w:t>供应商针对本项目提供合理的故障处理服务方案： （1）方案完整详细、描述清晰、内容科学合理、可实施性强的，得6分； （2）方案较完整但简单、内容合理性及可实施性一般的，得4分； （3）方案内容有缺失，影响到项目实施的，得2分； （4）未提供的不得分。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系统更新服务方案</w:t>
            </w:r>
          </w:p>
        </w:tc>
        <w:tc>
          <w:tcPr>
            <w:tcW w:type="dxa" w:w="2492"/>
          </w:tcPr>
          <w:p>
            <w:pPr>
              <w:pStyle w:val="null3"/>
            </w:pPr>
            <w:r>
              <w:rPr>
                <w:rFonts w:ascii="仿宋_GB2312" w:hAnsi="仿宋_GB2312" w:cs="仿宋_GB2312" w:eastAsia="仿宋_GB2312"/>
              </w:rPr>
              <w:t>供应商针对本项目提供完善的系统更新服务方案： （1）方案完整详细、描述清晰、内容科学合理、可实施性强的，得6分； （2）方案较完整但简单、内容合理性及可实施性一般的，得4分； （3）方案内容有缺失，影响到项目实施的，得2分； （4）未提供的不得分。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系统培训服务方案</w:t>
            </w:r>
          </w:p>
        </w:tc>
        <w:tc>
          <w:tcPr>
            <w:tcW w:type="dxa" w:w="2492"/>
          </w:tcPr>
          <w:p>
            <w:pPr>
              <w:pStyle w:val="null3"/>
            </w:pPr>
            <w:r>
              <w:rPr>
                <w:rFonts w:ascii="仿宋_GB2312" w:hAnsi="仿宋_GB2312" w:cs="仿宋_GB2312" w:eastAsia="仿宋_GB2312"/>
              </w:rPr>
              <w:t>供应商针对本项目提供详细的系统培训服务方案： （1）培训方案完整详细、描述清晰、内容科学合理、可实施性强的，得6分； （2）培训方案较完整但简单、内容合理性及可实施性一般的，得4分； （3）培训方案内容有缺失，影响到项目实施的，得2分； （4）未提供的不得分。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定期巡检服务方案</w:t>
            </w:r>
          </w:p>
        </w:tc>
        <w:tc>
          <w:tcPr>
            <w:tcW w:type="dxa" w:w="2492"/>
          </w:tcPr>
          <w:p>
            <w:pPr>
              <w:pStyle w:val="null3"/>
            </w:pPr>
            <w:r>
              <w:rPr>
                <w:rFonts w:ascii="仿宋_GB2312" w:hAnsi="仿宋_GB2312" w:cs="仿宋_GB2312" w:eastAsia="仿宋_GB2312"/>
              </w:rPr>
              <w:t>供应商针对本项目提供定期巡检服务方案，包括定期检查系统所有服务器及软件的运行情况等：（1）方案逻辑层次清晰、针对性强、与采购内容的吻合程度高的，得6分； （2）方案逻辑层次较清晰、针对性较强、与采购内容的吻合程度一般，内容较简单的，得4分； （3）方案逻辑层次不清晰、不全面的，得2分； （4）未提供的不得分。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日常技术支持服务方案</w:t>
            </w:r>
          </w:p>
        </w:tc>
        <w:tc>
          <w:tcPr>
            <w:tcW w:type="dxa" w:w="2492"/>
          </w:tcPr>
          <w:p>
            <w:pPr>
              <w:pStyle w:val="null3"/>
            </w:pPr>
            <w:r>
              <w:rPr>
                <w:rFonts w:ascii="仿宋_GB2312" w:hAnsi="仿宋_GB2312" w:cs="仿宋_GB2312" w:eastAsia="仿宋_GB2312"/>
              </w:rPr>
              <w:t>供应商针对本项目服务内容提供日常技术支持服务方案： （1）方案逻辑层次清晰、针对性强、与采购内容的吻合程度高的，得6分； （2）方案逻辑层次较清晰、针对性较强、与采购内容的吻合程度一般，内容较简单的，得4分； （3）方案逻辑层次不清晰、不全面的得2分； （4）未提供的不得分。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安全及保密保障服务方案</w:t>
            </w:r>
          </w:p>
        </w:tc>
        <w:tc>
          <w:tcPr>
            <w:tcW w:type="dxa" w:w="2492"/>
          </w:tcPr>
          <w:p>
            <w:pPr>
              <w:pStyle w:val="null3"/>
            </w:pPr>
            <w:r>
              <w:rPr>
                <w:rFonts w:ascii="仿宋_GB2312" w:hAnsi="仿宋_GB2312" w:cs="仿宋_GB2312" w:eastAsia="仿宋_GB2312"/>
              </w:rPr>
              <w:t>供应商针对本项目提供详细具体可行的安全及保密保障服务方案： （1）方案逻辑层次清晰、针对性强、与采购内容的吻合程度高的，得6分； （2）方案逻辑层次较清晰、针对性较强、与采购内容的吻合程度一般，内容较简单的，得4分； （3）方案逻辑层次不清晰、不全面的，得2分； （4）未提供的不得分。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供应商针对本项目服务要求提供详细的人员配置方案：（1）团队组织架构、人员构成及分工合理，岗位设置明确，责任制度严谨、规范，工作人员经验丰富，得8分；（2）团队组织架构、人员构成及分工较为合理，岗位设置比较明确，责任制度较为严谨、规范，工作人员经验比较丰富，得5分；（3）团队组织架构、人员构成及分工不够合理，岗位设置不够明确，责任制度不够严谨、规范，工作人员经验较少，得3分；（4）未提供或其他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供应商针对本项目采购需求进行整体分析，提供对本项目合理化建议： （1）建议逻辑层次清晰、针对性强、与采购内容的吻合程度高的，得5分；（2）建议逻辑层次较清晰、针对性较强、与采购内容的吻合程度一般，内容较简单的，得3分；（3）建议逻辑层次不清晰、不全面的，得1分； （4）未提供的不得分。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供应商所投智能语音客服系统具备国家版权局颁发的计算机软件著作权登记证书的，得2分，否则不得分。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供应商提供2023年1月1日至今(以合同签订日期为准) 类似项目业绩合同，每提供1个得2分，最高得10分。 备注：响应文件中提供业绩合同复印件加盖公章。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 磋商报价不完整的，不进入评标标准价的计算，本项得0分。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详见附件：采购需求偏离表.pdf</w:t>
      </w:r>
    </w:p>
    <w:p>
      <w:pPr>
        <w:pStyle w:val="null3"/>
        <w:ind w:firstLine="960"/>
      </w:pPr>
      <w:r>
        <w:rPr>
          <w:rFonts w:ascii="仿宋_GB2312" w:hAnsi="仿宋_GB2312" w:cs="仿宋_GB2312" w:eastAsia="仿宋_GB2312"/>
        </w:rPr>
        <w:t>详见附件：服务方案.pdf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