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版本号：ZX2026-06-48.1B120260806001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类人机器人采购项目(二次)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ZX2026-06-48.1B1</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类人机器人采购项目(二次)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ZX2026-06-48.1B1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类人机器人采购项目(二次)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工程训练中心现存类人型机器人为6台，自2017年购入，在历经多次赛事与活动后，设备各项性能指标下降，多次返厂维修保养，导致多台设备已无法正常运行，甚至连基本的操作都无法执行。为保证竞赛成绩的延续，科研进度的推进，社会服务的助力作用，现急需更新一批数量相等的类人型机器人主体及相关配件，具体采购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采购包1（类人机器人采购项目）：属于专门面向中小企业采购。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刘汝樨 张爽 王宇轩 崔文 马演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采购包1保证金金额：10,648.00元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投标人中标后凭中标通知书向采购人缴纳中标金额的5%作为履约保证金；（2）履约保证金应使用人民币，可选择使用银行转账、支票、汇票、本票或者金融机构、担保机构出具的保函等非现金形式缴纳或提交；（3）采购人验收合格后，中标人提出书面申请，采购人将履约保证金（无息）退还中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西安工程大学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按照招标文件、中标人投标文件和合同文本执行。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按照招标文件、中标人投标文件和合同文本执行。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联系人：王宇轩、刘汝樨</w:t>
      </w:r>
    </w:p>
    <w:p>
      <w:pPr>
        <w:pStyle w:val="null3"/>
      </w:pPr>
      <w:r>
        <w:rPr>
          <w:rFonts w:ascii="仿宋_GB2312" w:hAnsi="仿宋_GB2312" w:cs="仿宋_GB2312" w:eastAsia="仿宋_GB2312"/>
        </w:rPr>
        <w:t>联系电话：029-88110800转8025</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工程训练中心现存类人型机器人为6台，自2017年购入，在历经多次赛事与活动后，设备各项性能指标下降，多次返厂维修保养，导致多台设备已无法正常运行，甚至连基本的操作都无法执行。为保证竞赛成绩的延续，科研进度的推进，社会服务的助力作用，现急需更新一批数量相等的类人型机器人主体及相关配件，具体采购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类人机器人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标的名称：类人机器人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产品名称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类人机器人</w:t>
                  </w:r>
                </w:p>
              </w:tc>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核心产品</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全景相机</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工作站</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（一）类人机器人（6套）</w:t>
            </w:r>
          </w:p>
          <w:p>
            <w:pPr>
              <w:pStyle w:val="null3"/>
            </w:pPr>
            <w:r>
              <w:rPr>
                <w:rFonts w:ascii="仿宋_GB2312" w:hAnsi="仿宋_GB2312" w:cs="仿宋_GB2312" w:eastAsia="仿宋_GB2312"/>
              </w:rPr>
              <w:t>类人机器人为双足人形机器人，具备头部、躯干、双臂、双腿等完整人形结构，适用于开展人工智能、机器人技术、具身智能、运动控制、视觉感知和语音交互等教学实验实训场景。</w:t>
            </w:r>
          </w:p>
          <w:p>
            <w:pPr>
              <w:pStyle w:val="null3"/>
            </w:pPr>
            <w:r>
              <w:rPr>
                <w:rFonts w:ascii="仿宋_GB2312" w:hAnsi="仿宋_GB2312" w:cs="仿宋_GB2312" w:eastAsia="仿宋_GB2312"/>
              </w:rPr>
              <w:t>1、高宽厚(站立)≥900x300x180mm，平地行走速度≥0.8m/s；</w:t>
            </w:r>
          </w:p>
          <w:p>
            <w:pPr>
              <w:pStyle w:val="null3"/>
            </w:pPr>
            <w:r>
              <w:rPr>
                <w:rFonts w:ascii="仿宋_GB2312" w:hAnsi="仿宋_GB2312" w:cs="仿宋_GB2312" w:eastAsia="仿宋_GB2312"/>
              </w:rPr>
              <w:t>2、带电池重量≤30kg；</w:t>
            </w:r>
          </w:p>
          <w:p>
            <w:pPr>
              <w:pStyle w:val="null3"/>
            </w:pPr>
            <w:r>
              <w:rPr>
                <w:rFonts w:ascii="仿宋_GB2312" w:hAnsi="仿宋_GB2312" w:cs="仿宋_GB2312" w:eastAsia="仿宋_GB2312"/>
              </w:rPr>
              <w:t>▲3、整机总自由度(关节电机)≥26，单腿自由度≥6，腰部自由度≥2，单手臂自由度≥5，头部自由度≥2；</w:t>
            </w:r>
          </w:p>
          <w:p>
            <w:pPr>
              <w:pStyle w:val="null3"/>
            </w:pPr>
            <w:r>
              <w:rPr>
                <w:rFonts w:ascii="仿宋_GB2312" w:hAnsi="仿宋_GB2312" w:cs="仿宋_GB2312" w:eastAsia="仿宋_GB2312"/>
              </w:rPr>
              <w:t>▲4、手臂负载≥2kg；</w:t>
            </w:r>
          </w:p>
          <w:p>
            <w:pPr>
              <w:pStyle w:val="null3"/>
            </w:pPr>
            <w:r>
              <w:rPr>
                <w:rFonts w:ascii="仿宋_GB2312" w:hAnsi="仿宋_GB2312" w:cs="仿宋_GB2312" w:eastAsia="仿宋_GB2312"/>
              </w:rPr>
              <w:t>▲5、关节运动空间不小于：腰部关节:Y±150°、R±30°；膝关节:-10～+135°；髋关节:Y±155°、P-165～+145°、R-60°～+100°；</w:t>
            </w:r>
          </w:p>
          <w:p>
            <w:pPr>
              <w:pStyle w:val="null3"/>
            </w:pPr>
            <w:r>
              <w:rPr>
                <w:rFonts w:ascii="仿宋_GB2312" w:hAnsi="仿宋_GB2312" w:cs="仿宋_GB2312" w:eastAsia="仿宋_GB2312"/>
              </w:rPr>
              <w:t>6、关节编码器:双+单编码器，提供位置和速度反馈；</w:t>
            </w:r>
          </w:p>
          <w:p>
            <w:pPr>
              <w:pStyle w:val="null3"/>
            </w:pPr>
            <w:r>
              <w:rPr>
                <w:rFonts w:ascii="仿宋_GB2312" w:hAnsi="仿宋_GB2312" w:cs="仿宋_GB2312" w:eastAsia="仿宋_GB2312"/>
              </w:rPr>
              <w:t>▲7、散热系统:局部风冷散热；</w:t>
            </w:r>
          </w:p>
          <w:p>
            <w:pPr>
              <w:pStyle w:val="null3"/>
            </w:pPr>
            <w:r>
              <w:rPr>
                <w:rFonts w:ascii="仿宋_GB2312" w:hAnsi="仿宋_GB2312" w:cs="仿宋_GB2312" w:eastAsia="仿宋_GB2312"/>
              </w:rPr>
              <w:t>8、供电方式:锂电池，续航时间≥1h；</w:t>
            </w:r>
          </w:p>
          <w:p>
            <w:pPr>
              <w:pStyle w:val="null3"/>
            </w:pPr>
            <w:r>
              <w:rPr>
                <w:rFonts w:ascii="仿宋_GB2312" w:hAnsi="仿宋_GB2312" w:cs="仿宋_GB2312" w:eastAsia="仿宋_GB2312"/>
              </w:rPr>
              <w:t>9、基础算力≥8核8线程CPU，睿频≥2GHz，内存≥16G，存储≥2T；</w:t>
            </w:r>
          </w:p>
          <w:p>
            <w:pPr>
              <w:pStyle w:val="null3"/>
            </w:pPr>
            <w:r>
              <w:rPr>
                <w:rFonts w:ascii="仿宋_GB2312" w:hAnsi="仿宋_GB2312" w:cs="仿宋_GB2312" w:eastAsia="仿宋_GB2312"/>
              </w:rPr>
              <w:t>10、扬声器≥1个，麦克风阵列≥4；</w:t>
            </w:r>
          </w:p>
          <w:p>
            <w:pPr>
              <w:pStyle w:val="null3"/>
            </w:pPr>
            <w:r>
              <w:rPr>
                <w:rFonts w:ascii="仿宋_GB2312" w:hAnsi="仿宋_GB2312" w:cs="仿宋_GB2312" w:eastAsia="仿宋_GB2312"/>
              </w:rPr>
              <w:t>11、通信方式支持但不限于WiFi6、蓝牙5.2等；</w:t>
            </w:r>
          </w:p>
          <w:p>
            <w:pPr>
              <w:pStyle w:val="null3"/>
            </w:pPr>
            <w:r>
              <w:rPr>
                <w:rFonts w:ascii="仿宋_GB2312" w:hAnsi="仿宋_GB2312" w:cs="仿宋_GB2312" w:eastAsia="仿宋_GB2312"/>
              </w:rPr>
              <w:t>12、仿人双目相机，FOV水平≥145°，竖直≥120°；单个相机分辨率≥1280*1024，深度分辨率≥540*440，RGB帧率≥30Hz，深度图帧率≥10Hz；</w:t>
            </w:r>
          </w:p>
          <w:p>
            <w:pPr>
              <w:pStyle w:val="null3"/>
            </w:pPr>
            <w:r>
              <w:rPr>
                <w:rFonts w:ascii="仿宋_GB2312" w:hAnsi="仿宋_GB2312" w:cs="仿宋_GB2312" w:eastAsia="仿宋_GB2312"/>
              </w:rPr>
              <w:t>13、支持OTA升级；</w:t>
            </w:r>
          </w:p>
          <w:p>
            <w:pPr>
              <w:pStyle w:val="null3"/>
            </w:pPr>
            <w:r>
              <w:rPr>
                <w:rFonts w:ascii="仿宋_GB2312" w:hAnsi="仿宋_GB2312" w:cs="仿宋_GB2312" w:eastAsia="仿宋_GB2312"/>
              </w:rPr>
              <w:t>14、内置算力≥100Tops的拓展坞，可二次开发，含AI算法技术支持；</w:t>
            </w:r>
          </w:p>
          <w:p>
            <w:pPr>
              <w:pStyle w:val="null3"/>
            </w:pPr>
            <w:r>
              <w:rPr>
                <w:rFonts w:ascii="仿宋_GB2312" w:hAnsi="仿宋_GB2312" w:cs="仿宋_GB2312" w:eastAsia="仿宋_GB2312"/>
              </w:rPr>
              <w:t>15、支持高层和低层的二次开发，提供机器人模型和仿真接口；</w:t>
            </w:r>
          </w:p>
          <w:p>
            <w:pPr>
              <w:pStyle w:val="null3"/>
            </w:pPr>
            <w:r>
              <w:rPr>
                <w:rFonts w:ascii="仿宋_GB2312" w:hAnsi="仿宋_GB2312" w:cs="仿宋_GB2312" w:eastAsia="仿宋_GB2312"/>
              </w:rPr>
              <w:t>16、机器人配件包含不少于：机器人充电器1台，快拆电池1块、手持式遥控器1台、机器人运输箱1个；</w:t>
            </w:r>
          </w:p>
          <w:p>
            <w:pPr>
              <w:pStyle w:val="null3"/>
            </w:pPr>
            <w:r>
              <w:rPr>
                <w:rFonts w:ascii="仿宋_GB2312" w:hAnsi="仿宋_GB2312" w:cs="仿宋_GB2312" w:eastAsia="仿宋_GB2312"/>
              </w:rPr>
              <w:t>17、配套机械灵巧手（2只）：</w:t>
            </w:r>
          </w:p>
          <w:p>
            <w:pPr>
              <w:pStyle w:val="null3"/>
            </w:pPr>
            <w:r>
              <w:rPr>
                <w:rFonts w:ascii="仿宋_GB2312" w:hAnsi="仿宋_GB2312" w:cs="仿宋_GB2312" w:eastAsia="仿宋_GB2312"/>
              </w:rPr>
              <w:t>17.1 重量≤800g；</w:t>
            </w:r>
          </w:p>
          <w:p>
            <w:pPr>
              <w:pStyle w:val="null3"/>
            </w:pPr>
            <w:r>
              <w:rPr>
                <w:rFonts w:ascii="仿宋_GB2312" w:hAnsi="仿宋_GB2312" w:cs="仿宋_GB2312" w:eastAsia="仿宋_GB2312"/>
              </w:rPr>
              <w:t>17.2 尺寸≥170mmx80mmx70mm；</w:t>
            </w:r>
          </w:p>
          <w:p>
            <w:pPr>
              <w:pStyle w:val="null3"/>
            </w:pPr>
            <w:r>
              <w:rPr>
                <w:rFonts w:ascii="仿宋_GB2312" w:hAnsi="仿宋_GB2312" w:cs="仿宋_GB2312" w:eastAsia="仿宋_GB2312"/>
              </w:rPr>
              <w:t>▲17.3灵巧手自由度≥7(大拇指≥3，食指≥2，中指≥2)；</w:t>
            </w:r>
          </w:p>
          <w:p>
            <w:pPr>
              <w:pStyle w:val="null3"/>
            </w:pPr>
            <w:r>
              <w:rPr>
                <w:rFonts w:ascii="仿宋_GB2312" w:hAnsi="仿宋_GB2312" w:cs="仿宋_GB2312" w:eastAsia="仿宋_GB2312"/>
              </w:rPr>
              <w:t>▲17.4压力阵列传感器数量≥9个，压力传感器总数≥30个；</w:t>
            </w:r>
          </w:p>
          <w:p>
            <w:pPr>
              <w:pStyle w:val="null3"/>
            </w:pPr>
            <w:r>
              <w:rPr>
                <w:rFonts w:ascii="仿宋_GB2312" w:hAnsi="仿宋_GB2312" w:cs="仿宋_GB2312" w:eastAsia="仿宋_GB2312"/>
              </w:rPr>
              <w:t>17.5关节角度不小于：拇指关节0：-60°～60°，拇指关节1:-35°～60°，拇指关节2:0～100°；食指关节0:0°～90°，食指关节1:0°～100°；中指关节0:0°～90°中指关节1:0°～100°。</w:t>
            </w:r>
          </w:p>
          <w:p>
            <w:pPr>
              <w:pStyle w:val="null3"/>
            </w:pPr>
            <w:r>
              <w:rPr>
                <w:rFonts w:ascii="仿宋_GB2312" w:hAnsi="仿宋_GB2312" w:cs="仿宋_GB2312" w:eastAsia="仿宋_GB2312"/>
              </w:rPr>
              <w:t>（二）全景相机（1套）</w:t>
            </w:r>
          </w:p>
          <w:p>
            <w:pPr>
              <w:pStyle w:val="null3"/>
            </w:pPr>
            <w:r>
              <w:rPr>
                <w:rFonts w:ascii="仿宋_GB2312" w:hAnsi="仿宋_GB2312" w:cs="仿宋_GB2312" w:eastAsia="仿宋_GB2312"/>
              </w:rPr>
              <w:t>1、外形尺寸≥150*55*55mm；</w:t>
            </w:r>
          </w:p>
          <w:p>
            <w:pPr>
              <w:pStyle w:val="null3"/>
            </w:pPr>
            <w:r>
              <w:rPr>
                <w:rFonts w:ascii="仿宋_GB2312" w:hAnsi="仿宋_GB2312" w:cs="仿宋_GB2312" w:eastAsia="仿宋_GB2312"/>
              </w:rPr>
              <w:t>2、镜头≥4枚≥200度F2.2鱼眼镜头；</w:t>
            </w:r>
          </w:p>
          <w:p>
            <w:pPr>
              <w:pStyle w:val="null3"/>
            </w:pPr>
            <w:r>
              <w:rPr>
                <w:rFonts w:ascii="仿宋_GB2312" w:hAnsi="仿宋_GB2312" w:cs="仿宋_GB2312" w:eastAsia="仿宋_GB2312"/>
              </w:rPr>
              <w:t>3、单镜头分辨率≥3840x2300；</w:t>
            </w:r>
          </w:p>
          <w:p>
            <w:pPr>
              <w:pStyle w:val="null3"/>
            </w:pPr>
            <w:r>
              <w:rPr>
                <w:rFonts w:ascii="仿宋_GB2312" w:hAnsi="仿宋_GB2312" w:cs="仿宋_GB2312" w:eastAsia="仿宋_GB2312"/>
              </w:rPr>
              <w:t>4、ISO范围：100～6400；</w:t>
            </w:r>
          </w:p>
          <w:p>
            <w:pPr>
              <w:pStyle w:val="null3"/>
            </w:pPr>
            <w:r>
              <w:rPr>
                <w:rFonts w:ascii="仿宋_GB2312" w:hAnsi="仿宋_GB2312" w:cs="仿宋_GB2312" w:eastAsia="仿宋_GB2312"/>
              </w:rPr>
              <w:t>▲5、机内拼接全景视频分辨率≥5760x2880@30fps、3840x1920@60fps；</w:t>
            </w:r>
          </w:p>
          <w:p>
            <w:pPr>
              <w:pStyle w:val="null3"/>
            </w:pPr>
            <w:r>
              <w:rPr>
                <w:rFonts w:ascii="仿宋_GB2312" w:hAnsi="仿宋_GB2312" w:cs="仿宋_GB2312" w:eastAsia="仿宋_GB2312"/>
              </w:rPr>
              <w:t>▲6、机内拼接视频码率：1～100Mbps；</w:t>
            </w:r>
          </w:p>
          <w:p>
            <w:pPr>
              <w:pStyle w:val="null3"/>
            </w:pPr>
            <w:r>
              <w:rPr>
                <w:rFonts w:ascii="仿宋_GB2312" w:hAnsi="仿宋_GB2312" w:cs="仿宋_GB2312" w:eastAsia="仿宋_GB2312"/>
              </w:rPr>
              <w:t>7、机内拼接全景照片规格≥8192x4096；</w:t>
            </w:r>
          </w:p>
          <w:p>
            <w:pPr>
              <w:pStyle w:val="null3"/>
            </w:pPr>
            <w:r>
              <w:rPr>
                <w:rFonts w:ascii="仿宋_GB2312" w:hAnsi="仿宋_GB2312" w:cs="仿宋_GB2312" w:eastAsia="仿宋_GB2312"/>
              </w:rPr>
              <w:t>8、非机内拼接单路视频≥3840x2300@30fps；</w:t>
            </w:r>
          </w:p>
          <w:p>
            <w:pPr>
              <w:pStyle w:val="null3"/>
            </w:pPr>
            <w:r>
              <w:rPr>
                <w:rFonts w:ascii="仿宋_GB2312" w:hAnsi="仿宋_GB2312" w:cs="仿宋_GB2312" w:eastAsia="仿宋_GB2312"/>
              </w:rPr>
              <w:t>9、音频：≥2个内置硅麦、Type-C接口，支持4声道全景音；</w:t>
            </w:r>
          </w:p>
          <w:p>
            <w:pPr>
              <w:pStyle w:val="null3"/>
            </w:pPr>
            <w:r>
              <w:rPr>
                <w:rFonts w:ascii="仿宋_GB2312" w:hAnsi="仿宋_GB2312" w:cs="仿宋_GB2312" w:eastAsia="仿宋_GB2312"/>
              </w:rPr>
              <w:t>10、内置存储≥512G；</w:t>
            </w:r>
          </w:p>
          <w:p>
            <w:pPr>
              <w:pStyle w:val="null3"/>
            </w:pPr>
            <w:r>
              <w:rPr>
                <w:rFonts w:ascii="仿宋_GB2312" w:hAnsi="仿宋_GB2312" w:cs="仿宋_GB2312" w:eastAsia="仿宋_GB2312"/>
              </w:rPr>
              <w:t>11、网络：千兆以太网接口、WiFi 802.11ac；</w:t>
            </w:r>
          </w:p>
          <w:p>
            <w:pPr>
              <w:pStyle w:val="null3"/>
            </w:pPr>
            <w:r>
              <w:rPr>
                <w:rFonts w:ascii="仿宋_GB2312" w:hAnsi="仿宋_GB2312" w:cs="仿宋_GB2312" w:eastAsia="仿宋_GB2312"/>
              </w:rPr>
              <w:t>12、电池容量≥6800mAh；</w:t>
            </w:r>
          </w:p>
          <w:p>
            <w:pPr>
              <w:pStyle w:val="null3"/>
            </w:pPr>
            <w:r>
              <w:rPr>
                <w:rFonts w:ascii="仿宋_GB2312" w:hAnsi="仿宋_GB2312" w:cs="仿宋_GB2312" w:eastAsia="仿宋_GB2312"/>
              </w:rPr>
              <w:t>13、供电12V ；</w:t>
            </w:r>
          </w:p>
          <w:p>
            <w:pPr>
              <w:pStyle w:val="null3"/>
            </w:pPr>
            <w:r>
              <w:rPr>
                <w:rFonts w:ascii="仿宋_GB2312" w:hAnsi="仿宋_GB2312" w:cs="仿宋_GB2312" w:eastAsia="仿宋_GB2312"/>
              </w:rPr>
              <w:t>14、支持落地三脚架、行架等安装方式。</w:t>
            </w:r>
          </w:p>
          <w:p>
            <w:pPr>
              <w:pStyle w:val="null3"/>
            </w:pPr>
            <w:r>
              <w:rPr>
                <w:rFonts w:ascii="仿宋_GB2312" w:hAnsi="仿宋_GB2312" w:cs="仿宋_GB2312" w:eastAsia="仿宋_GB2312"/>
              </w:rPr>
              <w:t>（三）工作站（1套）</w:t>
            </w:r>
          </w:p>
          <w:p>
            <w:pPr>
              <w:pStyle w:val="null3"/>
            </w:pPr>
            <w:r>
              <w:rPr>
                <w:rFonts w:ascii="仿宋_GB2312" w:hAnsi="仿宋_GB2312" w:cs="仿宋_GB2312" w:eastAsia="仿宋_GB2312"/>
              </w:rPr>
              <w:t>1、单路塔式工作站，1台；</w:t>
            </w:r>
          </w:p>
          <w:p>
            <w:pPr>
              <w:pStyle w:val="null3"/>
            </w:pPr>
            <w:r>
              <w:rPr>
                <w:rFonts w:ascii="仿宋_GB2312" w:hAnsi="仿宋_GB2312" w:cs="仿宋_GB2312" w:eastAsia="仿宋_GB2312"/>
              </w:rPr>
              <w:t>▲2、主板：</w:t>
            </w:r>
          </w:p>
          <w:p>
            <w:pPr>
              <w:pStyle w:val="null3"/>
            </w:pPr>
            <w:r>
              <w:rPr>
                <w:rFonts w:ascii="仿宋_GB2312" w:hAnsi="仿宋_GB2312" w:cs="仿宋_GB2312" w:eastAsia="仿宋_GB2312"/>
              </w:rPr>
              <w:t>2.1内存：≥4根DDR5 DIMM内存插槽,支持双通道；</w:t>
            </w:r>
          </w:p>
          <w:p>
            <w:pPr>
              <w:pStyle w:val="null3"/>
            </w:pPr>
            <w:r>
              <w:rPr>
                <w:rFonts w:ascii="仿宋_GB2312" w:hAnsi="仿宋_GB2312" w:cs="仿宋_GB2312" w:eastAsia="仿宋_GB2312"/>
              </w:rPr>
              <w:t>2.2存储：≥4个M.2插槽，≥8个SATA 3.0 (6 Gb/s) 端口；</w:t>
            </w:r>
          </w:p>
          <w:p>
            <w:pPr>
              <w:pStyle w:val="null3"/>
            </w:pPr>
            <w:r>
              <w:rPr>
                <w:rFonts w:ascii="仿宋_GB2312" w:hAnsi="仿宋_GB2312" w:cs="仿宋_GB2312" w:eastAsia="仿宋_GB2312"/>
              </w:rPr>
              <w:t>2.3 网络：≥2个Intel 2.5Gb以太网；</w:t>
            </w:r>
          </w:p>
          <w:p>
            <w:pPr>
              <w:pStyle w:val="null3"/>
            </w:pPr>
            <w:r>
              <w:rPr>
                <w:rFonts w:ascii="仿宋_GB2312" w:hAnsi="仿宋_GB2312" w:cs="仿宋_GB2312" w:eastAsia="仿宋_GB2312"/>
              </w:rPr>
              <w:t>2.4 扩展总线：≥ 2个PCIe 5.0 x16插槽，≥ 1个PCIe 4.0 x16插槽；</w:t>
            </w:r>
          </w:p>
          <w:p>
            <w:pPr>
              <w:pStyle w:val="null3"/>
            </w:pPr>
            <w:r>
              <w:rPr>
                <w:rFonts w:ascii="仿宋_GB2312" w:hAnsi="仿宋_GB2312" w:cs="仿宋_GB2312" w:eastAsia="仿宋_GB2312"/>
              </w:rPr>
              <w:t>2.5电源：≥ 8(80A)+1(80A)+2(80A)+2(80A) 供电模组；</w:t>
            </w:r>
          </w:p>
          <w:p>
            <w:pPr>
              <w:pStyle w:val="null3"/>
            </w:pPr>
            <w:r>
              <w:rPr>
                <w:rFonts w:ascii="仿宋_GB2312" w:hAnsi="仿宋_GB2312" w:cs="仿宋_GB2312" w:eastAsia="仿宋_GB2312"/>
              </w:rPr>
              <w:t>▲3、处理器：</w:t>
            </w:r>
          </w:p>
          <w:p>
            <w:pPr>
              <w:pStyle w:val="null3"/>
            </w:pPr>
            <w:r>
              <w:rPr>
                <w:rFonts w:ascii="仿宋_GB2312" w:hAnsi="仿宋_GB2312" w:cs="仿宋_GB2312" w:eastAsia="仿宋_GB2312"/>
              </w:rPr>
              <w:t>3.1核心/线程:≥24核心/24线程 ；</w:t>
            </w:r>
          </w:p>
          <w:p>
            <w:pPr>
              <w:pStyle w:val="null3"/>
            </w:pPr>
            <w:r>
              <w:rPr>
                <w:rFonts w:ascii="仿宋_GB2312" w:hAnsi="仿宋_GB2312" w:cs="仿宋_GB2312" w:eastAsia="仿宋_GB2312"/>
              </w:rPr>
              <w:t>3.2基础频率：≥3.7Ghz；</w:t>
            </w:r>
          </w:p>
          <w:p>
            <w:pPr>
              <w:pStyle w:val="null3"/>
            </w:pPr>
            <w:r>
              <w:rPr>
                <w:rFonts w:ascii="仿宋_GB2312" w:hAnsi="仿宋_GB2312" w:cs="仿宋_GB2312" w:eastAsia="仿宋_GB2312"/>
              </w:rPr>
              <w:t>3.3睿频: ≥ 5.7 GHz；</w:t>
            </w:r>
          </w:p>
          <w:p>
            <w:pPr>
              <w:pStyle w:val="null3"/>
            </w:pPr>
            <w:r>
              <w:rPr>
                <w:rFonts w:ascii="仿宋_GB2312" w:hAnsi="仿宋_GB2312" w:cs="仿宋_GB2312" w:eastAsia="仿宋_GB2312"/>
              </w:rPr>
              <w:t>3.4二级缓存 (L2): ≥ 40 MB；</w:t>
            </w:r>
          </w:p>
          <w:p>
            <w:pPr>
              <w:pStyle w:val="null3"/>
            </w:pPr>
            <w:r>
              <w:rPr>
                <w:rFonts w:ascii="仿宋_GB2312" w:hAnsi="仿宋_GB2312" w:cs="仿宋_GB2312" w:eastAsia="仿宋_GB2312"/>
              </w:rPr>
              <w:t>3.5三级缓存 (L3): ≥ 36 MB</w:t>
            </w:r>
          </w:p>
          <w:p>
            <w:pPr>
              <w:pStyle w:val="null3"/>
            </w:pPr>
            <w:r>
              <w:rPr>
                <w:rFonts w:ascii="仿宋_GB2312" w:hAnsi="仿宋_GB2312" w:cs="仿宋_GB2312" w:eastAsia="仿宋_GB2312"/>
              </w:rPr>
              <w:t>3.6热设计功耗 (TDP)：≤125W；</w:t>
            </w:r>
          </w:p>
          <w:p>
            <w:pPr>
              <w:pStyle w:val="null3"/>
            </w:pPr>
            <w:r>
              <w:rPr>
                <w:rFonts w:ascii="仿宋_GB2312" w:hAnsi="仿宋_GB2312" w:cs="仿宋_GB2312" w:eastAsia="仿宋_GB2312"/>
              </w:rPr>
              <w:t>3.7最大加速功耗 (MTP)：250W；</w:t>
            </w:r>
          </w:p>
          <w:p>
            <w:pPr>
              <w:pStyle w:val="null3"/>
            </w:pPr>
            <w:r>
              <w:rPr>
                <w:rFonts w:ascii="仿宋_GB2312" w:hAnsi="仿宋_GB2312" w:cs="仿宋_GB2312" w:eastAsia="仿宋_GB2312"/>
              </w:rPr>
              <w:t>4、内存 ：≥ 2*48GB DDR5；</w:t>
            </w:r>
          </w:p>
          <w:p>
            <w:pPr>
              <w:pStyle w:val="null3"/>
            </w:pPr>
            <w:r>
              <w:rPr>
                <w:rFonts w:ascii="仿宋_GB2312" w:hAnsi="仿宋_GB2312" w:cs="仿宋_GB2312" w:eastAsia="仿宋_GB2312"/>
              </w:rPr>
              <w:t>5、固态硬盘 ：≥ 1*2T M.2 NVME SSD；</w:t>
            </w:r>
          </w:p>
          <w:p>
            <w:pPr>
              <w:pStyle w:val="null3"/>
            </w:pPr>
            <w:r>
              <w:rPr>
                <w:rFonts w:ascii="仿宋_GB2312" w:hAnsi="仿宋_GB2312" w:cs="仿宋_GB2312" w:eastAsia="仿宋_GB2312"/>
              </w:rPr>
              <w:t>6、机械硬盘 ：≥ 1*4TB ；</w:t>
            </w:r>
          </w:p>
          <w:p>
            <w:pPr>
              <w:pStyle w:val="null3"/>
            </w:pPr>
            <w:r>
              <w:rPr>
                <w:rFonts w:ascii="仿宋_GB2312" w:hAnsi="仿宋_GB2312" w:cs="仿宋_GB2312" w:eastAsia="仿宋_GB2312"/>
              </w:rPr>
              <w:t>▲7、GPU：显存≥24GB GDDR6X，显存位宽：≥380bit，显存带宽≥1000GB/s，FP16单精度浮点计算性能≥80 TFLOPS，功耗：≥450W，DP1.4a×3,HDMI2.1a×1；</w:t>
            </w:r>
          </w:p>
          <w:p>
            <w:pPr>
              <w:pStyle w:val="null3"/>
            </w:pPr>
            <w:r>
              <w:rPr>
                <w:rFonts w:ascii="仿宋_GB2312" w:hAnsi="仿宋_GB2312" w:cs="仿宋_GB2312" w:eastAsia="仿宋_GB2312"/>
              </w:rPr>
              <w:t>8、无线网卡：M.2接口，支持Wi-Fi7协议，支持2.4GHz/5GHz/6GHz三频段，最高无线传输速率≥5.5Gbps，支持蓝牙5.3或同等及以上版本，内置天线；</w:t>
            </w:r>
          </w:p>
          <w:p>
            <w:pPr>
              <w:pStyle w:val="null3"/>
            </w:pPr>
            <w:r>
              <w:rPr>
                <w:rFonts w:ascii="仿宋_GB2312" w:hAnsi="仿宋_GB2312" w:cs="仿宋_GB2312" w:eastAsia="仿宋_GB2312"/>
              </w:rPr>
              <w:t>9、电源：≥2000W；</w:t>
            </w:r>
          </w:p>
          <w:p>
            <w:pPr>
              <w:pStyle w:val="null3"/>
            </w:pPr>
            <w:r>
              <w:rPr>
                <w:rFonts w:ascii="仿宋_GB2312" w:hAnsi="仿宋_GB2312" w:cs="仿宋_GB2312" w:eastAsia="仿宋_GB2312"/>
              </w:rPr>
              <w:t>10、外部输入设备：支持2.4GHZ无线连接，支持蓝牙≥5.0连接，支持可插拔USBType-C有线连接；采用线性红轴；键盘数：98键；材质：键帽为PBT，上盖为铝合金；</w:t>
            </w:r>
          </w:p>
          <w:p>
            <w:pPr>
              <w:pStyle w:val="null3"/>
            </w:pPr>
            <w:r>
              <w:rPr>
                <w:rFonts w:ascii="仿宋_GB2312" w:hAnsi="仿宋_GB2312" w:cs="仿宋_GB2312" w:eastAsia="仿宋_GB2312"/>
              </w:rPr>
              <w:t>11、外部控制设备：支持蓝牙≥5.0连接，支持可插拔USB Type-C有线连接；灵敏度：≥45000DPI；</w:t>
            </w:r>
          </w:p>
          <w:p>
            <w:pPr>
              <w:pStyle w:val="null3"/>
            </w:pPr>
            <w:r>
              <w:rPr>
                <w:rFonts w:ascii="仿宋_GB2312" w:hAnsi="仿宋_GB2312" w:cs="仿宋_GB2312" w:eastAsia="仿宋_GB2312"/>
              </w:rPr>
              <w:t>12、显示终端：≥32寸；分辨率：≥2560*1440 刷新率：≥165hz;曲率：≥1000R；色数：≥1670万；接口：支持DP和HDMI。</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合同签订之日起45日历天内到货、安装调试、运行并交付使用。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西安工程大学临潼校区工程训练中心317室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中标人向采购人提供预付款等额的银行、保险公司等金融机构出具的预付款保函或其他担保措施，采购人向中标人支付合同总价的40%作为预付款，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待所有设备到达采购人指定地点，安装、调试、运行并经验收合格后，30天内支付合同总价的60%。采购人向中标人付款前，中标人应向采购人开具符合采购人要求的增值税专用发票，若因中标人未开具或逾期开具合法有效的增值税专用发票，采购人有权顺延付款期限且不承担逾期付款责任，达到付款条件起22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按照招标文件、中标人投标文件和合同文本执行。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验收合格通过之日起3年。售后服务响应不得超出24小时，制定解决方案，2个工作日内派人到现场维修。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按照招标文件、中标人投标文件和合同文本执行。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4）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供应商自身原因导致无法及时退还的除外。 3.5.2本项目主要标的同核心产品。根据法律规定，中标公告须公布主要标的的名称、品牌、规格型号、数量、单价。 3.5.3投标人需要在线提交所有通过电子化交易平台实施的政府采购项目的投标文件，同时，线下提交纸质投标文件正本壹份、副本壹份并密封，纸质文件双面打印。若电子投标文件与纸质投标文件不一致的，以电子投标文件为准。线下递交文件时间：详见本项目招标公告投标文件递交截止时间；线下递交文件地点：西安市莲湖区环城西路南段元晟合中心6层。 3.5.4 其他要求：（1）设备按照“交钥匙工程”完成交付，供应方应负责设备整体运输、搬运、上楼、搬运过程中门窗拆卸与安装、安装场所旧设备搬移、电气水等接入及负责搬运人员与设备安全等交付内容；设备质保期不得低于3年，质保期后设备维修只收取配件费，软件升级维护费用已包含在本项目预算中。（2）培训：熟练掌握设备操作使用与维护方法、安全措施等，培训地点应为甲方指点地点，培训期间供应方需承担培训人员所有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满足本招标文件3.4商务要求中“交货时间、交货地点、质量保修范围和保修期、支付约定”的内容</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根据投标人所投产品技术参数对3.3技术参数与性能指标中“二、技术参数”的响应情况进行评审： ①标“▲”参数共计11项，投标人满足参数要求的每项得2分，不满足得0分，满分22分。“▲”指标必须提供有效佐证材料，否则视为负偏离。 ②非“▲”参数（以投标人的技术响应偏离表响应情况为准），得分=（投标人满足采购人要求的非“▲”参数数量/非“▲”参数总数量）×16分，满分16分。得分保留小数点后两位数，小数点后第三位四舍五入。 备注： 1.标“▲”参数佐证材料可为检测报告或产品彩页或功能截图或加盖厂家公章的技术说明书。 2.要求提供佐证材料的，佐证材料与技术响应偏离表响应内容不一致的，以佐证材料为准；未要求提供佐证材料的，以技术响应偏离表响应内容为准。</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投标人提供针对本项目的实施方案，包括但不限于①供货组织安排、物力调配及保障措施；②安装调试方案；③实施步骤、进度计划和保证措施；④验收方案等。 上述4项内容，每提供1项内容计2分，每项内容存在一处瑕疵扣0.5分；本评分点满分8分。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投标人针对本项目所投产品质量保证进行说明，包括①产品选型、性能；②软硬件兼容与适配；③提供全生命周期内的质量保证承诺等。 上述3项内容，每提供1项内容计2分，每项内容存在一处瑕疵扣0.5分；本评分点满分6分。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投标人响应的质保期在满足招标文件的基础上，每增加一年，加1.5分，最多加3分。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1商务部分偏离表.docx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投标人提供所投产品“类人机器人、全景相机、工作站”合法来源渠道证明文件（包括但不限于销售协议或代理协议或原厂授权等），提供齐全计3分，未提供或不齐全不计分。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投标人针对本项目提供培训方案，方案应至少包括但不限于①培训时间计划及培训人员安排；②培训内容设计安排（设备原理和技术性能、仪器操作、仪器维护、故障排除等）及确保培训效果措施。 上述2项内容，每提供1项内容计1分，每项内容存在一处瑕疵扣0.5分；本评分点满分2分。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①本地化服务能力说明、售后服务范围及保障措施；②各类问题响应解决时间、响应方式；③备品备件保障、软件升级维护；④定期回访计划安排等。 上述4项内容，每提供1项内容计1分，每项内容存在一处瑕疵扣0.5分；本评分点满分4分。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1分，最高得5分。 备注： 1.投标文件中提供合同扫描件加盖公章。 2.同类项目是指合同中包含本包采购的产品-类人机器人。</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2分项价格表.docx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详见附件：8供货来源渠道证明.docx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