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ACA77">
      <w:pPr>
        <w:shd w:val="clear"/>
        <w:autoSpaceDE w:val="0"/>
        <w:autoSpaceDN w:val="0"/>
        <w:adjustRightInd w:val="0"/>
        <w:snapToGrid w:val="0"/>
        <w:spacing w:line="360" w:lineRule="auto"/>
        <w:jc w:val="lef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政府采购项目</w:t>
      </w:r>
    </w:p>
    <w:p w14:paraId="437A4962">
      <w:pPr>
        <w:shd w:val="clear"/>
        <w:autoSpaceDE w:val="0"/>
        <w:autoSpaceDN w:val="0"/>
        <w:adjustRightInd w:val="0"/>
        <w:snapToGrid w:val="0"/>
        <w:spacing w:line="360" w:lineRule="auto"/>
        <w:jc w:val="lef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zh-CN"/>
        </w:rPr>
        <w:t>采购项目编号：SCZD2026-CS-2416-001</w:t>
      </w:r>
    </w:p>
    <w:p w14:paraId="7747A0FE">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30"/>
          <w:szCs w:val="30"/>
          <w:highlight w:val="none"/>
        </w:rPr>
      </w:pPr>
    </w:p>
    <w:p w14:paraId="1018EC0F">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32"/>
          <w:szCs w:val="32"/>
          <w:highlight w:val="none"/>
        </w:rPr>
      </w:pPr>
    </w:p>
    <w:p w14:paraId="3E3EA7E8">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5C4D80E1">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32"/>
          <w:szCs w:val="32"/>
          <w:highlight w:val="none"/>
        </w:rPr>
      </w:pPr>
    </w:p>
    <w:p w14:paraId="2C4DFB58">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安康市妇幼保健院西侧空地规划项目</w:t>
      </w:r>
    </w:p>
    <w:p w14:paraId="2068EF9E">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p>
    <w:p w14:paraId="67D013BC">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竞争性磋商文件</w:t>
      </w:r>
    </w:p>
    <w:p w14:paraId="33D035B3">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50"/>
          <w:szCs w:val="50"/>
          <w:highlight w:val="none"/>
        </w:rPr>
      </w:pPr>
    </w:p>
    <w:p w14:paraId="0D4710A5">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50"/>
          <w:szCs w:val="50"/>
          <w:highlight w:val="none"/>
        </w:rPr>
      </w:pPr>
    </w:p>
    <w:p w14:paraId="4C5D26E9">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30"/>
          <w:szCs w:val="30"/>
          <w:highlight w:val="none"/>
        </w:rPr>
      </w:pPr>
    </w:p>
    <w:p w14:paraId="7AF88348">
      <w:pPr>
        <w:pStyle w:val="2"/>
        <w:shd w:val="clear"/>
        <w:rPr>
          <w:rFonts w:hint="eastAsia" w:ascii="仿宋" w:hAnsi="仿宋" w:eastAsia="仿宋" w:cs="仿宋"/>
          <w:b/>
          <w:bCs/>
          <w:color w:val="auto"/>
          <w:sz w:val="30"/>
          <w:szCs w:val="30"/>
          <w:highlight w:val="none"/>
        </w:rPr>
      </w:pPr>
    </w:p>
    <w:p w14:paraId="4522D3C4">
      <w:pPr>
        <w:pStyle w:val="2"/>
        <w:shd w:val="clea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zh-CN" w:eastAsia="zh-CN" w:bidi="ar-SA"/>
        </w:rPr>
        <w:t>安康市妇幼保健院</w:t>
      </w:r>
    </w:p>
    <w:p w14:paraId="11347B4E">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zh-CN"/>
        </w:rPr>
        <w:t xml:space="preserve"> 陕西省采购招标有限责任公司</w:t>
      </w:r>
      <w:r>
        <w:rPr>
          <w:rFonts w:hint="eastAsia" w:ascii="仿宋" w:hAnsi="仿宋" w:eastAsia="仿宋" w:cs="仿宋"/>
          <w:b/>
          <w:bCs/>
          <w:color w:val="auto"/>
          <w:sz w:val="30"/>
          <w:szCs w:val="30"/>
          <w:highlight w:val="none"/>
        </w:rPr>
        <w:t xml:space="preserve"> </w:t>
      </w:r>
    </w:p>
    <w:p w14:paraId="3F76B7B7">
      <w:pPr>
        <w:shd w:val="clear" w:color="auto"/>
        <w:tabs>
          <w:tab w:val="left" w:pos="5460"/>
        </w:tabs>
        <w:autoSpaceDE w:val="0"/>
        <w:autoSpaceDN w:val="0"/>
        <w:adjustRightInd w:val="0"/>
        <w:snapToGrid w:val="0"/>
        <w:spacing w:line="360" w:lineRule="auto"/>
        <w:jc w:val="center"/>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二〇</w:t>
      </w:r>
      <w:r>
        <w:rPr>
          <w:rFonts w:hint="eastAsia" w:ascii="仿宋" w:hAnsi="仿宋" w:eastAsia="仿宋" w:cs="仿宋"/>
          <w:b/>
          <w:bCs/>
          <w:color w:val="auto"/>
          <w:sz w:val="30"/>
          <w:szCs w:val="30"/>
          <w:highlight w:val="none"/>
          <w:lang w:val="en-US" w:eastAsia="zh-CN"/>
        </w:rPr>
        <w:t>二六</w:t>
      </w:r>
      <w:r>
        <w:rPr>
          <w:rFonts w:hint="eastAsia" w:ascii="仿宋" w:hAnsi="仿宋" w:eastAsia="仿宋" w:cs="仿宋"/>
          <w:b/>
          <w:bCs/>
          <w:color w:val="auto"/>
          <w:sz w:val="30"/>
          <w:szCs w:val="30"/>
          <w:highlight w:val="none"/>
          <w:lang w:val="zh-CN"/>
        </w:rPr>
        <w:t>年</w:t>
      </w:r>
      <w:r>
        <w:rPr>
          <w:rFonts w:hint="eastAsia" w:ascii="仿宋" w:hAnsi="仿宋" w:eastAsia="仿宋" w:cs="仿宋"/>
          <w:b/>
          <w:bCs/>
          <w:color w:val="auto"/>
          <w:sz w:val="30"/>
          <w:szCs w:val="30"/>
          <w:highlight w:val="none"/>
          <w:lang w:val="en-US" w:eastAsia="zh-CN"/>
        </w:rPr>
        <w:t>八</w:t>
      </w:r>
      <w:r>
        <w:rPr>
          <w:rFonts w:hint="eastAsia" w:ascii="仿宋" w:hAnsi="仿宋" w:eastAsia="仿宋" w:cs="仿宋"/>
          <w:b/>
          <w:bCs/>
          <w:color w:val="auto"/>
          <w:sz w:val="30"/>
          <w:szCs w:val="30"/>
          <w:highlight w:val="none"/>
          <w:lang w:val="zh-CN"/>
        </w:rPr>
        <w:t>月</w:t>
      </w:r>
    </w:p>
    <w:p w14:paraId="3CECC567">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721B442B">
      <w:pPr>
        <w:pStyle w:val="8"/>
        <w:shd w:val="clear"/>
        <w:ind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color w:val="auto"/>
          <w:sz w:val="32"/>
          <w:szCs w:val="32"/>
          <w:highlight w:val="none"/>
        </w:rPr>
        <w:t>目  录</w:t>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TOC \o "1-2" \h \z \u </w:instrText>
      </w:r>
      <w:r>
        <w:rPr>
          <w:rFonts w:hint="eastAsia" w:ascii="仿宋" w:hAnsi="仿宋" w:eastAsia="仿宋" w:cs="仿宋"/>
          <w:b w:val="0"/>
          <w:bCs w:val="0"/>
          <w:color w:val="auto"/>
          <w:sz w:val="24"/>
          <w:szCs w:val="24"/>
          <w:highlight w:val="none"/>
        </w:rPr>
        <w:fldChar w:fldCharType="separate"/>
      </w:r>
    </w:p>
    <w:sdt>
      <w:sdtPr>
        <w:rPr>
          <w:rFonts w:ascii="宋体" w:hAnsi="宋体" w:eastAsia="宋体" w:cs="Times New Roman"/>
          <w:color w:val="auto"/>
          <w:kern w:val="2"/>
          <w:sz w:val="21"/>
          <w:szCs w:val="24"/>
          <w:highlight w:val="none"/>
          <w:lang w:val="en-US" w:eastAsia="zh-CN" w:bidi="ar-SA"/>
        </w:rPr>
        <w:id w:val="147460599"/>
        <w15:color w:val="DBDBDB"/>
        <w:docPartObj>
          <w:docPartGallery w:val="Table of Contents"/>
          <w:docPartUnique/>
        </w:docPartObj>
      </w:sdtPr>
      <w:sdtEndPr>
        <w:rPr>
          <w:rFonts w:ascii="Times New Roman" w:hAnsi="Times New Roman" w:eastAsia="Arial Unicode MS" w:cs="Times New Roman"/>
          <w:color w:val="auto"/>
          <w:kern w:val="2"/>
          <w:sz w:val="21"/>
          <w:szCs w:val="24"/>
          <w:highlight w:val="none"/>
          <w:lang w:val="en-US" w:eastAsia="zh-CN" w:bidi="ar-SA"/>
        </w:rPr>
      </w:sdtEndPr>
      <w:sdtContent>
        <w:p w14:paraId="2F20DAA6">
          <w:pPr>
            <w:shd w:val="clear"/>
            <w:spacing w:before="0" w:beforeLines="0" w:after="0" w:afterLines="0" w:line="240" w:lineRule="auto"/>
            <w:ind w:left="0" w:leftChars="0" w:right="0" w:rightChars="0" w:firstLine="0" w:firstLineChars="0"/>
            <w:jc w:val="center"/>
            <w:rPr>
              <w:color w:val="auto"/>
              <w:highlight w:val="none"/>
            </w:rPr>
          </w:pPr>
        </w:p>
        <w:p w14:paraId="5F34A9D2">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_Toc32549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第一章  磋商公告</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_Toc32549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1E5FE766">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_Toc30767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第二章  供应商须知</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_Toc30767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5</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08AA0546">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_Toc26891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第三章  评审办法和标准</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_Toc26891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27</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56739BDB">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_Toc14002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第四章  拟签订的合同文本</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_Toc14002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38</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404DAD2C">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_Toc21172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第五章  采购内容及要求</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_Toc21172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43</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055D6AD6">
          <w:pPr>
            <w:pStyle w:val="36"/>
            <w:shd w:val="clear"/>
            <w:tabs>
              <w:tab w:val="right" w:leader="dot" w:pos="8306"/>
              <w:tab w:val="clear" w:pos="9344"/>
            </w:tabs>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HYPERLINK \l _Toc25437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第六章  磋商响应文件格式</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fldChar w:fldCharType="begin"/>
          </w:r>
          <w:r>
            <w:rPr>
              <w:rFonts w:hint="eastAsia" w:ascii="仿宋" w:hAnsi="仿宋" w:eastAsia="仿宋" w:cs="仿宋"/>
              <w:b w:val="0"/>
              <w:bCs w:val="0"/>
              <w:color w:val="auto"/>
              <w:sz w:val="24"/>
              <w:szCs w:val="24"/>
              <w:highlight w:val="none"/>
            </w:rPr>
            <w:instrText xml:space="preserve"> PAGEREF _Toc25437 \h </w:instrText>
          </w:r>
          <w:r>
            <w:rPr>
              <w:rFonts w:hint="eastAsia" w:ascii="仿宋" w:hAnsi="仿宋" w:eastAsia="仿宋" w:cs="仿宋"/>
              <w:b w:val="0"/>
              <w:bCs w:val="0"/>
              <w:color w:val="auto"/>
              <w:sz w:val="24"/>
              <w:szCs w:val="24"/>
              <w:highlight w:val="none"/>
            </w:rPr>
            <w:fldChar w:fldCharType="separate"/>
          </w:r>
          <w:r>
            <w:rPr>
              <w:rFonts w:hint="eastAsia" w:ascii="仿宋" w:hAnsi="仿宋" w:eastAsia="仿宋" w:cs="仿宋"/>
              <w:b w:val="0"/>
              <w:bCs w:val="0"/>
              <w:color w:val="auto"/>
              <w:sz w:val="24"/>
              <w:szCs w:val="24"/>
              <w:highlight w:val="none"/>
            </w:rPr>
            <w:t>46</w:t>
          </w:r>
          <w:r>
            <w:rPr>
              <w:rFonts w:hint="eastAsia" w:ascii="仿宋" w:hAnsi="仿宋" w:eastAsia="仿宋" w:cs="仿宋"/>
              <w:b w:val="0"/>
              <w:bCs w:val="0"/>
              <w:color w:val="auto"/>
              <w:sz w:val="24"/>
              <w:szCs w:val="24"/>
              <w:highlight w:val="none"/>
            </w:rPr>
            <w:fldChar w:fldCharType="end"/>
          </w:r>
          <w:r>
            <w:rPr>
              <w:rFonts w:hint="eastAsia" w:ascii="仿宋" w:hAnsi="仿宋" w:eastAsia="仿宋" w:cs="仿宋"/>
              <w:b w:val="0"/>
              <w:bCs w:val="0"/>
              <w:color w:val="auto"/>
              <w:sz w:val="24"/>
              <w:szCs w:val="24"/>
              <w:highlight w:val="none"/>
            </w:rPr>
            <w:fldChar w:fldCharType="end"/>
          </w:r>
        </w:p>
        <w:p w14:paraId="72C7FC4B">
          <w:pPr>
            <w:pStyle w:val="41"/>
            <w:shd w:val="clear"/>
            <w:tabs>
              <w:tab w:val="right" w:leader="dot" w:pos="8306"/>
            </w:tabs>
            <w:rPr>
              <w:color w:val="auto"/>
              <w:highlight w:val="none"/>
            </w:rPr>
          </w:pPr>
        </w:p>
        <w:p w14:paraId="6F6D9317">
          <w:pPr>
            <w:shd w:val="clear"/>
            <w:rPr>
              <w:rFonts w:ascii="Times New Roman" w:hAnsi="Times New Roman" w:eastAsia="Arial Unicode MS" w:cs="Times New Roman"/>
              <w:color w:val="auto"/>
              <w:kern w:val="2"/>
              <w:sz w:val="21"/>
              <w:szCs w:val="24"/>
              <w:highlight w:val="none"/>
              <w:lang w:val="en-US" w:eastAsia="zh-CN" w:bidi="ar-SA"/>
            </w:rPr>
          </w:pPr>
          <w:r>
            <w:rPr>
              <w:color w:val="auto"/>
              <w:highlight w:val="none"/>
            </w:rPr>
            <w:fldChar w:fldCharType="end"/>
          </w:r>
        </w:p>
      </w:sdtContent>
    </w:sdt>
    <w:p w14:paraId="3BF4EBDF">
      <w:pPr>
        <w:shd w:val="clear"/>
        <w:rPr>
          <w:rFonts w:ascii="Times New Roman" w:hAnsi="Times New Roman" w:eastAsia="Arial Unicode MS" w:cs="Times New Roman"/>
          <w:color w:val="auto"/>
          <w:kern w:val="2"/>
          <w:sz w:val="21"/>
          <w:szCs w:val="24"/>
          <w:highlight w:val="none"/>
          <w:lang w:val="en-US" w:eastAsia="zh-CN" w:bidi="ar-SA"/>
        </w:rPr>
      </w:pPr>
    </w:p>
    <w:p w14:paraId="3861A084">
      <w:pPr>
        <w:pStyle w:val="41"/>
        <w:shd w:val="clear"/>
        <w:tabs>
          <w:tab w:val="right" w:leader="dot" w:pos="8306"/>
        </w:tabs>
        <w:rPr>
          <w:color w:val="auto"/>
          <w:highlight w:val="none"/>
        </w:rPr>
      </w:pPr>
    </w:p>
    <w:p w14:paraId="54E09BE9">
      <w:pPr>
        <w:shd w:val="clear"/>
        <w:tabs>
          <w:tab w:val="center" w:pos="4677"/>
          <w:tab w:val="left" w:pos="5040"/>
        </w:tabs>
        <w:adjustRightInd w:val="0"/>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end"/>
      </w:r>
    </w:p>
    <w:p w14:paraId="737930A1">
      <w:pPr>
        <w:shd w:val="clear"/>
        <w:rPr>
          <w:rFonts w:hint="eastAsia" w:ascii="仿宋" w:hAnsi="仿宋" w:eastAsia="仿宋" w:cs="仿宋"/>
          <w:color w:val="auto"/>
          <w:szCs w:val="20"/>
          <w:highlight w:val="none"/>
        </w:rPr>
      </w:pPr>
      <w:r>
        <w:rPr>
          <w:rFonts w:hint="eastAsia" w:ascii="仿宋" w:hAnsi="仿宋" w:eastAsia="仿宋" w:cs="仿宋"/>
          <w:color w:val="auto"/>
          <w:szCs w:val="20"/>
          <w:highlight w:val="none"/>
        </w:rPr>
        <w:br w:type="page"/>
      </w:r>
    </w:p>
    <w:p w14:paraId="5F8B02D2">
      <w:pPr>
        <w:pStyle w:val="2"/>
        <w:shd w:val="clear"/>
        <w:rPr>
          <w:rFonts w:hint="eastAsia" w:ascii="仿宋" w:hAnsi="仿宋" w:eastAsia="仿宋" w:cs="仿宋"/>
          <w:color w:val="auto"/>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cols w:space="720" w:num="1"/>
          <w:titlePg/>
          <w:docGrid w:linePitch="312" w:charSpace="0"/>
        </w:sectPr>
      </w:pPr>
    </w:p>
    <w:p w14:paraId="694DCB46">
      <w:pPr>
        <w:pStyle w:val="47"/>
        <w:shd w:val="clear"/>
        <w:spacing w:line="360" w:lineRule="auto"/>
        <w:rPr>
          <w:rStyle w:val="204"/>
          <w:rFonts w:hint="eastAsia" w:ascii="仿宋" w:hAnsi="仿宋" w:eastAsia="仿宋" w:cs="仿宋"/>
          <w:color w:val="auto"/>
          <w:sz w:val="36"/>
          <w:szCs w:val="36"/>
          <w:highlight w:val="none"/>
        </w:rPr>
      </w:pPr>
      <w:bookmarkStart w:id="0" w:name="_Toc32549"/>
      <w:bookmarkStart w:id="1" w:name="_Toc415499894"/>
      <w:bookmarkStart w:id="2" w:name="_Toc21755"/>
      <w:bookmarkStart w:id="3" w:name="_Toc19223"/>
      <w:bookmarkStart w:id="4" w:name="_Toc58504445"/>
      <w:bookmarkStart w:id="5" w:name="_Toc496324577"/>
      <w:bookmarkStart w:id="6" w:name="_Toc500747060"/>
      <w:bookmarkStart w:id="7" w:name="_Toc499711041"/>
      <w:bookmarkStart w:id="8" w:name="_Toc177817333"/>
      <w:bookmarkStart w:id="9" w:name="_Toc176882541"/>
      <w:bookmarkStart w:id="10" w:name="_Toc503063420"/>
      <w:bookmarkStart w:id="11" w:name="_Toc177189234"/>
      <w:bookmarkStart w:id="12" w:name="_Toc500747187"/>
      <w:bookmarkStart w:id="13" w:name="_Toc492955413"/>
      <w:bookmarkStart w:id="14" w:name="_Toc500746964"/>
      <w:bookmarkStart w:id="15" w:name="_Toc53722839"/>
      <w:bookmarkStart w:id="16" w:name="_Toc177995472"/>
      <w:bookmarkStart w:id="17" w:name="_Toc70687138"/>
      <w:bookmarkStart w:id="18" w:name="_Toc499711882"/>
      <w:bookmarkStart w:id="19" w:name="_Toc385992325"/>
      <w:bookmarkStart w:id="20" w:name="_Toc385992324"/>
      <w:r>
        <w:rPr>
          <w:rStyle w:val="204"/>
          <w:rFonts w:hint="eastAsia" w:ascii="仿宋" w:hAnsi="仿宋" w:eastAsia="仿宋" w:cs="仿宋"/>
          <w:color w:val="auto"/>
          <w:sz w:val="36"/>
          <w:szCs w:val="36"/>
          <w:highlight w:val="none"/>
        </w:rPr>
        <w:t>第一章  磋商公告</w:t>
      </w:r>
      <w:bookmarkEnd w:id="0"/>
      <w:bookmarkEnd w:id="1"/>
      <w:bookmarkEnd w:id="2"/>
      <w:bookmarkEnd w:id="3"/>
      <w:bookmarkEnd w:id="4"/>
    </w:p>
    <w:p w14:paraId="48A02E87">
      <w:pPr>
        <w:shd w:val="clear"/>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eastAsia="zh-CN"/>
        </w:rPr>
        <w:t>安康市妇幼保健院西侧空地规划项目</w:t>
      </w:r>
      <w:r>
        <w:rPr>
          <w:rFonts w:hint="eastAsia" w:ascii="仿宋" w:hAnsi="仿宋" w:eastAsia="仿宋" w:cs="仿宋"/>
          <w:b/>
          <w:color w:val="auto"/>
          <w:sz w:val="24"/>
          <w:szCs w:val="24"/>
          <w:highlight w:val="none"/>
          <w:lang w:val="en-US" w:eastAsia="zh-CN"/>
        </w:rPr>
        <w:t>竞争性磋商公告</w:t>
      </w:r>
    </w:p>
    <w:p w14:paraId="13E049B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right="0"/>
        <w:jc w:val="left"/>
        <w:textAlignment w:val="baseline"/>
        <w:rPr>
          <w:rFonts w:hint="eastAsia" w:ascii="仿宋" w:hAnsi="仿宋" w:eastAsia="仿宋" w:cs="仿宋"/>
          <w:b w:val="0"/>
          <w:bCs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项目概况</w:t>
      </w:r>
    </w:p>
    <w:p w14:paraId="4BA438B2">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西侧空地规划项目采购项目的潜在供应商应在全国公共资源交易平台（陕西省·安康市）获取采购文件，并于 2026年09月08日 14时00分 （北京时间）前提交响应文件。</w:t>
      </w:r>
    </w:p>
    <w:p w14:paraId="0D7D9DA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一、项目基本情况</w:t>
      </w:r>
    </w:p>
    <w:p w14:paraId="797D827C">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项目编号：SCZD2026-CS-2416-001</w:t>
      </w:r>
    </w:p>
    <w:p w14:paraId="3A21DC7A">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项目名称：西侧空地规划项目</w:t>
      </w:r>
    </w:p>
    <w:p w14:paraId="56DDBA5C">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采购方式：竞争性磋商</w:t>
      </w:r>
    </w:p>
    <w:p w14:paraId="5E5B3316">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预算金额：332,000.00元</w:t>
      </w:r>
    </w:p>
    <w:p w14:paraId="056279E0">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采购需求：</w:t>
      </w:r>
    </w:p>
    <w:p w14:paraId="225C09A5">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合同包1(西侧空地规划项目):</w:t>
      </w:r>
    </w:p>
    <w:p w14:paraId="2F830401">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合同包预算金额：332,000.00元</w:t>
      </w:r>
    </w:p>
    <w:tbl>
      <w:tblPr>
        <w:tblStyle w:val="5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11"/>
        <w:gridCol w:w="2307"/>
        <w:gridCol w:w="2339"/>
        <w:gridCol w:w="800"/>
        <w:gridCol w:w="1569"/>
        <w:gridCol w:w="1440"/>
      </w:tblGrid>
      <w:tr w14:paraId="7EE7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3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13915B">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品目号</w:t>
            </w:r>
          </w:p>
        </w:tc>
        <w:tc>
          <w:tcPr>
            <w:tcW w:w="13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E497DC">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品目名称</w:t>
            </w:r>
          </w:p>
        </w:tc>
        <w:tc>
          <w:tcPr>
            <w:tcW w:w="13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049378">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采购标的</w:t>
            </w:r>
          </w:p>
        </w:tc>
        <w:tc>
          <w:tcPr>
            <w:tcW w:w="4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A4BB37">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数量（单位）</w:t>
            </w:r>
          </w:p>
        </w:tc>
        <w:tc>
          <w:tcPr>
            <w:tcW w:w="9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194F6">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技术规格、参数及要求</w:t>
            </w:r>
          </w:p>
        </w:tc>
        <w:tc>
          <w:tcPr>
            <w:tcW w:w="6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ADB9CE">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品目预算(元)</w:t>
            </w:r>
          </w:p>
        </w:tc>
      </w:tr>
      <w:tr w14:paraId="4322E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3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799A98">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1-1</w:t>
            </w:r>
          </w:p>
        </w:tc>
        <w:tc>
          <w:tcPr>
            <w:tcW w:w="13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32C7CE">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其他建筑工程</w:t>
            </w:r>
          </w:p>
        </w:tc>
        <w:tc>
          <w:tcPr>
            <w:tcW w:w="13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31F0C3">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道路施工、场地硬化、绿化</w:t>
            </w:r>
          </w:p>
        </w:tc>
        <w:tc>
          <w:tcPr>
            <w:tcW w:w="4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A80F77">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1(项)</w:t>
            </w:r>
          </w:p>
        </w:tc>
        <w:tc>
          <w:tcPr>
            <w:tcW w:w="9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D293CF">
            <w:pPr>
              <w:keepNext w:val="0"/>
              <w:keepLines w:val="0"/>
              <w:widowControl/>
              <w:suppressLineNumbers w:val="0"/>
              <w:wordWrap w:val="0"/>
              <w:spacing w:before="0" w:beforeAutospacing="0" w:after="0" w:afterAutospacing="0" w:line="360" w:lineRule="auto"/>
              <w:ind w:left="0" w:right="0"/>
              <w:jc w:val="center"/>
              <w:textAlignment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详见采购文件</w:t>
            </w:r>
          </w:p>
        </w:tc>
        <w:tc>
          <w:tcPr>
            <w:tcW w:w="6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1FAF29">
            <w:pPr>
              <w:keepNext w:val="0"/>
              <w:keepLines w:val="0"/>
              <w:widowControl/>
              <w:suppressLineNumbers w:val="0"/>
              <w:wordWrap/>
              <w:spacing w:before="0" w:beforeAutospacing="0" w:after="0" w:afterAutospacing="0" w:line="360" w:lineRule="auto"/>
              <w:ind w:left="0" w:right="0"/>
              <w:jc w:val="right"/>
              <w:textAlignment w:val="center"/>
              <w:rPr>
                <w:rFonts w:hint="eastAsia" w:ascii="仿宋" w:hAnsi="仿宋" w:eastAsia="仿宋" w:cs="仿宋"/>
                <w:sz w:val="24"/>
                <w:szCs w:val="24"/>
              </w:rPr>
            </w:pPr>
            <w:r>
              <w:rPr>
                <w:rFonts w:hint="eastAsia" w:ascii="仿宋" w:hAnsi="仿宋" w:eastAsia="仿宋" w:cs="仿宋"/>
                <w:kern w:val="0"/>
                <w:sz w:val="24"/>
                <w:szCs w:val="24"/>
                <w:vertAlign w:val="baseline"/>
                <w:lang w:val="en-US" w:eastAsia="zh-CN" w:bidi="ar"/>
              </w:rPr>
              <w:t>332,000.00</w:t>
            </w:r>
          </w:p>
        </w:tc>
      </w:tr>
    </w:tbl>
    <w:p w14:paraId="68DA7A21">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合同包最高限价：331,898.80元</w:t>
      </w:r>
    </w:p>
    <w:p w14:paraId="29894659">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本合同包不接受联合体投标</w:t>
      </w:r>
    </w:p>
    <w:p w14:paraId="0E5DBD2E">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合同履行期限：合同签订后60个日历日内完工</w:t>
      </w:r>
    </w:p>
    <w:p w14:paraId="3BAB92C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二、申请人的资格要求：</w:t>
      </w:r>
    </w:p>
    <w:p w14:paraId="071F2700">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1.满足《中华人民共和国政府采购法》第二十二条规定;</w:t>
      </w:r>
    </w:p>
    <w:p w14:paraId="3BE6960F">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2.落实政府采购政策需满足的资格要求：</w:t>
      </w:r>
    </w:p>
    <w:p w14:paraId="00E5E25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合同包1(西侧空地规划项目)落实政府采购政策需满足的资格要求如下:</w:t>
      </w:r>
    </w:p>
    <w:p w14:paraId="48417BB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本项目为专门面向小微企业的项目，供应商应提供中小企业声明函、残疾人福利性单位声明函或监狱企业证明函。</w:t>
      </w:r>
    </w:p>
    <w:p w14:paraId="10DFD0A0">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3.本项目的特定资格要求：</w:t>
      </w:r>
    </w:p>
    <w:p w14:paraId="2BCAE9DB">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合同包1(西侧空地规划项目)特定资格要求如下:</w:t>
      </w:r>
    </w:p>
    <w:p w14:paraId="20262D2A">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3.1供应商在递交磋商响应文件截止时间前被“信用中国”网站（www.creditchina.gov.cn）和中国政府采购网（www.ccgp.gov.cn）上被列入失信被执行人、重大税收违法失信主体、政府采购严重违法失信行为信息记录名单的，不得参加磋商；</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3.2供应商参加本项目的合法授权人授权委托书；供应商应授权合法的人员参加磋商全过程，其中法定代表人直接参加磋商的，须出具法人身份证，并与营业执照上信息一致。法定代表人授权代表参加磋商的，须出具法定代表人授权书及授权代表身份证、授权代表本单位证明（养老保险缴纳证明）；</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3.3供应商须具备市政公用工程施工总承包二级及以上资质，同时提供有效期内的安全生产许可证。拟投入的项目经理须提供贰级（含贰级）以上建筑工程类注册建造师证书及安全生产考核合格证（B证），且无其他在建工程（提供无在建工程的承诺函）。</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3.4供应商不得存在下列情形之一：</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（1）单位负责人为同一人或者存在直接控股、管理关系的不同供应商，不得参加同一合同项下的政府采购活动；</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（2）为本项目提供整体设计、规范编制或者项目管理、监理、检测等服务的供应商，不得再参加该采购项目的其他采购活动。</w:t>
      </w:r>
      <w:r>
        <w:rPr>
          <w:rFonts w:hint="eastAsia" w:ascii="仿宋" w:hAnsi="仿宋" w:eastAsia="仿宋" w:cs="仿宋"/>
          <w:i w:val="0"/>
          <w:iCs w:val="0"/>
          <w:caps w:val="0"/>
          <w:color w:val="333333"/>
          <w:spacing w:val="0"/>
          <w:sz w:val="24"/>
          <w:szCs w:val="24"/>
          <w:shd w:val="clear" w:fill="FFFFFF"/>
          <w:vertAlign w:val="baseline"/>
        </w:rPr>
        <w:br w:type="textWrapping"/>
      </w:r>
      <w:r>
        <w:rPr>
          <w:rFonts w:hint="eastAsia" w:ascii="仿宋" w:hAnsi="仿宋" w:eastAsia="仿宋" w:cs="仿宋"/>
          <w:i w:val="0"/>
          <w:iCs w:val="0"/>
          <w:caps w:val="0"/>
          <w:color w:val="333333"/>
          <w:spacing w:val="0"/>
          <w:sz w:val="24"/>
          <w:szCs w:val="24"/>
          <w:shd w:val="clear" w:fill="FFFFFF"/>
          <w:vertAlign w:val="baseline"/>
        </w:rPr>
        <w:t>3.5需向采购代理机构获取采购文件，未向采购代理机构获取采购文件的供应商均无资格参加磋商。</w:t>
      </w:r>
    </w:p>
    <w:p w14:paraId="6A0404E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三、获取采购文件</w:t>
      </w:r>
    </w:p>
    <w:p w14:paraId="059908EE">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时间： 2026年08月19日 至 2026年08月26日 ，每天上午 08:00:00 至 12:00:00 ，下午 12:00:00 至 18:00:00 （北京时间）</w:t>
      </w:r>
    </w:p>
    <w:p w14:paraId="21B89EDA">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途径：全国公共资源交易平台（陕西省·安康市）</w:t>
      </w:r>
    </w:p>
    <w:p w14:paraId="23D021C2">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方式：在线获取</w:t>
      </w:r>
    </w:p>
    <w:p w14:paraId="023B00B9">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售价： 0元</w:t>
      </w:r>
    </w:p>
    <w:p w14:paraId="7D27002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四、响应文件提交</w:t>
      </w:r>
    </w:p>
    <w:p w14:paraId="28454B98">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截止时间： 2026年09月08日 14时00分00秒 （北京时间）</w:t>
      </w:r>
    </w:p>
    <w:p w14:paraId="1A9BAA76">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地点：全国公共资源交易平台（陕西省·安康市）（上传电子响应文件）</w:t>
      </w:r>
    </w:p>
    <w:p w14:paraId="44FB1CC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五、开启</w:t>
      </w:r>
    </w:p>
    <w:p w14:paraId="60FD2D22">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时间： 2026年09月08日 14时00分00秒 （北京时间）</w:t>
      </w:r>
    </w:p>
    <w:p w14:paraId="1C909C18">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地点：全国公共资源交易平台（陕西省·安康市）不见面开标系统</w:t>
      </w:r>
    </w:p>
    <w:p w14:paraId="5C53C4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六、公告期限</w:t>
      </w:r>
    </w:p>
    <w:p w14:paraId="6E933F3B">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自本公告发布之日起3个工作日。</w:t>
      </w:r>
    </w:p>
    <w:p w14:paraId="79AE201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七、其他补充事宜</w:t>
      </w:r>
    </w:p>
    <w:p w14:paraId="689AE88F">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1、落实政府采购政策：</w:t>
      </w:r>
    </w:p>
    <w:p w14:paraId="2D96A83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51B73C1E">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5009834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1.3《关于运用政府采购政策支持乡村产业振兴的通知》（财库〔2021〕19 号）、《关于印发&lt;关于深入开展政府采购脱贫地区农副产品工作推进乡村产业振兴的实施意见&gt;的通知》（财库〔2021〕20 号）。</w:t>
      </w:r>
    </w:p>
    <w:p w14:paraId="4A8C5CDD">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1.4《国家互联网信息办公室 工业和信息化部 公安部 财政部 国家认证认可监督管理委员会关于调整网络安全专用产品安全管理有关事项的公告》（2023年第1号）。</w:t>
      </w:r>
    </w:p>
    <w:p w14:paraId="1EF2F16C">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1.5《陕西省财政厅关于加快推进我省中小企业政府采购信用融资工作的通知》（陕财办采〔2020〕15 号）、《陕西省财政厅关于印发&lt;陕西省中小企业政府采购信用融资办法&gt;的通知》（陕财办采〔2018〕23 号）。</w:t>
      </w:r>
    </w:p>
    <w:p w14:paraId="3E7E8A6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财办库〔2023〕52号）。若享受以上政策优惠的企业，提供相应声明函或品目清单范围内产品的有效认证证书或相关证明。</w:t>
      </w:r>
    </w:p>
    <w:p w14:paraId="6AA34B1F">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1.7《国务院办公厅关于在政府采购中实施本国产品标准及相关政策的通知》（国办发〔2025〕34号）。</w:t>
      </w:r>
    </w:p>
    <w:p w14:paraId="6DAE01D4">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若享受以上政策优惠的企业，提供相应声明函或品目清单范围内产品的有效认证证书或相关证明。</w:t>
      </w:r>
    </w:p>
    <w:p w14:paraId="75A5293D">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2、其他</w:t>
      </w:r>
    </w:p>
    <w:p w14:paraId="0305C277">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2.1、购买须知：使用捆绑省交易平台的CA锁登录电子交易平台，通过政府采购系统企业端进入，点击我要投标，完善相关投标信息。</w:t>
      </w:r>
    </w:p>
    <w:p w14:paraId="5BE97FAA">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2.2、请各投标人获取磋商文件后，按照陕西省财政厅《关于政府采供应商注册登记有关事项的通知》要求，通过陕西省政府采购网注册登记加入陕西省政府采购供应商库。</w:t>
      </w:r>
    </w:p>
    <w:p w14:paraId="5D717556">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2.3、本项目采用电子化投标及远程不见面开标方式，相关操作流程详见全国公共资源交易平台（陕西省）网站[服务指南-下载专区]中的《陕西省公共资源交易中心政府招标项目投标指南》。文件技术支持：4009280095、4009980000。</w:t>
      </w:r>
    </w:p>
    <w:p w14:paraId="4A02BA0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仿宋" w:hAnsi="仿宋" w:eastAsia="仿宋" w:cs="仿宋"/>
          <w:b w:val="0"/>
          <w:bCs w:val="0"/>
          <w:i w:val="0"/>
          <w:iCs w:val="0"/>
          <w:caps w:val="0"/>
          <w:color w:val="333333"/>
          <w:spacing w:val="0"/>
          <w:sz w:val="24"/>
          <w:szCs w:val="24"/>
        </w:rPr>
      </w:pPr>
      <w:r>
        <w:rPr>
          <w:rStyle w:val="54"/>
          <w:rFonts w:hint="eastAsia" w:ascii="仿宋" w:hAnsi="仿宋" w:eastAsia="仿宋" w:cs="仿宋"/>
          <w:b/>
          <w:bCs/>
          <w:i w:val="0"/>
          <w:iCs w:val="0"/>
          <w:caps w:val="0"/>
          <w:color w:val="333333"/>
          <w:spacing w:val="0"/>
          <w:sz w:val="24"/>
          <w:szCs w:val="24"/>
          <w:shd w:val="clear" w:fill="FFFFFF"/>
          <w:vertAlign w:val="baseline"/>
        </w:rPr>
        <w:t>八、对本次招标提出询问，请按以下方式联系。</w:t>
      </w:r>
    </w:p>
    <w:p w14:paraId="24017DC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480" w:firstLineChars="20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1.采购人信息</w:t>
      </w:r>
    </w:p>
    <w:p w14:paraId="76D38148">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名称：安康市妇幼保健院</w:t>
      </w:r>
    </w:p>
    <w:p w14:paraId="5B101F14">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地址：陕西省安康市高新区汉江路西段</w:t>
      </w:r>
    </w:p>
    <w:p w14:paraId="14E629E5">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联系方式：0915-2111127</w:t>
      </w:r>
    </w:p>
    <w:p w14:paraId="5B5EBF2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1314" w:leftChars="228" w:right="0" w:hanging="835" w:hangingChars="348"/>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2.采购代理机构信息</w:t>
      </w:r>
    </w:p>
    <w:p w14:paraId="3E31A994">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名称：陕西省采购招标有限责任公司</w:t>
      </w:r>
    </w:p>
    <w:p w14:paraId="3F888469">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地址：西安市高新区锦业路1号都市之门C座9层</w:t>
      </w:r>
    </w:p>
    <w:p w14:paraId="36B98226">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联系方式：029-88497916</w:t>
      </w:r>
    </w:p>
    <w:p w14:paraId="2061B8A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1314" w:leftChars="228" w:right="0" w:hanging="835" w:hangingChars="348"/>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3.项目联系方式</w:t>
      </w:r>
    </w:p>
    <w:p w14:paraId="50419E96">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项目联系人：胡梦阳、雷鹏</w:t>
      </w:r>
    </w:p>
    <w:p w14:paraId="35D220CC">
      <w:pPr>
        <w:pStyle w:val="4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电话：029-88497916</w:t>
      </w:r>
    </w:p>
    <w:p w14:paraId="557FFFAF">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vertAlign w:val="baseline"/>
        </w:rPr>
        <w:t>陕西省采购招标有限责任公司</w:t>
      </w:r>
    </w:p>
    <w:p w14:paraId="0B36363A">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仿宋" w:hAnsi="仿宋" w:eastAsia="仿宋" w:cs="仿宋"/>
          <w:i w:val="0"/>
          <w:iCs w:val="0"/>
          <w:caps w:val="0"/>
          <w:color w:val="333333"/>
          <w:spacing w:val="0"/>
          <w:sz w:val="24"/>
          <w:szCs w:val="24"/>
          <w:shd w:val="clear" w:fill="FFFFFF"/>
          <w:vertAlign w:val="baseline"/>
        </w:rPr>
        <w:t>2026年08月18日</w:t>
      </w:r>
    </w:p>
    <w:p w14:paraId="4F74A4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0"/>
        <w:jc w:val="both"/>
        <w:textAlignment w:val="baseline"/>
        <w:rPr>
          <w:rFonts w:hint="eastAsia" w:ascii="仿宋" w:hAnsi="仿宋" w:eastAsia="仿宋" w:cs="仿宋"/>
          <w:i w:val="0"/>
          <w:iCs w:val="0"/>
          <w:caps w:val="0"/>
          <w:color w:val="333333"/>
          <w:spacing w:val="0"/>
          <w:sz w:val="24"/>
          <w:szCs w:val="24"/>
        </w:rPr>
      </w:pPr>
    </w:p>
    <w:bookmarkEnd w:id="5"/>
    <w:bookmarkEnd w:id="6"/>
    <w:bookmarkEnd w:id="7"/>
    <w:bookmarkEnd w:id="8"/>
    <w:bookmarkEnd w:id="9"/>
    <w:bookmarkEnd w:id="10"/>
    <w:bookmarkEnd w:id="11"/>
    <w:bookmarkEnd w:id="12"/>
    <w:bookmarkEnd w:id="13"/>
    <w:bookmarkEnd w:id="14"/>
    <w:bookmarkEnd w:id="15"/>
    <w:bookmarkEnd w:id="16"/>
    <w:bookmarkEnd w:id="17"/>
    <w:bookmarkEnd w:id="18"/>
    <w:p w14:paraId="03C940DA">
      <w:pPr>
        <w:pStyle w:val="47"/>
        <w:shd w:val="clear"/>
        <w:spacing w:line="360" w:lineRule="auto"/>
        <w:rPr>
          <w:rStyle w:val="204"/>
          <w:rFonts w:hint="eastAsia" w:ascii="仿宋" w:hAnsi="仿宋" w:eastAsia="仿宋" w:cs="仿宋"/>
          <w:color w:val="auto"/>
          <w:sz w:val="36"/>
          <w:szCs w:val="36"/>
          <w:highlight w:val="none"/>
        </w:rPr>
      </w:pPr>
      <w:bookmarkStart w:id="21" w:name="_Toc30767"/>
      <w:bookmarkStart w:id="22" w:name="_Toc26444"/>
      <w:bookmarkStart w:id="23" w:name="_Toc230099796"/>
      <w:bookmarkStart w:id="24" w:name="_Toc21126"/>
      <w:bookmarkStart w:id="25" w:name="_Toc256342142"/>
      <w:bookmarkStart w:id="26" w:name="_Toc184043011"/>
      <w:bookmarkStart w:id="27" w:name="_Toc232176271"/>
      <w:bookmarkStart w:id="28" w:name="_Toc58504446"/>
      <w:bookmarkStart w:id="29" w:name="_Toc230013631"/>
      <w:bookmarkStart w:id="30" w:name="_Toc232395211"/>
      <w:bookmarkStart w:id="31" w:name="_Toc249515277"/>
      <w:bookmarkStart w:id="32" w:name="_Toc249525158"/>
      <w:bookmarkStart w:id="33" w:name="_Toc230583540"/>
      <w:bookmarkStart w:id="34" w:name="_Toc415499895"/>
      <w:bookmarkStart w:id="35" w:name="_Toc249515389"/>
      <w:bookmarkStart w:id="36" w:name="_Toc492955414"/>
      <w:bookmarkStart w:id="37" w:name="_Toc499711883"/>
      <w:bookmarkStart w:id="38" w:name="_Toc232395212"/>
      <w:bookmarkStart w:id="39" w:name="_Toc503063421"/>
      <w:bookmarkStart w:id="40" w:name="_Toc500747188"/>
      <w:bookmarkStart w:id="41" w:name="_Toc249515278"/>
      <w:bookmarkStart w:id="42" w:name="_Toc232176272"/>
      <w:bookmarkStart w:id="43" w:name="_Toc249515390"/>
      <w:bookmarkStart w:id="44" w:name="_Toc184043012"/>
      <w:bookmarkStart w:id="45" w:name="_Toc230583541"/>
      <w:bookmarkStart w:id="46" w:name="_Toc496324578"/>
      <w:bookmarkStart w:id="47" w:name="_Toc177995473"/>
      <w:bookmarkStart w:id="48" w:name="_Toc256342143"/>
      <w:bookmarkStart w:id="49" w:name="_Toc177817334"/>
      <w:bookmarkStart w:id="50" w:name="_Toc500746965"/>
      <w:bookmarkStart w:id="51" w:name="_Toc500747061"/>
      <w:bookmarkStart w:id="52" w:name="_Toc176882542"/>
      <w:bookmarkStart w:id="53" w:name="_Toc70687139"/>
      <w:bookmarkStart w:id="54" w:name="_Toc499711042"/>
      <w:bookmarkStart w:id="55" w:name="_Toc230099797"/>
      <w:bookmarkStart w:id="56" w:name="_Toc230013632"/>
      <w:bookmarkStart w:id="57" w:name="_Toc177189235"/>
      <w:bookmarkStart w:id="58" w:name="_Toc53722840"/>
      <w:bookmarkStart w:id="59" w:name="_Toc249525159"/>
      <w:r>
        <w:rPr>
          <w:rStyle w:val="204"/>
          <w:rFonts w:hint="eastAsia" w:ascii="仿宋" w:hAnsi="仿宋" w:eastAsia="仿宋" w:cs="仿宋"/>
          <w:color w:val="auto"/>
          <w:sz w:val="36"/>
          <w:szCs w:val="36"/>
          <w:highlight w:val="none"/>
        </w:rPr>
        <w:t>第二章  供应商须知</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B96134F">
      <w:pPr>
        <w:pStyle w:val="79"/>
        <w:shd w:val="clear"/>
        <w:spacing w:before="240" w:beforeLines="100" w:after="24"/>
        <w:jc w:val="center"/>
        <w:rPr>
          <w:rFonts w:hint="eastAsia" w:ascii="仿宋" w:hAnsi="仿宋" w:eastAsia="仿宋" w:cs="仿宋"/>
          <w:color w:val="auto"/>
          <w:sz w:val="28"/>
          <w:szCs w:val="28"/>
          <w:highlight w:val="none"/>
        </w:rPr>
      </w:pPr>
      <w:bookmarkStart w:id="60" w:name="_Toc10324"/>
      <w:bookmarkStart w:id="61" w:name="_Toc12472"/>
      <w:bookmarkStart w:id="62" w:name="_Toc68590967"/>
      <w:bookmarkStart w:id="63" w:name="_Toc11541"/>
      <w:r>
        <w:rPr>
          <w:rFonts w:hint="eastAsia" w:ascii="仿宋" w:hAnsi="仿宋" w:eastAsia="仿宋" w:cs="仿宋"/>
          <w:color w:val="auto"/>
          <w:sz w:val="28"/>
          <w:szCs w:val="28"/>
          <w:highlight w:val="none"/>
        </w:rPr>
        <w:t>（一）供应商须知前附表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602BA59A">
      <w:pPr>
        <w:shd w:val="clear"/>
        <w:rPr>
          <w:rFonts w:hint="eastAsia" w:ascii="仿宋" w:hAnsi="仿宋" w:eastAsia="仿宋" w:cs="仿宋"/>
          <w:color w:val="auto"/>
          <w:highlight w:val="none"/>
        </w:rPr>
      </w:pPr>
    </w:p>
    <w:p w14:paraId="570239BD">
      <w:pPr>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本表是对供应商须知的具体补充和修改，如有矛盾，均以本表为准。</w:t>
      </w:r>
    </w:p>
    <w:p w14:paraId="4362E596">
      <w:pPr>
        <w:shd w:val="clear"/>
        <w:ind w:left="720" w:hanging="720" w:hangingChars="343"/>
        <w:rPr>
          <w:rFonts w:hint="eastAsia" w:ascii="仿宋" w:hAnsi="仿宋" w:eastAsia="仿宋" w:cs="仿宋"/>
          <w:b/>
          <w:color w:val="auto"/>
          <w:sz w:val="20"/>
          <w:szCs w:val="20"/>
          <w:highlight w:val="none"/>
        </w:rPr>
      </w:pPr>
      <w:r>
        <w:rPr>
          <w:rFonts w:hint="eastAsia" w:ascii="仿宋" w:hAnsi="仿宋" w:eastAsia="仿宋" w:cs="仿宋"/>
          <w:color w:val="auto"/>
          <w:szCs w:val="21"/>
          <w:highlight w:val="none"/>
        </w:rPr>
        <w:t xml:space="preserve">   </w:t>
      </w:r>
    </w:p>
    <w:bookmarkEnd w:id="19"/>
    <w:tbl>
      <w:tblPr>
        <w:tblStyle w:val="51"/>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9"/>
              <w:shd w:val="clear"/>
              <w:adjustRightInd w:val="0"/>
              <w:snapToGrid w:val="0"/>
              <w:spacing w:line="240" w:lineRule="auto"/>
              <w:jc w:val="center"/>
              <w:rPr>
                <w:rFonts w:hint="eastAsia" w:ascii="仿宋" w:hAnsi="仿宋" w:eastAsia="仿宋" w:cs="仿宋"/>
                <w:b/>
                <w:color w:val="auto"/>
                <w:sz w:val="24"/>
                <w:szCs w:val="24"/>
                <w:highlight w:val="none"/>
              </w:rPr>
            </w:pPr>
            <w:bookmarkStart w:id="64" w:name="_Hlt14560610"/>
            <w:bookmarkEnd w:id="64"/>
            <w:bookmarkStart w:id="65" w:name="_Toc496324580"/>
            <w:bookmarkStart w:id="66" w:name="_Toc499711044"/>
            <w:bookmarkStart w:id="67" w:name="_Toc500747190"/>
            <w:bookmarkStart w:id="68" w:name="_Toc385992326"/>
            <w:bookmarkStart w:id="69" w:name="_Toc503063423"/>
            <w:bookmarkStart w:id="70" w:name="_Toc389620165"/>
            <w:bookmarkStart w:id="71" w:name="_Toc500747063"/>
            <w:bookmarkStart w:id="72" w:name="_Toc500746967"/>
            <w:bookmarkStart w:id="73" w:name="_Toc492955416"/>
            <w:bookmarkStart w:id="74" w:name="_Toc499711885"/>
            <w:r>
              <w:rPr>
                <w:rFonts w:hint="eastAsia" w:ascii="仿宋" w:hAnsi="仿宋" w:eastAsia="仿宋" w:cs="仿宋"/>
                <w:b/>
                <w:color w:val="auto"/>
                <w:sz w:val="24"/>
                <w:szCs w:val="24"/>
                <w:highlight w:val="none"/>
              </w:rPr>
              <w:t>条款号</w:t>
            </w:r>
          </w:p>
        </w:tc>
        <w:tc>
          <w:tcPr>
            <w:tcW w:w="7650" w:type="dxa"/>
            <w:vAlign w:val="center"/>
          </w:tcPr>
          <w:p w14:paraId="14C206DB">
            <w:pPr>
              <w:pStyle w:val="29"/>
              <w:shd w:val="clear"/>
              <w:adjustRightInd w:val="0"/>
              <w:snapToGrid w:val="0"/>
              <w:spacing w:line="24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0" w:type="dxa"/>
            <w:vAlign w:val="center"/>
          </w:tcPr>
          <w:p w14:paraId="3AEE5DC6">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7650" w:type="dxa"/>
            <w:vAlign w:val="center"/>
          </w:tcPr>
          <w:p w14:paraId="460F0118">
            <w:pPr>
              <w:pStyle w:val="29"/>
              <w:shd w:val="clear" w:color="auto"/>
              <w:adjustRightInd w:val="0"/>
              <w:snapToGrid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项目名称：安康市妇幼保健院西侧空地规划项目</w:t>
            </w:r>
          </w:p>
          <w:p w14:paraId="05935A0B">
            <w:pPr>
              <w:pStyle w:val="29"/>
              <w:shd w:val="clear" w:color="auto"/>
              <w:adjustRightInd w:val="0"/>
              <w:snapToGrid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lang w:val="zh-CN" w:eastAsia="zh-CN"/>
              </w:rPr>
              <w:t>SCZD2026-CS-2416-001</w:t>
            </w:r>
          </w:p>
          <w:p w14:paraId="0456224E">
            <w:pPr>
              <w:pStyle w:val="29"/>
              <w:shd w:val="clear" w:color="auto"/>
              <w:adjustRightInd w:val="0"/>
              <w:snapToGrid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资金来源：财政资金</w:t>
            </w:r>
          </w:p>
          <w:p w14:paraId="55C63DE4">
            <w:pPr>
              <w:pStyle w:val="29"/>
              <w:shd w:val="clear" w:color="auto"/>
              <w:adjustRightInd w:val="0"/>
              <w:snapToGrid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合同包预算金额：332,000.00元</w:t>
            </w:r>
          </w:p>
          <w:p w14:paraId="5A4AC535">
            <w:pPr>
              <w:pStyle w:val="29"/>
              <w:shd w:val="clear" w:color="auto"/>
              <w:adjustRightInd w:val="0"/>
              <w:snapToGrid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合同包最高限价：331,898.80元</w:t>
            </w:r>
          </w:p>
          <w:p w14:paraId="21CBB572">
            <w:pPr>
              <w:pStyle w:val="29"/>
              <w:shd w:val="clear" w:color="auto"/>
              <w:adjustRightInd w:val="0"/>
              <w:snapToGrid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采购方式：竞争性磋商</w:t>
            </w:r>
          </w:p>
          <w:p w14:paraId="50E4A8D0">
            <w:pPr>
              <w:pStyle w:val="29"/>
              <w:shd w:val="clear" w:color="auto"/>
              <w:adjustRightInd w:val="0"/>
              <w:snapToGrid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采购内容：详见本磋商文件第五章</w:t>
            </w:r>
          </w:p>
          <w:p w14:paraId="3B7432F4">
            <w:pPr>
              <w:pStyle w:val="29"/>
              <w:shd w:val="clear"/>
              <w:adjustRightInd w:val="0"/>
              <w:snapToGrid w:val="0"/>
              <w:spacing w:line="24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项目所属行业：</w:t>
            </w:r>
            <w:r>
              <w:rPr>
                <w:rFonts w:hint="eastAsia" w:ascii="Times New Roman" w:hAnsi="Times New Roman" w:eastAsia="仿宋_GB2312" w:cs="Times New Roman"/>
                <w:sz w:val="24"/>
                <w:szCs w:val="24"/>
                <w:highlight w:val="none"/>
                <w:lang w:val="en-US" w:eastAsia="zh-CN"/>
              </w:rPr>
              <w:t>建筑业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222199A">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7650" w:type="dxa"/>
            <w:vAlign w:val="center"/>
          </w:tcPr>
          <w:p w14:paraId="5DAE8612">
            <w:pPr>
              <w:pStyle w:val="29"/>
              <w:shd w:val="clear" w:color="auto"/>
              <w:adjustRightInd w:val="0"/>
              <w:snapToGrid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采购人：安康市妇幼保健院</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3ECA2368">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7650" w:type="dxa"/>
            <w:vAlign w:val="center"/>
          </w:tcPr>
          <w:p w14:paraId="6BF6E651">
            <w:pPr>
              <w:pStyle w:val="29"/>
              <w:shd w:val="clear" w:color="auto"/>
              <w:adjustRightInd w:val="0"/>
              <w:snapToGrid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采购代理机构：陕西省采购招标有限责任公司</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080" w:type="dxa"/>
            <w:vAlign w:val="center"/>
          </w:tcPr>
          <w:p w14:paraId="18F72D79">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7650" w:type="dxa"/>
            <w:vAlign w:val="center"/>
          </w:tcPr>
          <w:p w14:paraId="1EBD90E1">
            <w:pPr>
              <w:pStyle w:val="29"/>
              <w:shd w:val="clear"/>
              <w:adjustRightInd w:val="0"/>
              <w:snapToGrid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邀请供应商的方式：发布磋商公告</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5FD387B">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7650" w:type="dxa"/>
            <w:vAlign w:val="center"/>
          </w:tcPr>
          <w:p w14:paraId="253E49DD">
            <w:pPr>
              <w:pStyle w:val="16"/>
              <w:shd w:val="clear"/>
              <w:spacing w:line="360" w:lineRule="auto"/>
              <w:rPr>
                <w:rFonts w:hint="eastAsia" w:ascii="仿宋" w:hAnsi="仿宋" w:eastAsia="仿宋" w:cs="仿宋"/>
                <w:color w:val="auto"/>
                <w:highlight w:val="none"/>
              </w:rPr>
            </w:pPr>
            <w:r>
              <w:rPr>
                <w:rFonts w:hint="eastAsia" w:ascii="仿宋" w:hAnsi="仿宋" w:eastAsia="仿宋" w:cs="仿宋"/>
                <w:color w:val="auto"/>
                <w:kern w:val="2"/>
                <w:highlight w:val="none"/>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5286C26">
            <w:pPr>
              <w:pStyle w:val="29"/>
              <w:shd w:val="clear"/>
              <w:adjustRightInd w:val="0"/>
              <w:snapToGrid w:val="0"/>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7650" w:type="dxa"/>
            <w:shd w:val="clear" w:color="auto" w:fill="auto"/>
            <w:vAlign w:val="center"/>
          </w:tcPr>
          <w:p w14:paraId="758A5307">
            <w:pPr>
              <w:pStyle w:val="16"/>
              <w:shd w:val="clear"/>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4"/>
                <w:sz w:val="24"/>
                <w:szCs w:val="21"/>
                <w:highlight w:val="none"/>
              </w:rPr>
              <w:t>信用信息查询的时间：</w:t>
            </w:r>
            <w:r>
              <w:rPr>
                <w:rFonts w:hint="eastAsia" w:ascii="仿宋" w:hAnsi="仿宋" w:eastAsia="仿宋" w:cs="仿宋"/>
                <w:color w:val="auto"/>
                <w:kern w:val="24"/>
                <w:sz w:val="24"/>
                <w:szCs w:val="21"/>
                <w:highlight w:val="none"/>
                <w:lang w:val="en-US" w:eastAsia="zh-CN"/>
              </w:rPr>
              <w:t>本项目</w:t>
            </w:r>
            <w:r>
              <w:rPr>
                <w:rFonts w:hint="eastAsia" w:ascii="仿宋" w:hAnsi="仿宋" w:eastAsia="仿宋" w:cs="仿宋"/>
                <w:color w:val="auto"/>
                <w:kern w:val="24"/>
                <w:sz w:val="24"/>
                <w:szCs w:val="21"/>
                <w:highlight w:val="none"/>
              </w:rPr>
              <w:t>资格审查</w:t>
            </w:r>
            <w:r>
              <w:rPr>
                <w:rFonts w:hint="eastAsia" w:ascii="仿宋" w:hAnsi="仿宋" w:eastAsia="仿宋" w:cs="仿宋"/>
                <w:color w:val="auto"/>
                <w:kern w:val="24"/>
                <w:sz w:val="24"/>
                <w:szCs w:val="21"/>
                <w:highlight w:val="none"/>
                <w:lang w:val="en-US" w:eastAsia="zh-CN"/>
              </w:rPr>
              <w:t>时</w:t>
            </w:r>
            <w:r>
              <w:rPr>
                <w:rFonts w:hint="eastAsia" w:ascii="仿宋" w:hAnsi="仿宋" w:eastAsia="仿宋" w:cs="仿宋"/>
                <w:color w:val="auto"/>
                <w:kern w:val="24"/>
                <w:sz w:val="24"/>
                <w:szCs w:val="21"/>
                <w:highlight w:val="none"/>
              </w:rPr>
              <w:t>。</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60B4F81">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7650" w:type="dxa"/>
            <w:vAlign w:val="center"/>
          </w:tcPr>
          <w:p w14:paraId="5D7537C0">
            <w:pPr>
              <w:pStyle w:val="16"/>
              <w:shd w:val="clear"/>
              <w:spacing w:line="360" w:lineRule="auto"/>
              <w:rPr>
                <w:rFonts w:hint="eastAsia" w:ascii="仿宋" w:hAnsi="仿宋" w:eastAsia="仿宋" w:cs="仿宋"/>
                <w:color w:val="auto"/>
                <w:kern w:val="2"/>
                <w:highlight w:val="none"/>
              </w:rPr>
            </w:pPr>
            <w:r>
              <w:rPr>
                <w:rFonts w:hint="eastAsia" w:ascii="仿宋" w:hAnsi="仿宋" w:eastAsia="仿宋" w:cs="仿宋"/>
                <w:color w:val="auto"/>
                <w:kern w:val="2"/>
                <w:highlight w:val="none"/>
              </w:rPr>
              <w:t>是否允许采购进口产品：</w:t>
            </w:r>
            <w:r>
              <w:rPr>
                <w:rFonts w:hint="eastAsia" w:ascii="仿宋" w:hAnsi="仿宋" w:eastAsia="仿宋" w:cs="仿宋"/>
                <w:color w:val="auto"/>
                <w:kern w:val="2"/>
                <w:highlight w:val="none"/>
                <w:u w:val="single"/>
              </w:rPr>
              <w:t>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EEABDA">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7650" w:type="dxa"/>
            <w:vAlign w:val="center"/>
          </w:tcPr>
          <w:p w14:paraId="4C6650DE">
            <w:pPr>
              <w:pStyle w:val="16"/>
              <w:shd w:val="clear"/>
              <w:spacing w:line="360" w:lineRule="auto"/>
              <w:rPr>
                <w:rFonts w:hint="eastAsia" w:ascii="仿宋" w:hAnsi="仿宋" w:eastAsia="仿宋" w:cs="仿宋"/>
                <w:color w:val="auto"/>
                <w:kern w:val="2"/>
                <w:highlight w:val="none"/>
              </w:rPr>
            </w:pPr>
            <w:r>
              <w:rPr>
                <w:rFonts w:hint="eastAsia" w:ascii="仿宋" w:hAnsi="仿宋" w:eastAsia="仿宋" w:cs="仿宋"/>
                <w:color w:val="auto"/>
                <w:kern w:val="2"/>
                <w:highlight w:val="none"/>
              </w:rPr>
              <w:t>是否允许联合体磋商：</w:t>
            </w:r>
            <w:r>
              <w:rPr>
                <w:rFonts w:hint="eastAsia" w:ascii="仿宋" w:hAnsi="仿宋" w:eastAsia="仿宋" w:cs="仿宋"/>
                <w:color w:val="auto"/>
                <w:kern w:val="2"/>
                <w:highlight w:val="none"/>
                <w:u w:val="single"/>
              </w:rPr>
              <w:t>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2DACB1F2">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7650" w:type="dxa"/>
            <w:vAlign w:val="center"/>
          </w:tcPr>
          <w:p w14:paraId="1DA79620">
            <w:pPr>
              <w:pStyle w:val="16"/>
              <w:shd w:val="clear"/>
              <w:spacing w:line="360" w:lineRule="auto"/>
              <w:rPr>
                <w:rFonts w:hint="eastAsia" w:ascii="仿宋" w:hAnsi="仿宋" w:eastAsia="仿宋" w:cs="仿宋"/>
                <w:color w:val="auto"/>
                <w:kern w:val="2"/>
                <w:highlight w:val="none"/>
              </w:rPr>
            </w:pPr>
            <w:r>
              <w:rPr>
                <w:rFonts w:hint="eastAsia" w:ascii="仿宋" w:hAnsi="仿宋" w:eastAsia="仿宋" w:cs="仿宋"/>
                <w:color w:val="auto"/>
                <w:highlight w:val="none"/>
              </w:rPr>
              <w:t>是否为专门面向</w:t>
            </w:r>
            <w:r>
              <w:rPr>
                <w:rFonts w:hint="eastAsia" w:ascii="仿宋" w:hAnsi="仿宋" w:eastAsia="仿宋" w:cs="仿宋"/>
                <w:color w:val="auto"/>
                <w:highlight w:val="none"/>
                <w:lang w:val="en-US" w:eastAsia="zh-CN"/>
              </w:rPr>
              <w:t>小微</w:t>
            </w:r>
            <w:bookmarkStart w:id="545" w:name="_GoBack"/>
            <w:bookmarkEnd w:id="545"/>
            <w:r>
              <w:rPr>
                <w:rFonts w:hint="eastAsia" w:ascii="仿宋" w:hAnsi="仿宋" w:eastAsia="仿宋" w:cs="仿宋"/>
                <w:color w:val="auto"/>
                <w:highlight w:val="none"/>
              </w:rPr>
              <w:t>企业采购：</w:t>
            </w:r>
            <w:r>
              <w:rPr>
                <w:rFonts w:hint="eastAsia" w:ascii="仿宋" w:hAnsi="仿宋" w:eastAsia="仿宋" w:cs="仿宋"/>
                <w:color w:val="auto"/>
                <w:highlight w:val="none"/>
                <w:u w:val="single"/>
              </w:rPr>
              <w:t>是</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7CF5B783">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7650" w:type="dxa"/>
            <w:vAlign w:val="center"/>
          </w:tcPr>
          <w:p w14:paraId="358F5776">
            <w:pPr>
              <w:shd w:val="clear"/>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服务响应报价为提供磋商文件要求服务的所有费用，包括：</w:t>
            </w:r>
            <w:r>
              <w:rPr>
                <w:rFonts w:hint="eastAsia" w:eastAsia="仿宋_GB2312"/>
                <w:color w:val="auto"/>
                <w:sz w:val="24"/>
                <w:highlight w:val="none"/>
                <w:lang w:val="en-US" w:eastAsia="zh-CN"/>
              </w:rPr>
              <w:t>本</w:t>
            </w:r>
            <w:r>
              <w:rPr>
                <w:rFonts w:eastAsia="仿宋_GB2312"/>
                <w:color w:val="auto"/>
                <w:sz w:val="24"/>
                <w:highlight w:val="none"/>
                <w:lang w:val="zh-CN"/>
              </w:rPr>
              <w:t>项目招标范围内的全部</w:t>
            </w:r>
            <w:r>
              <w:rPr>
                <w:rFonts w:hint="eastAsia" w:eastAsia="仿宋_GB2312"/>
                <w:color w:val="auto"/>
                <w:sz w:val="24"/>
                <w:highlight w:val="none"/>
                <w:lang w:val="en-US" w:eastAsia="zh-CN"/>
              </w:rPr>
              <w:t>施工</w:t>
            </w:r>
            <w:r>
              <w:rPr>
                <w:rFonts w:eastAsia="仿宋_GB2312"/>
                <w:color w:val="auto"/>
                <w:sz w:val="24"/>
                <w:highlight w:val="none"/>
                <w:lang w:val="zh-CN"/>
              </w:rPr>
              <w:t>内容</w:t>
            </w:r>
            <w:r>
              <w:rPr>
                <w:rFonts w:hint="eastAsia" w:eastAsia="仿宋_GB2312"/>
                <w:color w:val="auto"/>
                <w:sz w:val="24"/>
                <w:highlight w:val="none"/>
                <w:lang w:val="zh-CN"/>
              </w:rPr>
              <w:t>，</w:t>
            </w:r>
            <w:r>
              <w:rPr>
                <w:rFonts w:eastAsia="仿宋_GB2312"/>
                <w:color w:val="auto"/>
                <w:sz w:val="24"/>
                <w:highlight w:val="none"/>
                <w:lang w:val="zh-CN"/>
              </w:rPr>
              <w:t>材料费、材料二次倒运费、施工设备使用费、劳务费、管理费</w:t>
            </w:r>
            <w:r>
              <w:rPr>
                <w:rFonts w:hint="eastAsia" w:eastAsia="仿宋_GB2312"/>
                <w:color w:val="auto"/>
                <w:sz w:val="24"/>
                <w:highlight w:val="none"/>
                <w:lang w:val="zh-CN"/>
              </w:rPr>
              <w:t>、</w:t>
            </w:r>
            <w:r>
              <w:rPr>
                <w:rFonts w:hint="eastAsia" w:ascii="仿宋" w:hAnsi="仿宋" w:eastAsia="仿宋" w:cs="仿宋"/>
                <w:color w:val="auto"/>
                <w:sz w:val="24"/>
                <w:highlight w:val="none"/>
              </w:rPr>
              <w:t>产品供货、安装调试、验收、培训售后服务、以及增值税等税费、运杂保险费等）。</w:t>
            </w:r>
          </w:p>
          <w:p w14:paraId="4C6471F7">
            <w:pPr>
              <w:pStyle w:val="29"/>
              <w:shd w:val="clear"/>
              <w:adjustRightInd w:val="0"/>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（1）报价货币：人民币；</w:t>
            </w:r>
          </w:p>
          <w:p w14:paraId="5939D26A">
            <w:pPr>
              <w:pStyle w:val="29"/>
              <w:shd w:val="clear"/>
              <w:adjustRightInd w:val="0"/>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80" w:type="dxa"/>
            <w:vAlign w:val="center"/>
          </w:tcPr>
          <w:p w14:paraId="3EC1F8C6">
            <w:pPr>
              <w:pStyle w:val="29"/>
              <w:shd w:val="clear"/>
              <w:adjustRightInd w:val="0"/>
              <w:snapToGrid w:val="0"/>
              <w:spacing w:line="240" w:lineRule="auto"/>
              <w:ind w:firstLine="240" w:firstLineChars="1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7650" w:type="dxa"/>
            <w:vAlign w:val="center"/>
          </w:tcPr>
          <w:p w14:paraId="03CC100B">
            <w:pPr>
              <w:pStyle w:val="29"/>
              <w:shd w:val="clear"/>
              <w:adjustRightInd w:val="0"/>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本项目不收取投标保证金</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0351674">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p>
        </w:tc>
        <w:tc>
          <w:tcPr>
            <w:tcW w:w="7650" w:type="dxa"/>
            <w:vAlign w:val="center"/>
          </w:tcPr>
          <w:p w14:paraId="0EBACA45">
            <w:pPr>
              <w:pStyle w:val="29"/>
              <w:shd w:val="clear"/>
              <w:adjustRightInd w:val="0"/>
              <w:snapToGrid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磋商有效期：自响应文件递交</w:t>
            </w: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56B22EF1">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w:t>
            </w:r>
          </w:p>
        </w:tc>
        <w:tc>
          <w:tcPr>
            <w:tcW w:w="7650" w:type="dxa"/>
            <w:vAlign w:val="center"/>
          </w:tcPr>
          <w:p w14:paraId="74E1B87D">
            <w:pPr>
              <w:pStyle w:val="29"/>
              <w:shd w:val="clea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响应文件的份数：</w:t>
            </w:r>
            <w:r>
              <w:rPr>
                <w:rFonts w:hint="eastAsia" w:ascii="仿宋" w:hAnsi="仿宋" w:eastAsia="仿宋" w:cs="仿宋"/>
                <w:color w:val="auto"/>
                <w:sz w:val="24"/>
                <w:szCs w:val="24"/>
                <w:highlight w:val="none"/>
                <w:lang w:val="en-US" w:eastAsia="zh-CN"/>
              </w:rPr>
              <w:t>响应文件电子文档壹份（交易平台上传），于响应文件递交截止时间前上传，逾期系统不予接收。</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6E94E5B9">
            <w:pPr>
              <w:pStyle w:val="29"/>
              <w:shd w:val="clear"/>
              <w:adjustRightInd w:val="0"/>
              <w:snapToGrid w:val="0"/>
              <w:spacing w:line="24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17.</w:t>
            </w:r>
            <w:r>
              <w:rPr>
                <w:rFonts w:hint="eastAsia" w:ascii="仿宋" w:hAnsi="仿宋" w:eastAsia="仿宋" w:cs="仿宋"/>
                <w:color w:val="auto"/>
                <w:sz w:val="24"/>
                <w:szCs w:val="24"/>
                <w:highlight w:val="none"/>
                <w:lang w:val="en-US" w:eastAsia="zh-CN"/>
              </w:rPr>
              <w:t>2</w:t>
            </w:r>
          </w:p>
        </w:tc>
        <w:tc>
          <w:tcPr>
            <w:tcW w:w="7650" w:type="dxa"/>
            <w:vAlign w:val="center"/>
          </w:tcPr>
          <w:p w14:paraId="361FC6FF">
            <w:pPr>
              <w:pStyle w:val="29"/>
              <w:shd w:val="clear"/>
              <w:adjustRightInd w:val="0"/>
              <w:snapToGrid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本项目不要求提交样品。</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3F302A61">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7650" w:type="dxa"/>
            <w:vAlign w:val="center"/>
          </w:tcPr>
          <w:p w14:paraId="5390D230">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响应文件递交截止时间：</w:t>
            </w:r>
            <w:r>
              <w:rPr>
                <w:rFonts w:hint="eastAsia" w:ascii="仿宋" w:hAnsi="仿宋" w:eastAsia="仿宋" w:cs="仿宋"/>
                <w:i w:val="0"/>
                <w:iCs w:val="0"/>
                <w:caps w:val="0"/>
                <w:color w:val="333333"/>
                <w:spacing w:val="0"/>
                <w:sz w:val="24"/>
                <w:szCs w:val="24"/>
                <w:shd w:val="clear" w:fill="FFFFFF"/>
                <w:vertAlign w:val="baseline"/>
              </w:rPr>
              <w:t>2026年</w:t>
            </w:r>
            <w:r>
              <w:rPr>
                <w:rFonts w:hint="eastAsia" w:ascii="仿宋" w:hAnsi="仿宋" w:eastAsia="仿宋" w:cs="仿宋"/>
                <w:i w:val="0"/>
                <w:iCs w:val="0"/>
                <w:caps w:val="0"/>
                <w:color w:val="333333"/>
                <w:spacing w:val="0"/>
                <w:sz w:val="24"/>
                <w:szCs w:val="24"/>
                <w:shd w:val="clear" w:fill="FFFFFF"/>
                <w:vertAlign w:val="baseline"/>
                <w:lang w:val="en-US" w:eastAsia="zh-CN"/>
              </w:rPr>
              <w:t>09</w:t>
            </w:r>
            <w:r>
              <w:rPr>
                <w:rFonts w:hint="eastAsia" w:ascii="仿宋" w:hAnsi="仿宋" w:eastAsia="仿宋" w:cs="仿宋"/>
                <w:i w:val="0"/>
                <w:iCs w:val="0"/>
                <w:caps w:val="0"/>
                <w:color w:val="333333"/>
                <w:spacing w:val="0"/>
                <w:sz w:val="24"/>
                <w:szCs w:val="24"/>
                <w:shd w:val="clear" w:fill="FFFFFF"/>
                <w:vertAlign w:val="baseline"/>
              </w:rPr>
              <w:t>月</w:t>
            </w:r>
            <w:r>
              <w:rPr>
                <w:rFonts w:hint="eastAsia" w:ascii="仿宋" w:hAnsi="仿宋" w:eastAsia="仿宋" w:cs="仿宋"/>
                <w:i w:val="0"/>
                <w:iCs w:val="0"/>
                <w:caps w:val="0"/>
                <w:color w:val="333333"/>
                <w:spacing w:val="0"/>
                <w:sz w:val="24"/>
                <w:szCs w:val="24"/>
                <w:shd w:val="clear" w:fill="FFFFFF"/>
                <w:vertAlign w:val="baseline"/>
                <w:lang w:val="en-US" w:eastAsia="zh-CN"/>
              </w:rPr>
              <w:t>08</w:t>
            </w:r>
            <w:r>
              <w:rPr>
                <w:rFonts w:hint="eastAsia" w:ascii="仿宋" w:hAnsi="仿宋" w:eastAsia="仿宋" w:cs="仿宋"/>
                <w:i w:val="0"/>
                <w:iCs w:val="0"/>
                <w:caps w:val="0"/>
                <w:color w:val="333333"/>
                <w:spacing w:val="0"/>
                <w:sz w:val="24"/>
                <w:szCs w:val="24"/>
                <w:shd w:val="clear" w:fill="FFFFFF"/>
                <w:vertAlign w:val="baseline"/>
              </w:rPr>
              <w:t>日 14时00分00秒</w:t>
            </w:r>
            <w:r>
              <w:rPr>
                <w:rFonts w:hint="eastAsia" w:ascii="仿宋" w:hAnsi="仿宋" w:eastAsia="仿宋" w:cs="仿宋"/>
                <w:color w:val="auto"/>
                <w:sz w:val="24"/>
                <w:highlight w:val="none"/>
              </w:rPr>
              <w:t>（北京时间）。</w:t>
            </w:r>
          </w:p>
          <w:p w14:paraId="025C1D5F">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响应文件递交地点：全国公共资源交易平台（陕西省·安康市）（上传电子响应文件）。</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9"/>
              <w:shd w:val="clear"/>
              <w:adjustRightInd w:val="0"/>
              <w:snapToGrid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7650" w:type="dxa"/>
            <w:vAlign w:val="center"/>
          </w:tcPr>
          <w:p w14:paraId="78E931E7">
            <w:pPr>
              <w:shd w:val="clea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磋商小组由</w:t>
            </w:r>
            <w:r>
              <w:rPr>
                <w:rFonts w:hint="eastAsia" w:ascii="仿宋" w:hAnsi="仿宋" w:eastAsia="仿宋" w:cs="仿宋"/>
                <w:b/>
                <w:bCs/>
                <w:color w:val="auto"/>
                <w:sz w:val="24"/>
                <w:highlight w:val="none"/>
                <w:u w:val="single"/>
                <w:lang w:val="en-US" w:eastAsia="zh-CN"/>
              </w:rPr>
              <w:t>3</w:t>
            </w:r>
            <w:r>
              <w:rPr>
                <w:rFonts w:hint="eastAsia" w:ascii="仿宋" w:hAnsi="仿宋" w:eastAsia="仿宋" w:cs="仿宋"/>
                <w:color w:val="auto"/>
                <w:sz w:val="24"/>
                <w:highlight w:val="none"/>
              </w:rPr>
              <w:t>人组成，其中评审专家</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rPr>
              <w:t>人，采购人代表</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rPr>
              <w:t>人。</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080" w:type="dxa"/>
            <w:vAlign w:val="center"/>
          </w:tcPr>
          <w:p w14:paraId="63F79691">
            <w:pPr>
              <w:pStyle w:val="29"/>
              <w:adjustRightInd w:val="0"/>
              <w:snapToGrid w:val="0"/>
              <w:spacing w:line="240" w:lineRule="auto"/>
              <w:jc w:val="center"/>
              <w:rPr>
                <w:rFonts w:hint="eastAsia" w:ascii="仿宋" w:hAnsi="仿宋" w:eastAsia="仿宋" w:cs="仿宋"/>
                <w:color w:val="auto"/>
                <w:sz w:val="24"/>
                <w:szCs w:val="24"/>
                <w:highlight w:val="none"/>
                <w:lang w:val="en-US" w:eastAsia="zh-CN"/>
              </w:rPr>
            </w:pPr>
            <w:r>
              <w:rPr>
                <w:rFonts w:hint="default" w:ascii="Times New Roman" w:hAnsi="Times New Roman" w:eastAsia="仿宋_GB2312" w:cs="Times New Roman"/>
                <w:sz w:val="24"/>
                <w:szCs w:val="24"/>
                <w:highlight w:val="none"/>
                <w:lang w:val="en-US" w:eastAsia="zh-CN"/>
              </w:rPr>
              <w:t>23.2.2</w:t>
            </w:r>
          </w:p>
        </w:tc>
        <w:tc>
          <w:tcPr>
            <w:tcW w:w="7650" w:type="dxa"/>
            <w:vAlign w:val="center"/>
          </w:tcPr>
          <w:p w14:paraId="01C7C0B5">
            <w:pPr>
              <w:numPr>
                <w:ilvl w:val="0"/>
                <w:numId w:val="5"/>
              </w:numPr>
              <w:spacing w:line="360" w:lineRule="auto"/>
              <w:rPr>
                <w:rFonts w:hint="eastAsia" w:ascii="Times New Roman" w:hAnsi="Times New Roman" w:eastAsia="仿宋_GB2312" w:cs="Times New Roman"/>
                <w:sz w:val="24"/>
                <w:highlight w:val="none"/>
                <w:u w:val="single"/>
                <w:lang w:val="en-US" w:eastAsia="zh-CN"/>
              </w:rPr>
            </w:pPr>
            <w:r>
              <w:rPr>
                <w:rFonts w:hint="default" w:ascii="Times New Roman" w:hAnsi="Times New Roman" w:eastAsia="仿宋_GB2312" w:cs="Times New Roman"/>
                <w:sz w:val="24"/>
                <w:highlight w:val="none"/>
                <w:u w:val="none"/>
                <w:lang w:val="en-US" w:eastAsia="zh-CN"/>
              </w:rPr>
              <w:t>本项目涉及的政府强制采购产品：</w:t>
            </w:r>
            <w:r>
              <w:rPr>
                <w:rFonts w:hint="eastAsia" w:ascii="Times New Roman" w:hAnsi="Times New Roman" w:eastAsia="仿宋_GB2312" w:cs="Times New Roman"/>
                <w:sz w:val="24"/>
                <w:highlight w:val="none"/>
                <w:u w:val="none"/>
                <w:lang w:val="en-US" w:eastAsia="zh-CN"/>
              </w:rPr>
              <w:t>/</w:t>
            </w:r>
          </w:p>
          <w:p w14:paraId="0B3E11C0">
            <w:pPr>
              <w:numPr>
                <w:ilvl w:val="0"/>
                <w:numId w:val="0"/>
              </w:numPr>
              <w:spacing w:line="360" w:lineRule="auto"/>
              <w:rPr>
                <w:rFonts w:hint="default" w:ascii="Times New Roman" w:hAnsi="Times New Roman" w:eastAsia="仿宋_GB2312" w:cs="Times New Roman"/>
                <w:sz w:val="24"/>
                <w:highlight w:val="none"/>
                <w:u w:val="none"/>
                <w:lang w:val="en-US" w:eastAsia="zh-CN"/>
              </w:rPr>
            </w:pPr>
            <w:r>
              <w:rPr>
                <w:rFonts w:hint="default" w:ascii="Times New Roman" w:hAnsi="Times New Roman" w:eastAsia="仿宋_GB2312" w:cs="Times New Roman"/>
                <w:sz w:val="24"/>
                <w:highlight w:val="none"/>
                <w:u w:val="none"/>
                <w:lang w:val="en-US" w:eastAsia="zh-CN"/>
              </w:rPr>
              <w:t xml:space="preserve">（13）本项目涉及的网络关键设备和网络安全专用产品： </w:t>
            </w:r>
            <w:r>
              <w:rPr>
                <w:rFonts w:hint="eastAsia" w:ascii="Times New Roman" w:hAnsi="Times New Roman" w:eastAsia="仿宋_GB2312" w:cs="Times New Roman"/>
                <w:sz w:val="24"/>
                <w:highlight w:val="none"/>
                <w:u w:val="none"/>
                <w:lang w:val="en-US" w:eastAsia="zh-CN"/>
              </w:rPr>
              <w:t>/</w:t>
            </w:r>
          </w:p>
          <w:p w14:paraId="4AC02FA2">
            <w:pPr>
              <w:spacing w:line="360" w:lineRule="auto"/>
              <w:rPr>
                <w:rFonts w:hint="default" w:ascii="Times New Roman" w:hAnsi="Times New Roman" w:eastAsia="仿宋_GB2312" w:cs="Times New Roman"/>
                <w:sz w:val="24"/>
                <w:highlight w:val="none"/>
                <w:u w:val="none"/>
                <w:lang w:val="en-US" w:eastAsia="zh-CN"/>
              </w:rPr>
            </w:pPr>
            <w:r>
              <w:rPr>
                <w:rFonts w:hint="default" w:ascii="Times New Roman" w:hAnsi="Times New Roman" w:eastAsia="仿宋_GB2312" w:cs="Times New Roman"/>
                <w:sz w:val="24"/>
                <w:highlight w:val="none"/>
                <w:u w:val="none"/>
                <w:lang w:val="en-US" w:eastAsia="zh-CN"/>
              </w:rPr>
              <w:t>（14）支持本国产品：</w:t>
            </w:r>
          </w:p>
          <w:p w14:paraId="6BDFF3C5">
            <w:pPr>
              <w:spacing w:line="360" w:lineRule="auto"/>
              <w:rPr>
                <w:rFonts w:hint="default" w:ascii="Times New Roman" w:hAnsi="Times New Roman" w:eastAsia="仿宋_GB2312" w:cs="Times New Roman"/>
                <w:sz w:val="24"/>
                <w:highlight w:val="none"/>
                <w:u w:val="none"/>
                <w:lang w:val="en-US" w:eastAsia="zh-CN"/>
              </w:rPr>
            </w:pPr>
            <w:r>
              <w:rPr>
                <w:rFonts w:hint="eastAsia" w:eastAsia="仿宋_GB2312" w:cs="Times New Roman"/>
                <w:sz w:val="24"/>
                <w:highlight w:val="none"/>
                <w:u w:val="none"/>
                <w:lang w:val="en-US" w:eastAsia="zh-CN"/>
              </w:rPr>
              <w:t>□</w:t>
            </w:r>
            <w:r>
              <w:rPr>
                <w:rFonts w:hint="default" w:ascii="Times New Roman" w:hAnsi="Times New Roman" w:eastAsia="仿宋_GB2312" w:cs="Times New Roman"/>
                <w:sz w:val="24"/>
                <w:highlight w:val="none"/>
                <w:u w:val="none"/>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E5C990">
            <w:pPr>
              <w:spacing w:line="360" w:lineRule="auto"/>
              <w:rPr>
                <w:rFonts w:hint="eastAsia" w:ascii="仿宋" w:hAnsi="仿宋" w:eastAsia="仿宋" w:cs="仿宋"/>
                <w:color w:val="auto"/>
                <w:sz w:val="24"/>
                <w:highlight w:val="none"/>
              </w:rPr>
            </w:pPr>
            <w:r>
              <w:rPr>
                <w:rFonts w:hint="eastAsia" w:eastAsia="仿宋_GB2312" w:cs="Times New Roman"/>
                <w:sz w:val="24"/>
                <w:highlight w:val="none"/>
                <w:u w:val="none"/>
                <w:lang w:val="en-US" w:eastAsia="zh-CN"/>
              </w:rPr>
              <w:t>☑</w:t>
            </w:r>
            <w:r>
              <w:rPr>
                <w:rFonts w:hint="default" w:ascii="Times New Roman" w:hAnsi="Times New Roman" w:eastAsia="仿宋_GB2312" w:cs="Times New Roman"/>
                <w:sz w:val="24"/>
                <w:highlight w:val="none"/>
                <w:u w:val="none"/>
                <w:lang w:val="en-US" w:eastAsia="zh-CN"/>
              </w:rPr>
              <w:t>不适用</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0F052798">
            <w:pPr>
              <w:shd w:val="clea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28.1</w:t>
            </w:r>
          </w:p>
        </w:tc>
        <w:tc>
          <w:tcPr>
            <w:tcW w:w="7650" w:type="dxa"/>
            <w:vAlign w:val="center"/>
          </w:tcPr>
          <w:p w14:paraId="2FCFE801">
            <w:pPr>
              <w:shd w:val="clear"/>
              <w:jc w:val="left"/>
              <w:rPr>
                <w:rFonts w:hint="eastAsia" w:ascii="仿宋" w:hAnsi="仿宋" w:eastAsia="仿宋" w:cs="仿宋"/>
                <w:color w:val="auto"/>
                <w:highlight w:val="none"/>
              </w:rPr>
            </w:pPr>
            <w:r>
              <w:rPr>
                <w:rFonts w:hint="eastAsia" w:ascii="仿宋" w:hAnsi="仿宋" w:eastAsia="仿宋" w:cs="仿宋"/>
                <w:color w:val="auto"/>
                <w:sz w:val="24"/>
                <w:highlight w:val="none"/>
              </w:rPr>
              <w:t>本项目不要求履约保证金。</w:t>
            </w:r>
          </w:p>
        </w:tc>
      </w:tr>
      <w:tr w14:paraId="20D22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730" w:type="dxa"/>
            <w:gridSpan w:val="2"/>
            <w:shd w:val="clear" w:color="auto" w:fill="auto"/>
            <w:vAlign w:val="center"/>
          </w:tcPr>
          <w:p w14:paraId="646F66C9">
            <w:pPr>
              <w:shd w:val="clear" w:color="auto"/>
              <w:spacing w:line="360" w:lineRule="auto"/>
              <w:rPr>
                <w:rFonts w:hint="eastAsia" w:ascii="仿宋" w:hAnsi="仿宋" w:eastAsia="仿宋" w:cs="仿宋"/>
                <w:color w:val="auto"/>
                <w:kern w:val="2"/>
                <w:sz w:val="24"/>
                <w:szCs w:val="24"/>
                <w:highlight w:val="none"/>
                <w:lang w:val="en-US" w:eastAsia="zh-CN" w:bidi="ar-SA"/>
              </w:rPr>
            </w:pPr>
            <w:bookmarkStart w:id="75" w:name="_Toc184043013"/>
            <w:bookmarkStart w:id="76" w:name="_Toc230099798"/>
            <w:bookmarkStart w:id="77" w:name="_Toc176882543"/>
            <w:bookmarkStart w:id="78" w:name="_Toc230013633"/>
            <w:bookmarkStart w:id="79" w:name="_Toc53722841"/>
            <w:bookmarkStart w:id="80" w:name="_Toc177817335"/>
            <w:bookmarkStart w:id="81" w:name="_Toc177189236"/>
            <w:bookmarkStart w:id="82" w:name="_Toc232176273"/>
            <w:bookmarkStart w:id="83" w:name="_Toc177995474"/>
            <w:bookmarkStart w:id="84" w:name="_Toc70687140"/>
            <w:bookmarkStart w:id="85" w:name="_Toc249515279"/>
            <w:bookmarkStart w:id="86" w:name="_Toc232395213"/>
            <w:bookmarkStart w:id="87" w:name="_Toc256342144"/>
            <w:bookmarkStart w:id="88" w:name="_Toc249525160"/>
            <w:bookmarkStart w:id="89" w:name="_Toc249515391"/>
            <w:bookmarkStart w:id="90" w:name="_Toc230583542"/>
            <w:r>
              <w:rPr>
                <w:rFonts w:hint="eastAsia" w:ascii="仿宋" w:hAnsi="仿宋" w:eastAsia="仿宋" w:cs="仿宋"/>
                <w:color w:val="auto"/>
                <w:sz w:val="24"/>
                <w:highlight w:val="none"/>
              </w:rPr>
              <w:t>适用于本投标人须知的额外增加的变动：</w:t>
            </w:r>
          </w:p>
        </w:tc>
      </w:tr>
      <w:tr w14:paraId="040E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shd w:val="clear" w:color="auto" w:fill="auto"/>
            <w:vAlign w:val="center"/>
          </w:tcPr>
          <w:p w14:paraId="458733BC">
            <w:pPr>
              <w:shd w:val="clear" w:color="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1</w:t>
            </w:r>
          </w:p>
        </w:tc>
        <w:tc>
          <w:tcPr>
            <w:tcW w:w="7650" w:type="dxa"/>
            <w:shd w:val="clear" w:color="auto" w:fill="auto"/>
            <w:vAlign w:val="center"/>
          </w:tcPr>
          <w:p w14:paraId="752D04B2">
            <w:pPr>
              <w:shd w:val="clear" w:color="auto"/>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根据本项目特点，</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应提交的其他资格证明文件（特定资格条件）为：详见</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公告的特定资格条件要求。</w:t>
            </w:r>
          </w:p>
        </w:tc>
      </w:tr>
      <w:tr w14:paraId="7F4F3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shd w:val="clear" w:color="auto" w:fill="auto"/>
            <w:vAlign w:val="center"/>
          </w:tcPr>
          <w:p w14:paraId="463AD8EF">
            <w:pPr>
              <w:shd w:val="clear" w:color="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w:t>
            </w:r>
          </w:p>
        </w:tc>
        <w:tc>
          <w:tcPr>
            <w:tcW w:w="7650" w:type="dxa"/>
            <w:shd w:val="clear" w:color="auto" w:fill="auto"/>
            <w:vAlign w:val="center"/>
          </w:tcPr>
          <w:p w14:paraId="44B67B29">
            <w:pPr>
              <w:shd w:val="clear" w:color="auto"/>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特别注意事项:</w:t>
            </w:r>
          </w:p>
          <w:p w14:paraId="20C8D9E5">
            <w:pPr>
              <w:shd w:val="clear" w:color="auto"/>
              <w:snapToGrid w:val="0"/>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1、本项目采用不见面开标系统：电子化投标方式投标，投标人须使用数字认证证书（CA锁）对电子投标文件进行签章、加密、递交及开标时签到、解密等相关招投标事宜。开标时投标人须</w:t>
            </w:r>
            <w:r>
              <w:rPr>
                <w:rFonts w:hint="eastAsia" w:ascii="仿宋" w:hAnsi="仿宋" w:eastAsia="仿宋" w:cs="仿宋"/>
                <w:b/>
                <w:color w:val="auto"/>
                <w:sz w:val="24"/>
                <w:highlight w:val="none"/>
                <w:lang w:val="zh-CN" w:bidi="ar"/>
              </w:rPr>
              <w:t>使用数字认证证书（CA锁）自行解密电子磋商响应文件</w:t>
            </w:r>
            <w:r>
              <w:rPr>
                <w:rFonts w:hint="eastAsia" w:ascii="仿宋" w:hAnsi="仿宋" w:eastAsia="仿宋" w:cs="宋体"/>
                <w:b/>
                <w:color w:val="auto"/>
                <w:sz w:val="24"/>
                <w:highlight w:val="none"/>
              </w:rPr>
              <w:t>，如因投标人自身原因未正确使用数字认证证书（CA锁）造成无法解密</w:t>
            </w:r>
            <w:r>
              <w:rPr>
                <w:rFonts w:hint="eastAsia" w:ascii="仿宋" w:hAnsi="仿宋" w:eastAsia="仿宋" w:cs="仿宋"/>
                <w:b/>
                <w:color w:val="auto"/>
                <w:sz w:val="24"/>
                <w:highlight w:val="none"/>
                <w:lang w:val="zh-CN" w:bidi="ar"/>
              </w:rPr>
              <w:t>磋商响应文件</w:t>
            </w:r>
            <w:r>
              <w:rPr>
                <w:rFonts w:hint="eastAsia" w:ascii="仿宋" w:hAnsi="仿宋" w:eastAsia="仿宋" w:cs="宋体"/>
                <w:b/>
                <w:color w:val="auto"/>
                <w:sz w:val="24"/>
                <w:highlight w:val="none"/>
              </w:rPr>
              <w:t>，按无效投标对待。</w:t>
            </w:r>
          </w:p>
          <w:p w14:paraId="3B88B093">
            <w:pPr>
              <w:shd w:val="clear" w:color="auto"/>
              <w:snapToGrid w:val="0"/>
              <w:spacing w:line="400" w:lineRule="exact"/>
              <w:jc w:val="left"/>
              <w:rPr>
                <w:rFonts w:ascii="仿宋" w:hAnsi="仿宋" w:eastAsia="仿宋" w:cs="宋体"/>
                <w:b/>
                <w:color w:val="auto"/>
                <w:sz w:val="24"/>
                <w:highlight w:val="none"/>
              </w:rPr>
            </w:pPr>
            <w:r>
              <w:rPr>
                <w:rFonts w:hint="eastAsia" w:ascii="仿宋" w:hAnsi="仿宋" w:eastAsia="仿宋" w:cs="宋体"/>
                <w:b/>
                <w:color w:val="auto"/>
                <w:sz w:val="24"/>
                <w:highlight w:val="none"/>
              </w:rPr>
              <w:t>2、制作电子</w:t>
            </w:r>
            <w:r>
              <w:rPr>
                <w:rFonts w:hint="eastAsia" w:ascii="仿宋" w:hAnsi="仿宋" w:eastAsia="仿宋" w:cs="仿宋"/>
                <w:b/>
                <w:color w:val="auto"/>
                <w:sz w:val="24"/>
                <w:highlight w:val="none"/>
                <w:lang w:val="zh-CN" w:bidi="ar"/>
              </w:rPr>
              <w:t>磋商响应文件</w:t>
            </w:r>
            <w:r>
              <w:rPr>
                <w:rFonts w:hint="eastAsia" w:ascii="仿宋" w:hAnsi="仿宋" w:eastAsia="仿宋" w:cs="宋体"/>
                <w:b/>
                <w:color w:val="auto"/>
                <w:sz w:val="24"/>
                <w:highlight w:val="none"/>
              </w:rPr>
              <w:t>：电子磋商文件需要使用专用软件打开、浏览供应商登录全国公共资源交易平台（陕西省）网站[服务指南－下载专区]免费下载《陕西省公共资源交易平台政府采购电子标书制作工具（V8.0.0.2）》，并升级至最新版本，使用该客户端可以打开电子磋商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3B1C9706">
            <w:pPr>
              <w:shd w:val="clear" w:color="auto"/>
              <w:snapToGrid w:val="0"/>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3、递交电子</w:t>
            </w:r>
            <w:r>
              <w:rPr>
                <w:rFonts w:hint="eastAsia" w:ascii="仿宋" w:hAnsi="仿宋" w:eastAsia="仿宋" w:cs="仿宋"/>
                <w:b/>
                <w:color w:val="auto"/>
                <w:sz w:val="24"/>
                <w:highlight w:val="none"/>
                <w:lang w:val="zh-CN" w:bidi="ar"/>
              </w:rPr>
              <w:t>磋商响应文件</w:t>
            </w:r>
            <w:r>
              <w:rPr>
                <w:rFonts w:hint="eastAsia" w:ascii="仿宋" w:hAnsi="仿宋" w:eastAsia="仿宋" w:cs="宋体"/>
                <w:b/>
                <w:color w:val="auto"/>
                <w:sz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仿宋" w:hAnsi="仿宋" w:eastAsia="仿宋" w:cs="仿宋"/>
                <w:b/>
                <w:color w:val="auto"/>
                <w:sz w:val="24"/>
                <w:highlight w:val="none"/>
                <w:lang w:val="zh-CN" w:bidi="ar"/>
              </w:rPr>
              <w:t>磋商响应文件</w:t>
            </w:r>
            <w:r>
              <w:rPr>
                <w:rFonts w:hint="eastAsia" w:ascii="仿宋" w:hAnsi="仿宋" w:eastAsia="仿宋" w:cs="宋体"/>
                <w:b/>
                <w:color w:val="auto"/>
                <w:sz w:val="24"/>
                <w:highlight w:val="none"/>
              </w:rPr>
              <w:t>。上传成功后，电子化平台将予以记录。</w:t>
            </w:r>
          </w:p>
          <w:p w14:paraId="20A4AB31">
            <w:pPr>
              <w:shd w:val="clear" w:color="auto"/>
              <w:snapToGrid w:val="0"/>
              <w:spacing w:line="400" w:lineRule="exact"/>
              <w:jc w:val="left"/>
              <w:rPr>
                <w:rFonts w:ascii="仿宋" w:hAnsi="仿宋" w:eastAsia="仿宋" w:cs="宋体"/>
                <w:b/>
                <w:color w:val="auto"/>
                <w:sz w:val="24"/>
                <w:highlight w:val="none"/>
              </w:rPr>
            </w:pPr>
            <w:r>
              <w:rPr>
                <w:rFonts w:hint="eastAsia" w:ascii="仿宋" w:hAnsi="仿宋" w:eastAsia="仿宋" w:cs="宋体"/>
                <w:b/>
                <w:color w:val="auto"/>
                <w:sz w:val="24"/>
                <w:highlight w:val="none"/>
              </w:rPr>
              <w:t>4、不见面开标系统：打开登录页面网址选择点击右上角“登录”，在左侧选择“投标人”身份，登录地区选择“安康市不见面开标”插入CA锁登录，输入密码后，点击“登录”：（http://219.145.206.209/BidOpeningHall/bidopeninghallaction/hall/login），</w:t>
            </w:r>
          </w:p>
          <w:p w14:paraId="1C13C442">
            <w:pPr>
              <w:shd w:val="clear" w:color="auto"/>
              <w:snapToGrid w:val="0"/>
              <w:spacing w:line="400" w:lineRule="exact"/>
              <w:jc w:val="left"/>
              <w:rPr>
                <w:rFonts w:ascii="仿宋" w:hAnsi="仿宋" w:eastAsia="仿宋" w:cs="宋体"/>
                <w:b/>
                <w:color w:val="auto"/>
                <w:sz w:val="24"/>
                <w:highlight w:val="none"/>
              </w:rPr>
            </w:pPr>
            <w:r>
              <w:rPr>
                <w:rFonts w:hint="eastAsia" w:ascii="仿宋" w:hAnsi="仿宋" w:eastAsia="仿宋" w:cs="宋体"/>
                <w:b/>
                <w:color w:val="auto"/>
                <w:sz w:val="24"/>
                <w:highlight w:val="none"/>
              </w:rPr>
              <w:t>投标人登录之后可以看到当前投标人今日开标项目；1、选择要开标的项目，点击进入，页面首先阅读开标流程，点击“我已阅读”进入开标大厅，点击“取消”返回项目列表页面。</w:t>
            </w:r>
          </w:p>
          <w:p w14:paraId="0C3507E6">
            <w:pPr>
              <w:shd w:val="clear" w:color="auto"/>
              <w:snapToGrid w:val="0"/>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5、开标签到</w:t>
            </w:r>
          </w:p>
          <w:p w14:paraId="23473877">
            <w:pPr>
              <w:shd w:val="clear" w:color="auto"/>
              <w:snapToGrid w:val="0"/>
              <w:spacing w:line="400" w:lineRule="exact"/>
              <w:ind w:firstLine="482" w:firstLineChars="200"/>
              <w:rPr>
                <w:rFonts w:ascii="仿宋" w:hAnsi="仿宋" w:eastAsia="仿宋" w:cs="宋体"/>
                <w:b/>
                <w:color w:val="auto"/>
                <w:sz w:val="24"/>
                <w:highlight w:val="none"/>
              </w:rPr>
            </w:pPr>
            <w:r>
              <w:rPr>
                <w:rFonts w:hint="eastAsia" w:ascii="仿宋" w:hAnsi="仿宋" w:eastAsia="仿宋" w:cs="宋体"/>
                <w:b/>
                <w:color w:val="auto"/>
                <w:sz w:val="24"/>
                <w:highlight w:val="none"/>
              </w:rPr>
              <w:t>投标人等待开标时需要签到，等候开标。请在开标前完成签到，开标时间到了之后就不能签到；点击页面上“签到”按钮进行签到，签到成功之后，按钮灰化，无需再次签到，同时第一个座位图右下角出现绿色√。</w:t>
            </w:r>
          </w:p>
          <w:p w14:paraId="3CEE1C38">
            <w:pPr>
              <w:shd w:val="clear" w:color="auto"/>
              <w:snapToGrid w:val="0"/>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6、注意事项</w:t>
            </w:r>
          </w:p>
          <w:p w14:paraId="03E90179">
            <w:pPr>
              <w:shd w:val="clear" w:color="auto"/>
              <w:snapToGrid w:val="0"/>
              <w:spacing w:line="400" w:lineRule="exact"/>
              <w:ind w:firstLine="482" w:firstLineChars="200"/>
              <w:jc w:val="left"/>
              <w:rPr>
                <w:rFonts w:ascii="仿宋" w:hAnsi="仿宋" w:eastAsia="仿宋" w:cs="宋体"/>
                <w:b/>
                <w:color w:val="auto"/>
                <w:sz w:val="24"/>
                <w:highlight w:val="none"/>
              </w:rPr>
            </w:pPr>
            <w:r>
              <w:rPr>
                <w:rFonts w:hint="eastAsia" w:ascii="仿宋" w:hAnsi="仿宋" w:eastAsia="仿宋" w:cs="宋体"/>
                <w:b/>
                <w:color w:val="auto"/>
                <w:sz w:val="24"/>
                <w:highlight w:val="none"/>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5B68DFB0">
            <w:pPr>
              <w:shd w:val="clear" w:color="auto"/>
              <w:snapToGrid w:val="0"/>
              <w:spacing w:line="400" w:lineRule="exact"/>
              <w:ind w:firstLine="482" w:firstLineChars="200"/>
              <w:jc w:val="left"/>
              <w:rPr>
                <w:rFonts w:ascii="仿宋" w:hAnsi="仿宋" w:eastAsia="仿宋" w:cs="宋体"/>
                <w:b/>
                <w:color w:val="auto"/>
                <w:sz w:val="24"/>
                <w:highlight w:val="none"/>
              </w:rPr>
            </w:pPr>
            <w:r>
              <w:rPr>
                <w:rFonts w:hint="eastAsia" w:ascii="仿宋" w:hAnsi="仿宋" w:eastAsia="仿宋" w:cs="宋体"/>
                <w:b/>
                <w:color w:val="auto"/>
                <w:sz w:val="24"/>
                <w:highlight w:val="none"/>
              </w:rPr>
              <w:t>（2）建议投标人在开标前半小时登录不见面开标大厅，并及时签到，遇到问题及时联系客服4009280095。</w:t>
            </w:r>
          </w:p>
          <w:p w14:paraId="53B22BE6">
            <w:pPr>
              <w:shd w:val="clear" w:color="auto"/>
              <w:snapToGrid w:val="0"/>
              <w:spacing w:line="400" w:lineRule="exact"/>
              <w:ind w:firstLine="482" w:firstLineChars="200"/>
              <w:rPr>
                <w:rFonts w:ascii="仿宋" w:hAnsi="仿宋" w:eastAsia="仿宋" w:cs="宋体"/>
                <w:b/>
                <w:color w:val="auto"/>
                <w:sz w:val="24"/>
                <w:highlight w:val="none"/>
              </w:rPr>
            </w:pPr>
            <w:r>
              <w:rPr>
                <w:rFonts w:hint="eastAsia" w:ascii="仿宋" w:hAnsi="仿宋" w:eastAsia="仿宋" w:cs="宋体"/>
                <w:b/>
                <w:color w:val="auto"/>
                <w:sz w:val="24"/>
                <w:highlight w:val="none"/>
              </w:rPr>
              <w:t>（3）投标人需注意CA锁一定要提前准备好，并确保CA锁为制作投标文件的CA锁。</w:t>
            </w:r>
          </w:p>
          <w:p w14:paraId="546F17A6">
            <w:pPr>
              <w:shd w:val="clear" w:color="auto"/>
              <w:snapToGrid w:val="0"/>
              <w:spacing w:line="400" w:lineRule="exact"/>
              <w:ind w:firstLine="482" w:firstLineChars="200"/>
              <w:rPr>
                <w:rFonts w:hint="eastAsia" w:ascii="仿宋" w:hAnsi="仿宋" w:eastAsia="仿宋" w:cs="宋体"/>
                <w:b/>
                <w:color w:val="auto"/>
                <w:kern w:val="2"/>
                <w:sz w:val="24"/>
                <w:szCs w:val="24"/>
                <w:highlight w:val="none"/>
                <w:lang w:val="en-US" w:eastAsia="zh-CN" w:bidi="ar-SA"/>
              </w:rPr>
            </w:pPr>
            <w:r>
              <w:rPr>
                <w:rFonts w:hint="eastAsia" w:ascii="仿宋" w:hAnsi="仿宋" w:eastAsia="仿宋" w:cs="宋体"/>
                <w:b/>
                <w:color w:val="auto"/>
                <w:sz w:val="24"/>
                <w:highlight w:val="none"/>
              </w:rPr>
              <w:t>（4）及时关注右侧公告及互动栏目信息。</w:t>
            </w:r>
          </w:p>
        </w:tc>
      </w:tr>
    </w:tbl>
    <w:p w14:paraId="3BC35B78">
      <w:pPr>
        <w:shd w:val="clea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450159F6">
      <w:pPr>
        <w:pStyle w:val="79"/>
        <w:shd w:val="clear"/>
        <w:spacing w:before="24" w:after="24"/>
        <w:jc w:val="center"/>
        <w:rPr>
          <w:rFonts w:hint="eastAsia" w:ascii="仿宋" w:hAnsi="仿宋" w:eastAsia="仿宋" w:cs="仿宋"/>
          <w:color w:val="auto"/>
          <w:szCs w:val="32"/>
          <w:highlight w:val="none"/>
        </w:rPr>
      </w:pPr>
      <w:bookmarkStart w:id="91" w:name="_Toc31749"/>
      <w:bookmarkStart w:id="92" w:name="_Toc29438"/>
      <w:bookmarkStart w:id="93" w:name="_Toc46"/>
      <w:bookmarkStart w:id="94" w:name="_Toc68590968"/>
      <w:r>
        <w:rPr>
          <w:rFonts w:hint="eastAsia" w:ascii="仿宋" w:hAnsi="仿宋" w:eastAsia="仿宋" w:cs="仿宋"/>
          <w:color w:val="auto"/>
          <w:szCs w:val="32"/>
          <w:highlight w:val="none"/>
        </w:rPr>
        <w:t>（二）供应商须知</w:t>
      </w:r>
      <w:bookmarkEnd w:id="91"/>
      <w:bookmarkEnd w:id="92"/>
      <w:bookmarkEnd w:id="93"/>
      <w:bookmarkEnd w:id="94"/>
    </w:p>
    <w:p w14:paraId="424F55F5">
      <w:pPr>
        <w:pStyle w:val="79"/>
        <w:shd w:val="clear"/>
        <w:spacing w:before="24" w:after="24"/>
        <w:jc w:val="center"/>
        <w:rPr>
          <w:rFonts w:hint="eastAsia" w:ascii="仿宋" w:hAnsi="仿宋" w:eastAsia="仿宋" w:cs="仿宋"/>
          <w:color w:val="auto"/>
          <w:sz w:val="30"/>
          <w:szCs w:val="30"/>
          <w:highlight w:val="none"/>
        </w:rPr>
      </w:pPr>
      <w:bookmarkStart w:id="95" w:name="_Toc32374"/>
      <w:bookmarkStart w:id="96" w:name="_Toc27055"/>
      <w:bookmarkStart w:id="97" w:name="_Toc11679"/>
      <w:bookmarkStart w:id="98" w:name="_Toc68590969"/>
      <w:r>
        <w:rPr>
          <w:rFonts w:hint="eastAsia" w:ascii="仿宋" w:hAnsi="仿宋" w:eastAsia="仿宋" w:cs="仿宋"/>
          <w:color w:val="auto"/>
          <w:sz w:val="30"/>
          <w:szCs w:val="30"/>
          <w:highlight w:val="none"/>
        </w:rPr>
        <w:t>一、总  则</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5"/>
      <w:bookmarkEnd w:id="96"/>
      <w:bookmarkEnd w:id="97"/>
      <w:bookmarkEnd w:id="98"/>
    </w:p>
    <w:p w14:paraId="255AA6AC">
      <w:pPr>
        <w:shd w:val="clear"/>
        <w:rPr>
          <w:rFonts w:hint="eastAsia" w:ascii="仿宋" w:hAnsi="仿宋" w:eastAsia="仿宋" w:cs="仿宋"/>
          <w:color w:val="auto"/>
          <w:highlight w:val="none"/>
        </w:rPr>
      </w:pPr>
    </w:p>
    <w:p w14:paraId="20CA38CC">
      <w:pPr>
        <w:pStyle w:val="7"/>
        <w:shd w:val="clear"/>
        <w:rPr>
          <w:rFonts w:hint="eastAsia" w:ascii="仿宋" w:hAnsi="仿宋" w:eastAsia="仿宋" w:cs="仿宋"/>
          <w:b/>
          <w:color w:val="auto"/>
          <w:sz w:val="24"/>
          <w:szCs w:val="21"/>
          <w:highlight w:val="none"/>
        </w:rPr>
      </w:pPr>
      <w:bookmarkStart w:id="99" w:name="_Hlt14560612"/>
      <w:bookmarkEnd w:id="99"/>
      <w:bookmarkStart w:id="100" w:name="_Toc184043014"/>
      <w:bookmarkStart w:id="101" w:name="_Toc249515392"/>
      <w:bookmarkStart w:id="102" w:name="_Toc249525161"/>
      <w:bookmarkStart w:id="103" w:name="_Toc25504"/>
      <w:bookmarkStart w:id="104" w:name="_Toc249515280"/>
      <w:r>
        <w:rPr>
          <w:rFonts w:hint="eastAsia" w:ascii="仿宋" w:hAnsi="仿宋" w:eastAsia="仿宋" w:cs="仿宋"/>
          <w:b/>
          <w:color w:val="auto"/>
          <w:sz w:val="24"/>
          <w:szCs w:val="21"/>
          <w:highlight w:val="none"/>
        </w:rPr>
        <w:t>1.     项目说明</w:t>
      </w:r>
      <w:bookmarkEnd w:id="100"/>
      <w:bookmarkEnd w:id="101"/>
      <w:bookmarkEnd w:id="102"/>
      <w:bookmarkEnd w:id="103"/>
      <w:bookmarkEnd w:id="104"/>
    </w:p>
    <w:p w14:paraId="7BB85B3D">
      <w:pPr>
        <w:pStyle w:val="65"/>
        <w:widowControl w:val="0"/>
        <w:shd w:val="clear"/>
        <w:tabs>
          <w:tab w:val="left" w:pos="588"/>
        </w:tabs>
        <w:spacing w:before="0" w:beforeAutospacing="0" w:after="0" w:afterAutospacing="0"/>
        <w:textAlignment w:val="auto"/>
        <w:rPr>
          <w:rFonts w:hint="eastAsia" w:ascii="仿宋" w:hAnsi="仿宋" w:eastAsia="仿宋" w:cs="仿宋"/>
          <w:color w:val="auto"/>
          <w:kern w:val="24"/>
          <w:szCs w:val="21"/>
          <w:highlight w:val="none"/>
        </w:rPr>
      </w:pPr>
      <w:r>
        <w:rPr>
          <w:rFonts w:hint="eastAsia" w:ascii="仿宋" w:hAnsi="仿宋" w:eastAsia="仿宋" w:cs="仿宋"/>
          <w:color w:val="auto"/>
          <w:kern w:val="24"/>
          <w:szCs w:val="21"/>
          <w:highlight w:val="none"/>
        </w:rPr>
        <w:t>1.1    项目说明：</w:t>
      </w:r>
      <w:r>
        <w:rPr>
          <w:rFonts w:hint="eastAsia" w:ascii="仿宋" w:hAnsi="仿宋" w:eastAsia="仿宋" w:cs="仿宋"/>
          <w:b/>
          <w:color w:val="auto"/>
          <w:kern w:val="24"/>
          <w:szCs w:val="21"/>
          <w:highlight w:val="none"/>
        </w:rPr>
        <w:t>见供应商须知前附表</w:t>
      </w:r>
      <w:r>
        <w:rPr>
          <w:rFonts w:hint="eastAsia" w:ascii="仿宋" w:hAnsi="仿宋" w:eastAsia="仿宋" w:cs="仿宋"/>
          <w:color w:val="auto"/>
          <w:kern w:val="24"/>
          <w:szCs w:val="21"/>
          <w:highlight w:val="none"/>
        </w:rPr>
        <w:t>。</w:t>
      </w:r>
    </w:p>
    <w:p w14:paraId="265E2EAC">
      <w:pPr>
        <w:pStyle w:val="7"/>
        <w:shd w:val="clear"/>
        <w:rPr>
          <w:rFonts w:hint="eastAsia" w:ascii="仿宋" w:hAnsi="仿宋" w:eastAsia="仿宋" w:cs="仿宋"/>
          <w:b/>
          <w:color w:val="auto"/>
          <w:sz w:val="24"/>
          <w:szCs w:val="21"/>
          <w:highlight w:val="none"/>
        </w:rPr>
      </w:pPr>
      <w:bookmarkStart w:id="105" w:name="_Toc70687142"/>
      <w:bookmarkStart w:id="106" w:name="_Toc249515281"/>
      <w:bookmarkStart w:id="107" w:name="_Toc249525162"/>
      <w:bookmarkStart w:id="108" w:name="_Toc184043015"/>
      <w:bookmarkStart w:id="109" w:name="_Toc249515393"/>
      <w:bookmarkStart w:id="110" w:name="_Toc31509"/>
      <w:r>
        <w:rPr>
          <w:rFonts w:hint="eastAsia" w:ascii="仿宋" w:hAnsi="仿宋" w:eastAsia="仿宋" w:cs="仿宋"/>
          <w:b/>
          <w:color w:val="auto"/>
          <w:sz w:val="24"/>
          <w:szCs w:val="21"/>
          <w:highlight w:val="none"/>
        </w:rPr>
        <w:t>2.     定义</w:t>
      </w:r>
      <w:bookmarkEnd w:id="105"/>
      <w:bookmarkEnd w:id="106"/>
      <w:bookmarkEnd w:id="107"/>
      <w:bookmarkEnd w:id="108"/>
      <w:bookmarkEnd w:id="109"/>
      <w:bookmarkEnd w:id="110"/>
    </w:p>
    <w:p w14:paraId="4DA7BCF6">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w:t>
      </w:r>
      <w:r>
        <w:rPr>
          <w:rFonts w:hint="eastAsia" w:ascii="仿宋" w:hAnsi="仿宋" w:eastAsia="仿宋" w:cs="仿宋"/>
          <w:b/>
          <w:color w:val="auto"/>
          <w:sz w:val="24"/>
          <w:highlight w:val="none"/>
        </w:rPr>
        <w:t>见供应商须知前附表</w:t>
      </w:r>
      <w:r>
        <w:rPr>
          <w:rFonts w:hint="eastAsia" w:ascii="仿宋" w:hAnsi="仿宋" w:eastAsia="仿宋" w:cs="仿宋"/>
          <w:color w:val="auto"/>
          <w:sz w:val="24"/>
          <w:highlight w:val="none"/>
        </w:rPr>
        <w:t>。</w:t>
      </w:r>
    </w:p>
    <w:p w14:paraId="4E920F09">
      <w:pPr>
        <w:pStyle w:val="2"/>
        <w:shd w:val="clear"/>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2.2    采购代理机构：</w:t>
      </w:r>
      <w:r>
        <w:rPr>
          <w:rFonts w:hint="eastAsia" w:ascii="仿宋" w:hAnsi="仿宋" w:eastAsia="仿宋" w:cs="仿宋"/>
          <w:b/>
          <w:color w:val="auto"/>
          <w:kern w:val="24"/>
          <w:sz w:val="24"/>
          <w:szCs w:val="21"/>
          <w:highlight w:val="none"/>
        </w:rPr>
        <w:t>见供应商须知前附表</w:t>
      </w:r>
      <w:r>
        <w:rPr>
          <w:rFonts w:hint="eastAsia" w:ascii="仿宋" w:hAnsi="仿宋" w:eastAsia="仿宋" w:cs="仿宋"/>
          <w:color w:val="auto"/>
          <w:kern w:val="24"/>
          <w:sz w:val="24"/>
          <w:szCs w:val="21"/>
          <w:highlight w:val="none"/>
        </w:rPr>
        <w:t>。</w:t>
      </w:r>
    </w:p>
    <w:p w14:paraId="0948A3EB">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    供应商：指响应磋商文件要求、参加竞争性磋商采购的法人、其他组织或者自然人。本次政府采购项目邀请供应商方式见</w:t>
      </w:r>
      <w:r>
        <w:rPr>
          <w:rFonts w:hint="eastAsia" w:ascii="仿宋" w:hAnsi="仿宋" w:eastAsia="仿宋" w:cs="仿宋"/>
          <w:b/>
          <w:color w:val="auto"/>
          <w:sz w:val="24"/>
          <w:highlight w:val="none"/>
        </w:rPr>
        <w:t>供应商须知前附表。</w:t>
      </w:r>
    </w:p>
    <w:p w14:paraId="737B7AD1">
      <w:pPr>
        <w:pStyle w:val="2"/>
        <w:shd w:val="clear"/>
        <w:tabs>
          <w:tab w:val="left" w:pos="360"/>
        </w:tabs>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2.4    磋商小组：指依据《中华人民共和国政府采购法》和财政部《政府采购竞争性磋商采购方式管理暂行办法》有关规定组建，依法依规履行其职责和义务的</w:t>
      </w:r>
      <w:r>
        <w:rPr>
          <w:rFonts w:hint="eastAsia" w:ascii="仿宋" w:hAnsi="仿宋" w:eastAsia="仿宋" w:cs="仿宋"/>
          <w:color w:val="auto"/>
          <w:sz w:val="24"/>
          <w:highlight w:val="none"/>
          <w:lang w:val="en-US" w:eastAsia="zh-CN"/>
        </w:rPr>
        <w:t>组织</w:t>
      </w:r>
      <w:r>
        <w:rPr>
          <w:rFonts w:hint="eastAsia" w:ascii="仿宋" w:hAnsi="仿宋" w:eastAsia="仿宋" w:cs="仿宋"/>
          <w:color w:val="auto"/>
          <w:sz w:val="24"/>
          <w:highlight w:val="none"/>
        </w:rPr>
        <w:t>。</w:t>
      </w:r>
    </w:p>
    <w:p w14:paraId="5EC403DB">
      <w:pPr>
        <w:pStyle w:val="7"/>
        <w:shd w:val="clear"/>
        <w:rPr>
          <w:rFonts w:hint="eastAsia" w:ascii="仿宋" w:hAnsi="仿宋" w:eastAsia="仿宋" w:cs="仿宋"/>
          <w:b/>
          <w:color w:val="auto"/>
          <w:sz w:val="24"/>
          <w:szCs w:val="21"/>
          <w:highlight w:val="none"/>
        </w:rPr>
      </w:pPr>
      <w:bookmarkStart w:id="111" w:name="_Toc389620168"/>
      <w:bookmarkStart w:id="112" w:name="_Toc23705"/>
      <w:bookmarkStart w:id="113" w:name="_Toc70687143"/>
      <w:bookmarkStart w:id="114" w:name="_Toc249525163"/>
      <w:bookmarkStart w:id="115" w:name="_Toc385992329"/>
      <w:bookmarkStart w:id="116" w:name="_Toc249515394"/>
      <w:bookmarkStart w:id="117" w:name="_Toc184043016"/>
      <w:bookmarkStart w:id="118" w:name="_Toc249515282"/>
      <w:r>
        <w:rPr>
          <w:rFonts w:hint="eastAsia" w:ascii="仿宋" w:hAnsi="仿宋" w:eastAsia="仿宋" w:cs="仿宋"/>
          <w:b/>
          <w:color w:val="auto"/>
          <w:sz w:val="24"/>
          <w:szCs w:val="21"/>
          <w:highlight w:val="none"/>
        </w:rPr>
        <w:t>3.     合格的供应商</w:t>
      </w:r>
      <w:bookmarkEnd w:id="111"/>
      <w:bookmarkEnd w:id="112"/>
      <w:bookmarkEnd w:id="113"/>
      <w:bookmarkEnd w:id="114"/>
      <w:bookmarkEnd w:id="115"/>
      <w:bookmarkEnd w:id="116"/>
      <w:bookmarkEnd w:id="117"/>
      <w:bookmarkEnd w:id="118"/>
    </w:p>
    <w:p w14:paraId="23F26B64">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3.1    供应商基本资质要求详见</w:t>
      </w:r>
      <w:r>
        <w:rPr>
          <w:rFonts w:hint="eastAsia" w:ascii="仿宋" w:hAnsi="仿宋" w:eastAsia="仿宋" w:cs="仿宋"/>
          <w:b/>
          <w:color w:val="auto"/>
          <w:kern w:val="24"/>
          <w:sz w:val="24"/>
          <w:szCs w:val="21"/>
          <w:highlight w:val="none"/>
        </w:rPr>
        <w:t>供应商须知前附表</w:t>
      </w:r>
      <w:r>
        <w:rPr>
          <w:rFonts w:hint="eastAsia" w:ascii="仿宋" w:hAnsi="仿宋" w:eastAsia="仿宋" w:cs="仿宋"/>
          <w:color w:val="auto"/>
          <w:kern w:val="24"/>
          <w:sz w:val="24"/>
          <w:szCs w:val="21"/>
          <w:highlight w:val="none"/>
        </w:rPr>
        <w:t>。</w:t>
      </w:r>
    </w:p>
    <w:p w14:paraId="23C1D10B">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3.2    本项目将执行在政府采购活动中查询及使用信用记录的规定，具体要求为：</w:t>
      </w:r>
    </w:p>
    <w:p w14:paraId="06A597B2">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3.2.1  供应商应当未被列入失信被执行人、重大</w:t>
      </w:r>
      <w:r>
        <w:rPr>
          <w:rFonts w:hint="eastAsia" w:ascii="仿宋" w:hAnsi="仿宋" w:eastAsia="仿宋" w:cs="仿宋"/>
          <w:color w:val="auto"/>
          <w:sz w:val="24"/>
          <w:highlight w:val="none"/>
        </w:rPr>
        <w:t>税收违法失信主体</w:t>
      </w:r>
      <w:r>
        <w:rPr>
          <w:rFonts w:hint="eastAsia" w:ascii="仿宋" w:hAnsi="仿宋" w:eastAsia="仿宋" w:cs="仿宋"/>
          <w:color w:val="auto"/>
          <w:kern w:val="24"/>
          <w:sz w:val="24"/>
          <w:szCs w:val="21"/>
          <w:highlight w:val="none"/>
        </w:rPr>
        <w:t>、政府采购严重违法失信行为</w:t>
      </w:r>
      <w:r>
        <w:rPr>
          <w:rFonts w:hint="eastAsia" w:ascii="仿宋" w:hAnsi="仿宋" w:eastAsia="仿宋" w:cs="仿宋"/>
          <w:color w:val="auto"/>
          <w:kern w:val="24"/>
          <w:sz w:val="24"/>
          <w:szCs w:val="21"/>
          <w:highlight w:val="none"/>
          <w:lang w:val="en-US" w:eastAsia="zh-CN"/>
        </w:rPr>
        <w:t>信息</w:t>
      </w:r>
      <w:r>
        <w:rPr>
          <w:rFonts w:hint="eastAsia" w:ascii="仿宋" w:hAnsi="仿宋" w:eastAsia="仿宋" w:cs="仿宋"/>
          <w:color w:val="auto"/>
          <w:kern w:val="24"/>
          <w:sz w:val="24"/>
          <w:szCs w:val="21"/>
          <w:highlight w:val="none"/>
        </w:rPr>
        <w:t>记录名单，否则不得参与政府采购活动。</w:t>
      </w:r>
    </w:p>
    <w:p w14:paraId="1A94F639">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3.2.2  信用信息查询的时间：</w:t>
      </w:r>
      <w:r>
        <w:rPr>
          <w:rFonts w:hint="eastAsia" w:ascii="仿宋" w:hAnsi="仿宋" w:eastAsia="仿宋" w:cs="仿宋"/>
          <w:color w:val="auto"/>
          <w:kern w:val="24"/>
          <w:sz w:val="24"/>
          <w:szCs w:val="21"/>
          <w:highlight w:val="none"/>
          <w:lang w:val="en-US" w:eastAsia="zh-CN"/>
        </w:rPr>
        <w:t>对本项目供应商进行</w:t>
      </w:r>
      <w:r>
        <w:rPr>
          <w:rFonts w:hint="eastAsia" w:ascii="仿宋" w:hAnsi="仿宋" w:eastAsia="仿宋" w:cs="仿宋"/>
          <w:color w:val="auto"/>
          <w:kern w:val="24"/>
          <w:sz w:val="24"/>
          <w:szCs w:val="21"/>
          <w:highlight w:val="none"/>
        </w:rPr>
        <w:t>资格审查</w:t>
      </w:r>
      <w:r>
        <w:rPr>
          <w:rFonts w:hint="eastAsia" w:ascii="仿宋" w:hAnsi="仿宋" w:eastAsia="仿宋" w:cs="仿宋"/>
          <w:color w:val="auto"/>
          <w:kern w:val="24"/>
          <w:sz w:val="24"/>
          <w:szCs w:val="21"/>
          <w:highlight w:val="none"/>
          <w:lang w:val="en-US" w:eastAsia="zh-CN"/>
        </w:rPr>
        <w:t>时</w:t>
      </w:r>
      <w:r>
        <w:rPr>
          <w:rFonts w:hint="eastAsia" w:ascii="仿宋" w:hAnsi="仿宋" w:eastAsia="仿宋" w:cs="仿宋"/>
          <w:color w:val="auto"/>
          <w:kern w:val="24"/>
          <w:sz w:val="24"/>
          <w:szCs w:val="21"/>
          <w:highlight w:val="none"/>
        </w:rPr>
        <w:t xml:space="preserve">。 </w:t>
      </w:r>
    </w:p>
    <w:p w14:paraId="16D877B3">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 xml:space="preserve">3.2.3  查询渠道：“信用中国”网站（www.creditchina.gov.cn）和中国政府采购网（www.ccgp.gov.cn）； </w:t>
      </w:r>
    </w:p>
    <w:p w14:paraId="68CA15B8">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 xml:space="preserve">3.2.4  信用信息查询记录和证据留存具体方式：将供应商的查询结果网页截图作为查询记录和证据，与其他采购文件一并保存； </w:t>
      </w:r>
    </w:p>
    <w:p w14:paraId="285C2BF6">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eastAsia" w:ascii="仿宋" w:hAnsi="仿宋" w:eastAsia="仿宋" w:cs="仿宋"/>
          <w:color w:val="auto"/>
          <w:kern w:val="24"/>
          <w:sz w:val="24"/>
          <w:szCs w:val="21"/>
          <w:highlight w:val="none"/>
          <w:lang w:val="en-US" w:eastAsia="zh-CN"/>
        </w:rPr>
        <w:t>信息</w:t>
      </w:r>
      <w:r>
        <w:rPr>
          <w:rFonts w:hint="eastAsia" w:ascii="仿宋" w:hAnsi="仿宋" w:eastAsia="仿宋" w:cs="仿宋"/>
          <w:color w:val="auto"/>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eastAsia" w:ascii="仿宋" w:hAnsi="仿宋" w:eastAsia="仿宋" w:cs="仿宋"/>
          <w:color w:val="auto"/>
          <w:kern w:val="24"/>
          <w:sz w:val="24"/>
          <w:szCs w:val="21"/>
          <w:highlight w:val="none"/>
          <w:lang w:eastAsia="zh-CN"/>
        </w:rPr>
        <w:t>的</w:t>
      </w:r>
      <w:r>
        <w:rPr>
          <w:rFonts w:hint="eastAsia" w:ascii="仿宋" w:hAnsi="仿宋" w:eastAsia="仿宋" w:cs="仿宋"/>
          <w:color w:val="auto"/>
          <w:kern w:val="24"/>
          <w:sz w:val="24"/>
          <w:szCs w:val="21"/>
          <w:highlight w:val="none"/>
        </w:rPr>
        <w:t>，将信用信息查询记录提交给磋商小组，作无效文件进行处理。</w:t>
      </w:r>
    </w:p>
    <w:p w14:paraId="482CD0A5">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3.3    供应商必须向采购人或采购代理机构获取磋商文件，未向采购人或采购代理机构获取磋商文件的潜在供应商均无资格参加本次采购</w:t>
      </w:r>
      <w:r>
        <w:rPr>
          <w:rFonts w:hint="eastAsia" w:ascii="仿宋" w:hAnsi="仿宋" w:eastAsia="仿宋" w:cs="仿宋"/>
          <w:color w:val="auto"/>
          <w:kern w:val="24"/>
          <w:sz w:val="24"/>
          <w:szCs w:val="21"/>
          <w:highlight w:val="none"/>
          <w:lang w:val="en-US" w:eastAsia="zh-CN"/>
        </w:rPr>
        <w:t>活动</w:t>
      </w:r>
      <w:r>
        <w:rPr>
          <w:rFonts w:hint="eastAsia" w:ascii="仿宋" w:hAnsi="仿宋" w:eastAsia="仿宋" w:cs="仿宋"/>
          <w:color w:val="auto"/>
          <w:kern w:val="24"/>
          <w:sz w:val="24"/>
          <w:szCs w:val="21"/>
          <w:highlight w:val="none"/>
        </w:rPr>
        <w:t>。</w:t>
      </w:r>
    </w:p>
    <w:p w14:paraId="3EBCE7E0">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3.4    供应商应遵守《中华人民共和国政府采购法》及其它有关的中国法律和法规。</w:t>
      </w:r>
    </w:p>
    <w:p w14:paraId="0BB7FCC9">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3.5    若前附表中写明允许采购进口产品，供应商应保证所投产品可履行合法报通关手续进入中国关境内。</w:t>
      </w:r>
    </w:p>
    <w:p w14:paraId="033C8C17">
      <w:pPr>
        <w:pStyle w:val="2"/>
        <w:shd w:val="clear"/>
        <w:ind w:left="838" w:leftChars="399"/>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若前附表中不允许采购进口产品，如供应商所投产品为进口产品，其响应文件将被认定为无效。</w:t>
      </w:r>
    </w:p>
    <w:p w14:paraId="19E2A8E2">
      <w:pPr>
        <w:pStyle w:val="2"/>
        <w:shd w:val="clear"/>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    如须知前附表中允许联合体投标，对联合体规定如下：</w:t>
      </w:r>
    </w:p>
    <w:p w14:paraId="6168F2A4">
      <w:pPr>
        <w:pStyle w:val="2"/>
        <w:shd w:val="clear"/>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3.6.1  两个及以上供应商可以组成一个投标联合体，以一个供应商的身份投标。</w:t>
      </w:r>
    </w:p>
    <w:p w14:paraId="42A64021">
      <w:pPr>
        <w:pStyle w:val="2"/>
        <w:shd w:val="clear"/>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3.6.2  联合体各方均应符合本须知规定。</w:t>
      </w:r>
    </w:p>
    <w:p w14:paraId="5DF47D7B">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3.6.3  采购人根据采购项目对供应商的特殊要求，联合体中至少应当有一方符合相关规定。</w:t>
      </w:r>
    </w:p>
    <w:p w14:paraId="45D91219">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3.6.4  联合体各方应签订共同磋商响应协议，明确约定联合体各方承担的工作和相应的责任，并将共同响应协议作为响应文件的内容提交。</w:t>
      </w:r>
    </w:p>
    <w:p w14:paraId="080261B6">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3.6.5  大中型企业、其他自然人、法人或者其他组织与小型、微型企业组成联合体共同参加磋商，共同响应协议中应写明小型、微型企业的协议合同金额占到共同响应协议报价总金额的比例。</w:t>
      </w:r>
    </w:p>
    <w:p w14:paraId="7E8F0120">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3.6.6  以联合体形式参加政府采购活动的，联合体各方不得再单独参加或者与其他供应商另外组成联合体参加本项目同一合同项下的磋商，否则相关响应文件将被认定为无效。</w:t>
      </w:r>
    </w:p>
    <w:p w14:paraId="779D37DE">
      <w:pPr>
        <w:pStyle w:val="2"/>
        <w:shd w:val="clear"/>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3.6.7  对联合体磋商的其他资格要求见须知前附表。</w:t>
      </w:r>
    </w:p>
    <w:p w14:paraId="028BA71D">
      <w:pPr>
        <w:pStyle w:val="2"/>
        <w:shd w:val="clear"/>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 xml:space="preserve">3.7    </w:t>
      </w:r>
      <w:r>
        <w:rPr>
          <w:rFonts w:hint="eastAsia" w:ascii="仿宋" w:hAnsi="仿宋" w:eastAsia="仿宋" w:cs="仿宋"/>
          <w:color w:val="auto"/>
          <w:sz w:val="24"/>
          <w:highlight w:val="none"/>
        </w:rPr>
        <w:t>若前附表中写明专门面向中小企业采购的，如供应商为非中小企业或所投产品为非中小企业产品，其响应文件将被认定为无效。</w:t>
      </w:r>
    </w:p>
    <w:p w14:paraId="5A4BE5EA">
      <w:pPr>
        <w:pStyle w:val="7"/>
        <w:shd w:val="clear"/>
        <w:rPr>
          <w:rFonts w:hint="eastAsia" w:ascii="仿宋" w:hAnsi="仿宋" w:eastAsia="仿宋" w:cs="仿宋"/>
          <w:b/>
          <w:color w:val="auto"/>
          <w:sz w:val="24"/>
          <w:szCs w:val="21"/>
          <w:highlight w:val="none"/>
        </w:rPr>
      </w:pPr>
      <w:bookmarkStart w:id="119" w:name="_Toc184043017"/>
      <w:bookmarkStart w:id="120" w:name="_Toc389620169"/>
      <w:bookmarkStart w:id="121" w:name="_Toc70687144"/>
      <w:bookmarkStart w:id="122" w:name="_Toc249515283"/>
      <w:bookmarkStart w:id="123" w:name="_Toc26580"/>
      <w:bookmarkStart w:id="124" w:name="_Toc249515395"/>
      <w:bookmarkStart w:id="125" w:name="_Toc249525164"/>
      <w:bookmarkStart w:id="126" w:name="_Toc385992330"/>
      <w:r>
        <w:rPr>
          <w:rFonts w:hint="eastAsia" w:ascii="仿宋" w:hAnsi="仿宋" w:eastAsia="仿宋" w:cs="仿宋"/>
          <w:b/>
          <w:color w:val="auto"/>
          <w:sz w:val="24"/>
          <w:szCs w:val="21"/>
          <w:highlight w:val="none"/>
        </w:rPr>
        <w:t>4.     磋商费用</w:t>
      </w:r>
      <w:bookmarkEnd w:id="119"/>
      <w:bookmarkEnd w:id="120"/>
      <w:bookmarkEnd w:id="121"/>
      <w:bookmarkEnd w:id="122"/>
      <w:bookmarkEnd w:id="123"/>
      <w:bookmarkEnd w:id="124"/>
      <w:bookmarkEnd w:id="125"/>
      <w:bookmarkEnd w:id="126"/>
    </w:p>
    <w:p w14:paraId="167E86D2">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4.1    供应商应承担所有与编写和提交响应文件有关的费用，无论磋商过程和结果如何，采购人在任何情况下均无义务和责任承担这些费用。</w:t>
      </w:r>
    </w:p>
    <w:p w14:paraId="2586BCF5">
      <w:pPr>
        <w:pStyle w:val="2"/>
        <w:shd w:val="clear"/>
        <w:rPr>
          <w:rFonts w:hint="eastAsia" w:ascii="仿宋" w:hAnsi="仿宋" w:eastAsia="仿宋" w:cs="仿宋"/>
          <w:color w:val="auto"/>
          <w:highlight w:val="none"/>
        </w:rPr>
      </w:pPr>
    </w:p>
    <w:p w14:paraId="2891F123">
      <w:pPr>
        <w:pStyle w:val="79"/>
        <w:shd w:val="clear"/>
        <w:spacing w:before="24" w:after="24"/>
        <w:ind w:left="3313"/>
        <w:rPr>
          <w:rFonts w:hint="eastAsia" w:ascii="仿宋" w:hAnsi="仿宋" w:eastAsia="仿宋" w:cs="仿宋"/>
          <w:color w:val="auto"/>
          <w:sz w:val="30"/>
          <w:szCs w:val="30"/>
          <w:highlight w:val="none"/>
        </w:rPr>
      </w:pPr>
      <w:bookmarkStart w:id="127" w:name="_Toc30515"/>
      <w:bookmarkStart w:id="128" w:name="_Toc68590970"/>
      <w:bookmarkStart w:id="129" w:name="_Toc11798"/>
      <w:bookmarkStart w:id="130" w:name="_Toc27144"/>
      <w:r>
        <w:rPr>
          <w:rFonts w:hint="eastAsia" w:ascii="仿宋" w:hAnsi="仿宋" w:eastAsia="仿宋" w:cs="仿宋"/>
          <w:color w:val="auto"/>
          <w:sz w:val="30"/>
          <w:szCs w:val="30"/>
          <w:highlight w:val="none"/>
        </w:rPr>
        <w:t>二、磋商文件说明</w:t>
      </w:r>
      <w:bookmarkEnd w:id="127"/>
      <w:bookmarkEnd w:id="128"/>
      <w:bookmarkEnd w:id="129"/>
      <w:bookmarkEnd w:id="130"/>
    </w:p>
    <w:p w14:paraId="2A4A321E">
      <w:pPr>
        <w:shd w:val="clear"/>
        <w:rPr>
          <w:rFonts w:hint="eastAsia" w:ascii="仿宋" w:hAnsi="仿宋" w:eastAsia="仿宋" w:cs="仿宋"/>
          <w:color w:val="auto"/>
          <w:highlight w:val="none"/>
        </w:rPr>
      </w:pPr>
    </w:p>
    <w:p w14:paraId="6AE886C3">
      <w:pPr>
        <w:pStyle w:val="7"/>
        <w:numPr>
          <w:ilvl w:val="0"/>
          <w:numId w:val="6"/>
        </w:numPr>
        <w:shd w:val="clear"/>
        <w:rPr>
          <w:rFonts w:hint="eastAsia" w:ascii="仿宋" w:hAnsi="仿宋" w:eastAsia="仿宋" w:cs="仿宋"/>
          <w:b/>
          <w:color w:val="auto"/>
          <w:sz w:val="24"/>
          <w:szCs w:val="21"/>
          <w:highlight w:val="none"/>
        </w:rPr>
      </w:pPr>
      <w:bookmarkStart w:id="131" w:name="_Toc128"/>
      <w:bookmarkStart w:id="132" w:name="_Toc389620171"/>
      <w:bookmarkStart w:id="133" w:name="_Toc249515397"/>
      <w:bookmarkStart w:id="134" w:name="_Toc249515285"/>
      <w:bookmarkStart w:id="135" w:name="_Toc385992332"/>
      <w:bookmarkStart w:id="136" w:name="_Toc249525166"/>
      <w:bookmarkStart w:id="137" w:name="_Toc70687146"/>
      <w:bookmarkStart w:id="138" w:name="_Toc184043019"/>
      <w:r>
        <w:rPr>
          <w:rFonts w:hint="eastAsia" w:ascii="仿宋" w:hAnsi="仿宋" w:eastAsia="仿宋" w:cs="仿宋"/>
          <w:b/>
          <w:color w:val="auto"/>
          <w:sz w:val="24"/>
          <w:szCs w:val="21"/>
          <w:highlight w:val="none"/>
        </w:rPr>
        <w:t xml:space="preserve">    通知</w:t>
      </w:r>
      <w:bookmarkEnd w:id="131"/>
    </w:p>
    <w:p w14:paraId="30CFBA93">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7"/>
        <w:shd w:val="clear"/>
        <w:rPr>
          <w:rFonts w:hint="eastAsia" w:ascii="仿宋" w:hAnsi="仿宋" w:eastAsia="仿宋" w:cs="仿宋"/>
          <w:b/>
          <w:color w:val="auto"/>
          <w:sz w:val="24"/>
          <w:szCs w:val="21"/>
          <w:highlight w:val="none"/>
        </w:rPr>
      </w:pPr>
      <w:bookmarkStart w:id="139" w:name="_Toc27223"/>
      <w:r>
        <w:rPr>
          <w:rFonts w:hint="eastAsia" w:ascii="仿宋" w:hAnsi="仿宋" w:eastAsia="仿宋" w:cs="仿宋"/>
          <w:b/>
          <w:color w:val="auto"/>
          <w:sz w:val="24"/>
          <w:szCs w:val="21"/>
          <w:highlight w:val="none"/>
        </w:rPr>
        <w:t>6.     磋商文件的构成</w:t>
      </w:r>
      <w:bookmarkEnd w:id="132"/>
      <w:bookmarkEnd w:id="133"/>
      <w:bookmarkEnd w:id="134"/>
      <w:bookmarkEnd w:id="135"/>
      <w:bookmarkEnd w:id="136"/>
      <w:bookmarkEnd w:id="137"/>
      <w:bookmarkEnd w:id="138"/>
      <w:bookmarkEnd w:id="139"/>
    </w:p>
    <w:p w14:paraId="4928B57E">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6.1    磋商文件用以阐明供应商所需提供的服务、工程或货物以及其它类似的义务、采购响应程序和合同条款。磋商文件包括如下</w:t>
      </w:r>
      <w:r>
        <w:rPr>
          <w:rFonts w:hint="eastAsia" w:ascii="仿宋" w:hAnsi="仿宋" w:eastAsia="仿宋" w:cs="仿宋"/>
          <w:color w:val="auto"/>
          <w:sz w:val="24"/>
          <w:highlight w:val="none"/>
          <w:lang w:val="en-US" w:eastAsia="zh-CN"/>
        </w:rPr>
        <w:t>六</w:t>
      </w:r>
      <w:r>
        <w:rPr>
          <w:rFonts w:hint="eastAsia" w:ascii="仿宋" w:hAnsi="仿宋" w:eastAsia="仿宋" w:cs="仿宋"/>
          <w:color w:val="auto"/>
          <w:sz w:val="24"/>
          <w:highlight w:val="none"/>
        </w:rPr>
        <w:t>章内容：</w:t>
      </w:r>
    </w:p>
    <w:p w14:paraId="591392A9">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磋商公告</w:t>
      </w:r>
    </w:p>
    <w:p w14:paraId="1E58B4C3">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供应商须知</w:t>
      </w:r>
    </w:p>
    <w:p w14:paraId="03F4AA68">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评审办法和标准</w:t>
      </w:r>
    </w:p>
    <w:p w14:paraId="6D5F6A20">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合同草案条款</w:t>
      </w:r>
    </w:p>
    <w:p w14:paraId="048899FC">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采购内容及要求</w:t>
      </w:r>
    </w:p>
    <w:p w14:paraId="438DC759">
      <w:pPr>
        <w:pStyle w:val="2"/>
        <w:shd w:val="clear"/>
        <w:ind w:left="838"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磋商响应文件格式</w:t>
      </w:r>
    </w:p>
    <w:p w14:paraId="3560D76D">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7"/>
        <w:shd w:val="clear"/>
        <w:rPr>
          <w:rFonts w:hint="eastAsia" w:ascii="仿宋" w:hAnsi="仿宋" w:eastAsia="仿宋" w:cs="仿宋"/>
          <w:b/>
          <w:color w:val="auto"/>
          <w:sz w:val="24"/>
          <w:szCs w:val="21"/>
          <w:highlight w:val="none"/>
        </w:rPr>
      </w:pPr>
      <w:bookmarkStart w:id="140" w:name="_Toc389620172"/>
      <w:bookmarkStart w:id="141" w:name="_Toc385992333"/>
      <w:bookmarkStart w:id="142" w:name="_Toc249515398"/>
      <w:bookmarkStart w:id="143" w:name="_Toc249525167"/>
      <w:bookmarkStart w:id="144" w:name="_Toc70687147"/>
      <w:bookmarkStart w:id="145" w:name="_Toc249515286"/>
      <w:bookmarkStart w:id="146" w:name="_Toc184043020"/>
      <w:bookmarkStart w:id="147" w:name="_Toc10350"/>
      <w:r>
        <w:rPr>
          <w:rFonts w:hint="eastAsia" w:ascii="仿宋" w:hAnsi="仿宋" w:eastAsia="仿宋" w:cs="仿宋"/>
          <w:b/>
          <w:color w:val="auto"/>
          <w:sz w:val="24"/>
          <w:szCs w:val="21"/>
          <w:highlight w:val="none"/>
        </w:rPr>
        <w:t>7.     磋商文件的澄清</w:t>
      </w:r>
      <w:bookmarkEnd w:id="140"/>
      <w:bookmarkEnd w:id="141"/>
      <w:bookmarkEnd w:id="142"/>
      <w:bookmarkEnd w:id="143"/>
      <w:bookmarkEnd w:id="144"/>
      <w:bookmarkEnd w:id="145"/>
      <w:bookmarkEnd w:id="146"/>
      <w:r>
        <w:rPr>
          <w:rFonts w:hint="eastAsia" w:ascii="仿宋" w:hAnsi="仿宋" w:eastAsia="仿宋" w:cs="仿宋"/>
          <w:b/>
          <w:color w:val="auto"/>
          <w:sz w:val="24"/>
          <w:szCs w:val="21"/>
          <w:highlight w:val="none"/>
        </w:rPr>
        <w:t>和修改</w:t>
      </w:r>
      <w:bookmarkEnd w:id="147"/>
    </w:p>
    <w:p w14:paraId="3F9BF5BA">
      <w:pPr>
        <w:shd w:val="clear"/>
        <w:tabs>
          <w:tab w:val="left" w:pos="588"/>
        </w:tabs>
        <w:spacing w:line="360" w:lineRule="auto"/>
        <w:ind w:left="840" w:hanging="840" w:hangingChars="350"/>
        <w:rPr>
          <w:rFonts w:hint="eastAsia" w:ascii="仿宋" w:hAnsi="仿宋" w:eastAsia="仿宋" w:cs="仿宋"/>
          <w:color w:val="auto"/>
          <w:sz w:val="24"/>
          <w:highlight w:val="none"/>
        </w:rPr>
      </w:pPr>
      <w:bookmarkStart w:id="148" w:name="_Toc389620173"/>
      <w:bookmarkStart w:id="149" w:name="_Toc385992334"/>
      <w:bookmarkStart w:id="150" w:name="_Toc70687148"/>
      <w:r>
        <w:rPr>
          <w:rFonts w:hint="eastAsia" w:ascii="仿宋" w:hAnsi="仿宋" w:eastAsia="仿宋" w:cs="仿宋"/>
          <w:color w:val="auto"/>
          <w:sz w:val="24"/>
          <w:highlight w:val="none"/>
        </w:rPr>
        <w:t xml:space="preserve">7.1    </w:t>
      </w:r>
      <w:bookmarkEnd w:id="148"/>
      <w:bookmarkEnd w:id="149"/>
      <w:bookmarkEnd w:id="150"/>
      <w:bookmarkStart w:id="151" w:name="_Toc500747065"/>
      <w:bookmarkStart w:id="152" w:name="_Toc385992335"/>
      <w:bookmarkStart w:id="153" w:name="_Toc492955418"/>
      <w:bookmarkStart w:id="154" w:name="_Toc496324582"/>
      <w:bookmarkStart w:id="155" w:name="_Toc503063425"/>
      <w:bookmarkStart w:id="156" w:name="_Toc53722843"/>
      <w:bookmarkStart w:id="157" w:name="_Toc70687149"/>
      <w:bookmarkStart w:id="158" w:name="_Toc499711046"/>
      <w:bookmarkStart w:id="159" w:name="_Toc500747192"/>
      <w:bookmarkStart w:id="160" w:name="_Toc389620174"/>
      <w:bookmarkStart w:id="161" w:name="_Toc499711887"/>
      <w:bookmarkStart w:id="162" w:name="_Toc500746969"/>
      <w:r>
        <w:rPr>
          <w:rFonts w:hint="eastAsia" w:ascii="仿宋" w:hAnsi="仿宋" w:eastAsia="仿宋" w:cs="仿宋"/>
          <w:color w:val="auto"/>
          <w:sz w:val="24"/>
          <w:highlight w:val="none"/>
        </w:rPr>
        <w:t>在首次响应文件递交截止时间前，采购人或采购代理机构可以对已发出的磋商文件进行必要的澄清或修改，澄清或修改的内容为磋商文件的组成部分。</w:t>
      </w:r>
    </w:p>
    <w:p w14:paraId="5501F4BD">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7.2    磋商文件的修改将以书面形式通知所有获取磋商文件的供应商，并对其具有约束力。供应商在收到上述通知后，应立即向采购人回函确认。</w:t>
      </w:r>
    </w:p>
    <w:p w14:paraId="4C188BEC">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7.3    澄清或修改的内容可能影响响应文件编制的，采购人或采购代理机构可适当延长首次响应文件递交截止时间，并以书面形式通知所有获取磋商文件的供应商。</w:t>
      </w:r>
    </w:p>
    <w:p w14:paraId="3F75A8E4">
      <w:pPr>
        <w:pStyle w:val="2"/>
        <w:shd w:val="clear"/>
        <w:rPr>
          <w:rFonts w:hint="eastAsia" w:ascii="仿宋" w:hAnsi="仿宋" w:eastAsia="仿宋" w:cs="仿宋"/>
          <w:color w:val="auto"/>
          <w:highlight w:val="none"/>
        </w:rPr>
      </w:pPr>
    </w:p>
    <w:p w14:paraId="741B7D0F">
      <w:pPr>
        <w:pStyle w:val="79"/>
        <w:shd w:val="clear"/>
        <w:spacing w:before="24" w:after="24"/>
        <w:ind w:left="3313"/>
        <w:rPr>
          <w:rFonts w:hint="eastAsia" w:ascii="仿宋" w:hAnsi="仿宋" w:eastAsia="仿宋" w:cs="仿宋"/>
          <w:color w:val="auto"/>
          <w:sz w:val="30"/>
          <w:szCs w:val="30"/>
          <w:highlight w:val="none"/>
        </w:rPr>
      </w:pPr>
      <w:bookmarkStart w:id="163" w:name="_Toc256342146"/>
      <w:bookmarkStart w:id="164" w:name="_Toc230099800"/>
      <w:bookmarkStart w:id="165" w:name="_Toc230013635"/>
      <w:bookmarkStart w:id="166" w:name="_Toc184043022"/>
      <w:bookmarkStart w:id="167" w:name="_Toc249515288"/>
      <w:bookmarkStart w:id="168" w:name="_Toc249525169"/>
      <w:bookmarkStart w:id="169" w:name="_Toc176882545"/>
      <w:bookmarkStart w:id="170" w:name="_Toc68590971"/>
      <w:bookmarkStart w:id="171" w:name="_Toc232395215"/>
      <w:bookmarkStart w:id="172" w:name="_Toc31577"/>
      <w:bookmarkStart w:id="173" w:name="_Toc177189238"/>
      <w:bookmarkStart w:id="174" w:name="_Toc177817337"/>
      <w:bookmarkStart w:id="175" w:name="_Toc230583544"/>
      <w:bookmarkStart w:id="176" w:name="_Toc11325"/>
      <w:bookmarkStart w:id="177" w:name="_Toc177995476"/>
      <w:bookmarkStart w:id="178" w:name="_Toc249515400"/>
      <w:bookmarkStart w:id="179" w:name="_Toc232176275"/>
      <w:bookmarkStart w:id="180" w:name="_Toc15249"/>
      <w:r>
        <w:rPr>
          <w:rFonts w:hint="eastAsia" w:ascii="仿宋" w:hAnsi="仿宋" w:eastAsia="仿宋" w:cs="仿宋"/>
          <w:color w:val="auto"/>
          <w:sz w:val="30"/>
          <w:szCs w:val="30"/>
          <w:highlight w:val="none"/>
        </w:rPr>
        <w:t>三、响应文件的编写</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277DD467">
      <w:pPr>
        <w:pStyle w:val="7"/>
        <w:shd w:val="clear"/>
        <w:rPr>
          <w:rFonts w:hint="eastAsia" w:ascii="仿宋" w:hAnsi="仿宋" w:eastAsia="仿宋" w:cs="仿宋"/>
          <w:b/>
          <w:color w:val="auto"/>
          <w:sz w:val="24"/>
          <w:szCs w:val="21"/>
          <w:highlight w:val="none"/>
        </w:rPr>
      </w:pPr>
      <w:bookmarkStart w:id="181" w:name="_Toc249515401"/>
      <w:bookmarkStart w:id="182" w:name="_Toc249515289"/>
      <w:bookmarkStart w:id="183" w:name="_Toc184043023"/>
      <w:bookmarkStart w:id="184" w:name="_Toc30150"/>
      <w:bookmarkStart w:id="185" w:name="_Toc70687150"/>
      <w:bookmarkStart w:id="186" w:name="_Toc249525170"/>
      <w:bookmarkStart w:id="187" w:name="_Toc389620176"/>
      <w:bookmarkStart w:id="188" w:name="_Toc385992337"/>
      <w:r>
        <w:rPr>
          <w:rFonts w:hint="eastAsia" w:ascii="仿宋" w:hAnsi="仿宋" w:eastAsia="仿宋" w:cs="仿宋"/>
          <w:b/>
          <w:color w:val="auto"/>
          <w:sz w:val="24"/>
          <w:szCs w:val="21"/>
          <w:highlight w:val="none"/>
        </w:rPr>
        <w:t>8.     响应文件语言</w:t>
      </w:r>
      <w:bookmarkEnd w:id="181"/>
      <w:bookmarkEnd w:id="182"/>
      <w:bookmarkEnd w:id="183"/>
      <w:bookmarkEnd w:id="184"/>
      <w:bookmarkEnd w:id="185"/>
      <w:bookmarkEnd w:id="186"/>
    </w:p>
    <w:p w14:paraId="69821237">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8.1    响应文件及与响应相关的所有文件均应以中文书写。</w:t>
      </w:r>
    </w:p>
    <w:p w14:paraId="4A2B6D09">
      <w:pPr>
        <w:pStyle w:val="7"/>
        <w:shd w:val="clear"/>
        <w:rPr>
          <w:rFonts w:hint="eastAsia" w:ascii="仿宋" w:hAnsi="仿宋" w:eastAsia="仿宋" w:cs="仿宋"/>
          <w:b/>
          <w:color w:val="auto"/>
          <w:sz w:val="24"/>
          <w:szCs w:val="21"/>
          <w:highlight w:val="none"/>
        </w:rPr>
      </w:pPr>
      <w:bookmarkStart w:id="189" w:name="_Toc249515290"/>
      <w:bookmarkStart w:id="190" w:name="_Toc249525171"/>
      <w:bookmarkStart w:id="191" w:name="_Toc70687151"/>
      <w:bookmarkStart w:id="192" w:name="_Toc18327"/>
      <w:bookmarkStart w:id="193" w:name="_Toc249515402"/>
      <w:bookmarkStart w:id="194" w:name="_Toc184043024"/>
      <w:r>
        <w:rPr>
          <w:rFonts w:hint="eastAsia" w:ascii="仿宋" w:hAnsi="仿宋" w:eastAsia="仿宋" w:cs="仿宋"/>
          <w:b/>
          <w:color w:val="auto"/>
          <w:sz w:val="24"/>
          <w:szCs w:val="21"/>
          <w:highlight w:val="none"/>
        </w:rPr>
        <w:t>9.     计量单位</w:t>
      </w:r>
      <w:bookmarkEnd w:id="187"/>
      <w:bookmarkEnd w:id="188"/>
      <w:bookmarkEnd w:id="189"/>
      <w:bookmarkEnd w:id="190"/>
      <w:bookmarkEnd w:id="191"/>
      <w:bookmarkEnd w:id="192"/>
      <w:bookmarkEnd w:id="193"/>
      <w:bookmarkEnd w:id="194"/>
    </w:p>
    <w:p w14:paraId="3D6CBD69">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9.1    除在磋商文件的技术规格中另有规定外，计量单位应使用中华人民共和国法定计量单位。</w:t>
      </w:r>
    </w:p>
    <w:p w14:paraId="34281FBC">
      <w:pPr>
        <w:pStyle w:val="7"/>
        <w:shd w:val="clear"/>
        <w:rPr>
          <w:rFonts w:hint="eastAsia" w:ascii="仿宋" w:hAnsi="仿宋" w:eastAsia="仿宋" w:cs="仿宋"/>
          <w:b/>
          <w:color w:val="auto"/>
          <w:sz w:val="24"/>
          <w:szCs w:val="21"/>
          <w:highlight w:val="none"/>
        </w:rPr>
      </w:pPr>
      <w:bookmarkStart w:id="195" w:name="_Toc249515291"/>
      <w:bookmarkStart w:id="196" w:name="_Toc70687152"/>
      <w:bookmarkStart w:id="197" w:name="_Toc385992338"/>
      <w:bookmarkStart w:id="198" w:name="_Toc389620177"/>
      <w:bookmarkStart w:id="199" w:name="_Toc184043025"/>
      <w:bookmarkStart w:id="200" w:name="_Toc29318"/>
      <w:bookmarkStart w:id="201" w:name="_Toc249515403"/>
      <w:bookmarkStart w:id="202" w:name="_Toc249525172"/>
      <w:r>
        <w:rPr>
          <w:rFonts w:hint="eastAsia" w:ascii="仿宋" w:hAnsi="仿宋" w:eastAsia="仿宋" w:cs="仿宋"/>
          <w:b/>
          <w:color w:val="auto"/>
          <w:sz w:val="24"/>
          <w:szCs w:val="21"/>
          <w:highlight w:val="none"/>
        </w:rPr>
        <w:t>10.    响应文件的组成</w:t>
      </w:r>
      <w:bookmarkEnd w:id="195"/>
      <w:bookmarkEnd w:id="196"/>
      <w:bookmarkEnd w:id="197"/>
      <w:bookmarkEnd w:id="198"/>
      <w:bookmarkEnd w:id="199"/>
      <w:bookmarkEnd w:id="200"/>
      <w:bookmarkEnd w:id="201"/>
      <w:bookmarkEnd w:id="202"/>
    </w:p>
    <w:p w14:paraId="158290CE">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10.1   供应商应完整地按照磋商文件提供的响应文件格式及要求编写响应文件。响应文件中资格审查和符合性审查涉及的事项不满足要求的，其响应文件将被认定为无效。</w:t>
      </w:r>
    </w:p>
    <w:p w14:paraId="5053556E">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10.2   供应商提供的以上材料必须真实有效，任何一项的虚假将导致其响应被拒绝。</w:t>
      </w:r>
    </w:p>
    <w:p w14:paraId="492B4BD2">
      <w:pPr>
        <w:pStyle w:val="7"/>
        <w:shd w:val="clear"/>
        <w:rPr>
          <w:rFonts w:hint="eastAsia" w:ascii="仿宋" w:hAnsi="仿宋" w:eastAsia="仿宋" w:cs="仿宋"/>
          <w:b/>
          <w:color w:val="auto"/>
          <w:sz w:val="24"/>
          <w:szCs w:val="21"/>
          <w:highlight w:val="none"/>
        </w:rPr>
      </w:pPr>
      <w:bookmarkStart w:id="203" w:name="_Toc249525173"/>
      <w:bookmarkStart w:id="204" w:name="_Toc249515404"/>
      <w:bookmarkStart w:id="205" w:name="_Toc70687153"/>
      <w:bookmarkStart w:id="206" w:name="_Toc26312"/>
      <w:bookmarkStart w:id="207" w:name="_Toc389620178"/>
      <w:bookmarkStart w:id="208" w:name="_Toc184043026"/>
      <w:bookmarkStart w:id="209" w:name="_Toc249515292"/>
      <w:bookmarkStart w:id="210" w:name="_Toc385992339"/>
      <w:r>
        <w:rPr>
          <w:rFonts w:hint="eastAsia" w:ascii="仿宋" w:hAnsi="仿宋" w:eastAsia="仿宋" w:cs="仿宋"/>
          <w:b/>
          <w:color w:val="auto"/>
          <w:sz w:val="24"/>
          <w:highlight w:val="none"/>
        </w:rPr>
        <w:t>11.    响应文件格式</w:t>
      </w:r>
      <w:bookmarkEnd w:id="203"/>
      <w:bookmarkEnd w:id="204"/>
      <w:bookmarkEnd w:id="205"/>
      <w:bookmarkEnd w:id="206"/>
      <w:bookmarkEnd w:id="207"/>
      <w:bookmarkEnd w:id="208"/>
      <w:bookmarkEnd w:id="209"/>
      <w:bookmarkEnd w:id="210"/>
    </w:p>
    <w:p w14:paraId="6F7A7A5C">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11.1   对于磋商文件第六章中已经提供了格式的响应文件内容，供应商必须按提供的响应文件格式进行填写和编制，没有提供格式的可自行设计。</w:t>
      </w:r>
    </w:p>
    <w:p w14:paraId="192DCD1A">
      <w:pPr>
        <w:pStyle w:val="7"/>
        <w:shd w:val="clear"/>
        <w:rPr>
          <w:rFonts w:hint="eastAsia" w:ascii="仿宋" w:hAnsi="仿宋" w:eastAsia="仿宋" w:cs="仿宋"/>
          <w:b/>
          <w:color w:val="auto"/>
          <w:sz w:val="24"/>
          <w:szCs w:val="21"/>
          <w:highlight w:val="none"/>
        </w:rPr>
      </w:pPr>
      <w:bookmarkStart w:id="211" w:name="_Toc26688"/>
      <w:r>
        <w:rPr>
          <w:rFonts w:hint="eastAsia" w:ascii="仿宋" w:hAnsi="仿宋" w:eastAsia="仿宋" w:cs="仿宋"/>
          <w:b/>
          <w:color w:val="auto"/>
          <w:sz w:val="24"/>
          <w:szCs w:val="21"/>
          <w:highlight w:val="none"/>
        </w:rPr>
        <w:t>12.    响应报价</w:t>
      </w:r>
      <w:bookmarkEnd w:id="211"/>
    </w:p>
    <w:p w14:paraId="6170857B">
      <w:pPr>
        <w:shd w:val="clear"/>
        <w:tabs>
          <w:tab w:val="left" w:pos="0"/>
          <w:tab w:val="left" w:pos="540"/>
          <w:tab w:val="left" w:pos="720"/>
        </w:tabs>
        <w:spacing w:line="360" w:lineRule="auto"/>
        <w:ind w:left="840" w:hanging="840" w:hangingChars="350"/>
        <w:rPr>
          <w:rFonts w:hint="eastAsia" w:ascii="仿宋" w:hAnsi="仿宋" w:eastAsia="仿宋" w:cs="仿宋"/>
          <w:color w:val="auto"/>
          <w:highlight w:val="none"/>
        </w:rPr>
      </w:pPr>
      <w:r>
        <w:rPr>
          <w:rFonts w:hint="eastAsia" w:ascii="仿宋" w:hAnsi="仿宋" w:eastAsia="仿宋" w:cs="仿宋"/>
          <w:color w:val="auto"/>
          <w:kern w:val="24"/>
          <w:sz w:val="24"/>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eastAsia" w:ascii="仿宋" w:hAnsi="仿宋" w:eastAsia="仿宋" w:cs="仿宋"/>
          <w:b/>
          <w:color w:val="auto"/>
          <w:kern w:val="24"/>
          <w:sz w:val="24"/>
          <w:szCs w:val="21"/>
          <w:highlight w:val="none"/>
        </w:rPr>
        <w:t>供应商须知前附表。</w:t>
      </w:r>
    </w:p>
    <w:p w14:paraId="31C28509">
      <w:pPr>
        <w:shd w:val="clear"/>
        <w:tabs>
          <w:tab w:val="left" w:pos="540"/>
          <w:tab w:val="left" w:pos="840"/>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12.2   供应商应在响应分项报价表中详细列出所报货物和</w:t>
      </w:r>
      <w:r>
        <w:rPr>
          <w:rFonts w:hint="eastAsia" w:ascii="仿宋" w:hAnsi="仿宋" w:eastAsia="仿宋" w:cs="仿宋"/>
          <w:color w:val="auto"/>
          <w:sz w:val="24"/>
          <w:highlight w:val="none"/>
        </w:rPr>
        <w:t>服务</w:t>
      </w:r>
      <w:r>
        <w:rPr>
          <w:rFonts w:hint="eastAsia" w:ascii="仿宋" w:hAnsi="仿宋" w:eastAsia="仿宋" w:cs="仿宋"/>
          <w:color w:val="auto"/>
          <w:kern w:val="24"/>
          <w:sz w:val="24"/>
          <w:szCs w:val="21"/>
          <w:highlight w:val="none"/>
        </w:rPr>
        <w:t>的单价（如适用）和总价，并由法定代表人或其</w:t>
      </w:r>
      <w:r>
        <w:rPr>
          <w:rFonts w:hint="eastAsia" w:ascii="仿宋" w:hAnsi="仿宋" w:eastAsia="仿宋" w:cs="仿宋"/>
          <w:color w:val="auto"/>
          <w:kern w:val="24"/>
          <w:sz w:val="24"/>
          <w:szCs w:val="21"/>
          <w:highlight w:val="none"/>
          <w:lang w:eastAsia="zh-CN"/>
        </w:rPr>
        <w:t>委托代理人</w:t>
      </w:r>
      <w:r>
        <w:rPr>
          <w:rFonts w:hint="eastAsia" w:ascii="仿宋" w:hAnsi="仿宋" w:eastAsia="仿宋" w:cs="仿宋"/>
          <w:color w:val="auto"/>
          <w:kern w:val="24"/>
          <w:sz w:val="24"/>
          <w:szCs w:val="21"/>
          <w:highlight w:val="none"/>
        </w:rPr>
        <w:t>签署并加盖公章。响应分项报价表上的价格应按磋商文件第六章的格式填写。</w:t>
      </w:r>
    </w:p>
    <w:p w14:paraId="628B9604">
      <w:pPr>
        <w:shd w:val="clear"/>
        <w:tabs>
          <w:tab w:val="left" w:pos="180"/>
          <w:tab w:val="left" w:pos="540"/>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shd w:val="clear"/>
        <w:tabs>
          <w:tab w:val="left" w:pos="180"/>
          <w:tab w:val="left" w:pos="540"/>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12.4   供应商的所报单价在合同执行过程中是固定不变的，未经采购人许可不得以任何理由予以变更。以可调整的价格提交的响应文件将作为非实质性响应而予以拒绝。</w:t>
      </w:r>
    </w:p>
    <w:p w14:paraId="521F5302">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12.5   供应商每次对每种</w:t>
      </w:r>
      <w:r>
        <w:rPr>
          <w:rFonts w:hint="eastAsia" w:ascii="仿宋" w:hAnsi="仿宋" w:eastAsia="仿宋" w:cs="仿宋"/>
          <w:color w:val="auto"/>
          <w:kern w:val="24"/>
          <w:sz w:val="24"/>
          <w:szCs w:val="21"/>
          <w:highlight w:val="none"/>
          <w:u w:val="single"/>
        </w:rPr>
        <w:t xml:space="preserve"> 服务（或工程、或产品）</w:t>
      </w:r>
      <w:r>
        <w:rPr>
          <w:rFonts w:hint="eastAsia" w:ascii="仿宋" w:hAnsi="仿宋" w:eastAsia="仿宋" w:cs="仿宋"/>
          <w:color w:val="auto"/>
          <w:kern w:val="24"/>
          <w:sz w:val="24"/>
          <w:szCs w:val="21"/>
          <w:highlight w:val="none"/>
        </w:rPr>
        <w:t>只允许有一个报价，采购人不接受有任何选择的报价。</w:t>
      </w:r>
    </w:p>
    <w:p w14:paraId="3893226B">
      <w:pPr>
        <w:shd w:val="clear"/>
        <w:tabs>
          <w:tab w:val="left" w:pos="180"/>
          <w:tab w:val="left" w:pos="540"/>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sz w:val="24"/>
          <w:highlight w:val="none"/>
        </w:rPr>
        <w:t>12.6   供应商根据本须知12.2条规定将响应报价分成几部分并按</w:t>
      </w:r>
      <w:r>
        <w:rPr>
          <w:rFonts w:hint="eastAsia" w:ascii="仿宋" w:hAnsi="仿宋" w:eastAsia="仿宋" w:cs="仿宋"/>
          <w:color w:val="auto"/>
          <w:kern w:val="24"/>
          <w:sz w:val="24"/>
          <w:szCs w:val="21"/>
          <w:highlight w:val="none"/>
        </w:rPr>
        <w:t>磋商文件第六章提供的格式填写“响应分项报价表”，只是为了方便采购人对响应文件进行比较，并不限制采购人以其它方式签订合同的权力。</w:t>
      </w:r>
    </w:p>
    <w:p w14:paraId="35551711">
      <w:pPr>
        <w:pStyle w:val="7"/>
        <w:shd w:val="clear"/>
        <w:rPr>
          <w:rFonts w:hint="eastAsia" w:ascii="仿宋" w:hAnsi="仿宋" w:eastAsia="仿宋" w:cs="仿宋"/>
          <w:b/>
          <w:color w:val="auto"/>
          <w:sz w:val="24"/>
          <w:szCs w:val="21"/>
          <w:highlight w:val="none"/>
        </w:rPr>
      </w:pPr>
      <w:bookmarkStart w:id="212" w:name="_Toc389620180"/>
      <w:bookmarkStart w:id="213" w:name="_Toc20687"/>
      <w:bookmarkStart w:id="214" w:name="_Toc385992341"/>
      <w:bookmarkStart w:id="215" w:name="_Toc70687155"/>
      <w:bookmarkStart w:id="216" w:name="_Toc249515406"/>
      <w:bookmarkStart w:id="217" w:name="_Toc249515294"/>
      <w:bookmarkStart w:id="218" w:name="_Toc184043028"/>
      <w:bookmarkStart w:id="219" w:name="_Toc249525175"/>
      <w:r>
        <w:rPr>
          <w:rFonts w:hint="eastAsia" w:ascii="仿宋" w:hAnsi="仿宋" w:eastAsia="仿宋" w:cs="仿宋"/>
          <w:b/>
          <w:color w:val="auto"/>
          <w:sz w:val="24"/>
          <w:szCs w:val="21"/>
          <w:highlight w:val="none"/>
        </w:rPr>
        <w:t>13.    报价货币</w:t>
      </w:r>
      <w:bookmarkEnd w:id="212"/>
      <w:bookmarkEnd w:id="213"/>
      <w:bookmarkEnd w:id="214"/>
      <w:bookmarkEnd w:id="215"/>
      <w:bookmarkEnd w:id="216"/>
      <w:bookmarkEnd w:id="217"/>
      <w:bookmarkEnd w:id="218"/>
      <w:bookmarkEnd w:id="219"/>
    </w:p>
    <w:p w14:paraId="74AFA948">
      <w:pPr>
        <w:shd w:val="clear"/>
        <w:tabs>
          <w:tab w:val="left" w:pos="180"/>
          <w:tab w:val="left" w:pos="540"/>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12.3   磋商响应函、响应报价一览表、响应分项报价表、最后报价表等所有报价一律用人民币填报。采购人不接受任何非人民币币种的报价。</w:t>
      </w:r>
      <w:bookmarkStart w:id="220" w:name="_Toc389620181"/>
      <w:bookmarkStart w:id="221" w:name="_Toc385992342"/>
    </w:p>
    <w:bookmarkEnd w:id="220"/>
    <w:bookmarkEnd w:id="221"/>
    <w:p w14:paraId="226049F2">
      <w:pPr>
        <w:pStyle w:val="7"/>
        <w:shd w:val="clear"/>
        <w:rPr>
          <w:rFonts w:hint="eastAsia" w:ascii="仿宋" w:hAnsi="仿宋" w:eastAsia="仿宋" w:cs="仿宋"/>
          <w:b/>
          <w:color w:val="auto"/>
          <w:kern w:val="24"/>
          <w:sz w:val="24"/>
          <w:szCs w:val="21"/>
          <w:highlight w:val="none"/>
        </w:rPr>
      </w:pPr>
      <w:bookmarkStart w:id="222" w:name="止观"/>
      <w:bookmarkEnd w:id="222"/>
      <w:r>
        <w:rPr>
          <w:rFonts w:hint="eastAsia" w:ascii="仿宋" w:hAnsi="仿宋" w:eastAsia="仿宋" w:cs="仿宋"/>
          <w:b/>
          <w:color w:val="auto"/>
          <w:sz w:val="24"/>
          <w:szCs w:val="21"/>
          <w:highlight w:val="none"/>
        </w:rPr>
        <w:t>14.    磋商保证金</w:t>
      </w:r>
    </w:p>
    <w:p w14:paraId="5C91A4C9">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sz w:val="24"/>
          <w:szCs w:val="21"/>
          <w:highlight w:val="none"/>
        </w:rPr>
        <w:t>14.1   本项目须在磋商前向采购代理机构提供</w:t>
      </w:r>
      <w:r>
        <w:rPr>
          <w:rFonts w:hint="eastAsia" w:ascii="仿宋" w:hAnsi="仿宋" w:eastAsia="仿宋" w:cs="仿宋"/>
          <w:b/>
          <w:color w:val="auto"/>
          <w:sz w:val="24"/>
          <w:szCs w:val="21"/>
          <w:highlight w:val="none"/>
        </w:rPr>
        <w:t>供应商须知前附表</w:t>
      </w:r>
      <w:r>
        <w:rPr>
          <w:rFonts w:hint="eastAsia" w:ascii="仿宋" w:hAnsi="仿宋" w:eastAsia="仿宋" w:cs="仿宋"/>
          <w:color w:val="auto"/>
          <w:sz w:val="24"/>
          <w:szCs w:val="21"/>
          <w:highlight w:val="none"/>
        </w:rPr>
        <w:t>规定金额的保证金，并作为其响应文件的一部分。</w:t>
      </w:r>
    </w:p>
    <w:p w14:paraId="133F871F">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14.2   保证金的货币为人民币，并采用下列任何一种非现金形式向采购代理机构递交：</w:t>
      </w:r>
    </w:p>
    <w:p w14:paraId="3CD02186">
      <w:pPr>
        <w:numPr>
          <w:ilvl w:val="0"/>
          <w:numId w:val="7"/>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电汇；</w:t>
      </w:r>
    </w:p>
    <w:p w14:paraId="0925F7AE">
      <w:pPr>
        <w:numPr>
          <w:ilvl w:val="0"/>
          <w:numId w:val="7"/>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银行转账；</w:t>
      </w:r>
    </w:p>
    <w:p w14:paraId="563FC903">
      <w:pPr>
        <w:numPr>
          <w:ilvl w:val="0"/>
          <w:numId w:val="7"/>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支票、汇票、本票、金融机构或担保机构出具的保函等非现金形式。</w:t>
      </w:r>
    </w:p>
    <w:p w14:paraId="018C4A4A">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1DCD59DD">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14.4   凡没有根据本须知第14.1条的规定随附保证金的响应文件，将被视为非响应性予以拒绝。</w:t>
      </w:r>
    </w:p>
    <w:p w14:paraId="2231309E">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14.5   未成交供应商的保证金，采购代理机构将在成交通知书发出后5个工作日内退还。</w:t>
      </w:r>
    </w:p>
    <w:p w14:paraId="7D71F005">
      <w:pPr>
        <w:shd w:val="clear"/>
        <w:tabs>
          <w:tab w:val="left" w:pos="588"/>
        </w:tabs>
        <w:spacing w:line="360" w:lineRule="auto"/>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14.6   成交供应商的保证金在按本须知第26条规定签订合同后5个工作日内退还。</w:t>
      </w:r>
    </w:p>
    <w:p w14:paraId="41D8D70D">
      <w:pPr>
        <w:shd w:val="clear"/>
        <w:tabs>
          <w:tab w:val="left" w:pos="588"/>
        </w:tabs>
        <w:spacing w:line="360" w:lineRule="auto"/>
        <w:ind w:left="840" w:hanging="840" w:hangingChars="350"/>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390634E9">
      <w:pPr>
        <w:numPr>
          <w:ilvl w:val="0"/>
          <w:numId w:val="8"/>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供应商在提交响应文件截止时间后撤销响应文件的；</w:t>
      </w:r>
    </w:p>
    <w:p w14:paraId="30BFC0F2">
      <w:pPr>
        <w:numPr>
          <w:ilvl w:val="0"/>
          <w:numId w:val="8"/>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供应商在响应文件中提供虚假材料的；</w:t>
      </w:r>
    </w:p>
    <w:p w14:paraId="230160A6">
      <w:pPr>
        <w:numPr>
          <w:ilvl w:val="0"/>
          <w:numId w:val="8"/>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 xml:space="preserve">除因不可抗力外，成交供应商在规定期限内未能根据本须知第26条规定签订合同； </w:t>
      </w:r>
    </w:p>
    <w:p w14:paraId="26670ABF">
      <w:pPr>
        <w:numPr>
          <w:ilvl w:val="0"/>
          <w:numId w:val="8"/>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供应商与采购人、其他供应商或者采购代理机构恶意串通的；</w:t>
      </w:r>
    </w:p>
    <w:p w14:paraId="4333EB4D">
      <w:pPr>
        <w:numPr>
          <w:ilvl w:val="0"/>
          <w:numId w:val="8"/>
        </w:numPr>
        <w:shd w:val="clear"/>
        <w:tabs>
          <w:tab w:val="left" w:pos="588"/>
        </w:tabs>
        <w:spacing w:line="360" w:lineRule="auto"/>
        <w:ind w:hanging="5"/>
        <w:rPr>
          <w:rFonts w:hint="eastAsia" w:ascii="仿宋" w:hAnsi="仿宋" w:eastAsia="仿宋" w:cs="仿宋"/>
          <w:color w:val="auto"/>
          <w:kern w:val="24"/>
          <w:sz w:val="24"/>
          <w:szCs w:val="21"/>
          <w:highlight w:val="none"/>
        </w:rPr>
      </w:pPr>
      <w:r>
        <w:rPr>
          <w:rFonts w:hint="eastAsia" w:ascii="仿宋" w:hAnsi="仿宋" w:eastAsia="仿宋" w:cs="仿宋"/>
          <w:color w:val="auto"/>
          <w:kern w:val="24"/>
          <w:sz w:val="24"/>
          <w:szCs w:val="21"/>
          <w:highlight w:val="none"/>
        </w:rPr>
        <w:t>成交供应商未按本须知第29条规定缴纳服务费。</w:t>
      </w:r>
    </w:p>
    <w:p w14:paraId="6576631B">
      <w:pPr>
        <w:pStyle w:val="7"/>
        <w:shd w:val="clear"/>
        <w:rPr>
          <w:rFonts w:hint="eastAsia" w:ascii="仿宋" w:hAnsi="仿宋" w:eastAsia="仿宋" w:cs="仿宋"/>
          <w:b/>
          <w:color w:val="auto"/>
          <w:sz w:val="24"/>
          <w:szCs w:val="21"/>
          <w:highlight w:val="none"/>
        </w:rPr>
      </w:pPr>
      <w:bookmarkStart w:id="223" w:name="_Toc249515296"/>
      <w:bookmarkStart w:id="224" w:name="_Toc249515408"/>
      <w:bookmarkStart w:id="225" w:name="_Toc7949"/>
      <w:bookmarkStart w:id="226" w:name="_Toc249525177"/>
      <w:r>
        <w:rPr>
          <w:rFonts w:hint="eastAsia" w:ascii="仿宋" w:hAnsi="仿宋" w:eastAsia="仿宋" w:cs="仿宋"/>
          <w:b/>
          <w:color w:val="auto"/>
          <w:sz w:val="24"/>
          <w:szCs w:val="21"/>
          <w:highlight w:val="none"/>
        </w:rPr>
        <w:t>15.    磋商有效期</w:t>
      </w:r>
      <w:bookmarkEnd w:id="223"/>
      <w:bookmarkEnd w:id="224"/>
      <w:bookmarkEnd w:id="225"/>
      <w:bookmarkEnd w:id="226"/>
    </w:p>
    <w:p w14:paraId="4A552ACA">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15.1   磋商有效期见</w:t>
      </w:r>
      <w:r>
        <w:rPr>
          <w:rFonts w:hint="eastAsia" w:ascii="仿宋" w:hAnsi="仿宋" w:eastAsia="仿宋" w:cs="仿宋"/>
          <w:b/>
          <w:color w:val="auto"/>
          <w:sz w:val="24"/>
          <w:highlight w:val="none"/>
        </w:rPr>
        <w:t>本须知前附表</w:t>
      </w:r>
      <w:r>
        <w:rPr>
          <w:rFonts w:hint="eastAsia" w:ascii="仿宋" w:hAnsi="仿宋" w:eastAsia="仿宋" w:cs="仿宋"/>
          <w:color w:val="auto"/>
          <w:sz w:val="24"/>
          <w:highlight w:val="none"/>
        </w:rPr>
        <w:t>。在磋商有效期内，所有响应文件均保持有效。响应文件的有效期比本须知规定的有效期短的，将被视为非实质响应，采购人有权拒绝。</w:t>
      </w:r>
    </w:p>
    <w:p w14:paraId="72692AAE">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7"/>
        <w:shd w:val="clear"/>
        <w:rPr>
          <w:rFonts w:hint="eastAsia" w:ascii="仿宋" w:hAnsi="仿宋" w:eastAsia="仿宋" w:cs="仿宋"/>
          <w:b/>
          <w:color w:val="auto"/>
          <w:sz w:val="24"/>
          <w:szCs w:val="21"/>
          <w:highlight w:val="none"/>
        </w:rPr>
      </w:pPr>
      <w:bookmarkStart w:id="227" w:name="_Toc184043033"/>
      <w:bookmarkStart w:id="228" w:name="_Toc249515297"/>
      <w:bookmarkStart w:id="229" w:name="_Toc16612"/>
      <w:bookmarkStart w:id="230" w:name="_Toc249515409"/>
      <w:bookmarkStart w:id="231" w:name="_Toc249525178"/>
      <w:bookmarkStart w:id="232" w:name="_Toc385992346"/>
      <w:bookmarkStart w:id="233" w:name="_Toc389620185"/>
      <w:bookmarkStart w:id="234" w:name="_Toc70687160"/>
      <w:r>
        <w:rPr>
          <w:rFonts w:hint="eastAsia" w:ascii="仿宋" w:hAnsi="仿宋" w:eastAsia="仿宋" w:cs="仿宋"/>
          <w:b/>
          <w:color w:val="auto"/>
          <w:sz w:val="24"/>
          <w:szCs w:val="21"/>
          <w:highlight w:val="none"/>
        </w:rPr>
        <w:t>16.    响应文件的制作和签署</w:t>
      </w:r>
      <w:bookmarkEnd w:id="227"/>
      <w:bookmarkEnd w:id="228"/>
      <w:bookmarkEnd w:id="229"/>
      <w:bookmarkEnd w:id="230"/>
      <w:bookmarkEnd w:id="231"/>
      <w:bookmarkEnd w:id="232"/>
      <w:bookmarkEnd w:id="233"/>
      <w:bookmarkEnd w:id="234"/>
    </w:p>
    <w:p w14:paraId="517E1252">
      <w:pPr>
        <w:shd w:val="clear" w:color="auto"/>
        <w:tabs>
          <w:tab w:val="left" w:pos="588"/>
        </w:tabs>
        <w:spacing w:line="360" w:lineRule="auto"/>
        <w:ind w:left="840" w:hanging="840" w:hangingChars="350"/>
        <w:rPr>
          <w:rFonts w:hint="eastAsia" w:ascii="仿宋" w:hAnsi="仿宋" w:eastAsia="仿宋" w:cs="仿宋"/>
          <w:color w:val="auto"/>
          <w:sz w:val="24"/>
          <w:highlight w:val="none"/>
        </w:rPr>
      </w:pPr>
      <w:bookmarkStart w:id="235" w:name="_Hlt491765640"/>
      <w:bookmarkEnd w:id="235"/>
      <w:bookmarkStart w:id="236" w:name="_Toc249515298"/>
      <w:bookmarkStart w:id="237" w:name="_Toc177995477"/>
      <w:bookmarkStart w:id="238" w:name="_Toc230013636"/>
      <w:bookmarkStart w:id="239" w:name="_Toc385992347"/>
      <w:bookmarkStart w:id="240" w:name="_Toc249515410"/>
      <w:bookmarkStart w:id="241" w:name="_Toc249525179"/>
      <w:bookmarkStart w:id="242" w:name="_Toc496324583"/>
      <w:bookmarkStart w:id="243" w:name="_Toc389620186"/>
      <w:bookmarkStart w:id="244" w:name="_Toc500747066"/>
      <w:bookmarkStart w:id="245" w:name="_Toc499711047"/>
      <w:bookmarkStart w:id="246" w:name="_Toc230583545"/>
      <w:bookmarkStart w:id="247" w:name="_Toc503063426"/>
      <w:bookmarkStart w:id="248" w:name="_Toc256342147"/>
      <w:bookmarkStart w:id="249" w:name="_Toc500746970"/>
      <w:bookmarkStart w:id="250" w:name="_Toc232395216"/>
      <w:bookmarkStart w:id="251" w:name="_Toc492955419"/>
      <w:bookmarkStart w:id="252" w:name="_Toc184043034"/>
      <w:bookmarkStart w:id="253" w:name="_Toc232176276"/>
      <w:bookmarkStart w:id="254" w:name="_Toc177189239"/>
      <w:bookmarkStart w:id="255" w:name="_Toc499711888"/>
      <w:bookmarkStart w:id="256" w:name="_Toc53722844"/>
      <w:bookmarkStart w:id="257" w:name="_Toc70687161"/>
      <w:bookmarkStart w:id="258" w:name="_Toc177817338"/>
      <w:bookmarkStart w:id="259" w:name="_Toc500747193"/>
      <w:bookmarkStart w:id="260" w:name="_Toc230099801"/>
      <w:bookmarkStart w:id="261" w:name="_Toc176882546"/>
      <w:r>
        <w:rPr>
          <w:rFonts w:hint="eastAsia" w:ascii="仿宋" w:hAnsi="仿宋" w:eastAsia="仿宋" w:cs="仿宋"/>
          <w:color w:val="auto"/>
          <w:sz w:val="24"/>
          <w:highlight w:val="none"/>
        </w:rPr>
        <w:t>16.1   投标人应按投标人须知前附表中的规定，在投标截止时间前上传电子版响应文件。</w:t>
      </w:r>
    </w:p>
    <w:p w14:paraId="10298DE2">
      <w:pPr>
        <w:shd w:val="clear" w:color="auto"/>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16.2   响应文件由投标人的法定代表人或经其正式委托代理人按磋商文件规定在响应文件上签字并加盖公章。</w:t>
      </w:r>
    </w:p>
    <w:p w14:paraId="67381BBB">
      <w:pPr>
        <w:shd w:val="clear" w:color="auto"/>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16.3   任何行间插字、涂改或增删，必须由响应文件签字人将姓或首字母在旁边签字才有效。</w:t>
      </w:r>
    </w:p>
    <w:p w14:paraId="15070DE9">
      <w:pPr>
        <w:shd w:val="clear" w:color="auto"/>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16.4   采购人不接受以电报、电话、传真、电子邮件形式递交的响应文件。</w:t>
      </w:r>
    </w:p>
    <w:p w14:paraId="4F35C634">
      <w:pPr>
        <w:shd w:val="clear" w:color="auto"/>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16.5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28011FF9">
      <w:pPr>
        <w:pStyle w:val="2"/>
        <w:shd w:val="clear"/>
        <w:rPr>
          <w:rFonts w:hint="eastAsia" w:ascii="仿宋" w:hAnsi="仿宋" w:eastAsia="仿宋" w:cs="仿宋"/>
          <w:color w:val="auto"/>
          <w:highlight w:val="none"/>
        </w:rPr>
      </w:pPr>
    </w:p>
    <w:p w14:paraId="6CA99F43">
      <w:pPr>
        <w:pStyle w:val="79"/>
        <w:shd w:val="clear"/>
        <w:spacing w:before="24" w:after="24"/>
        <w:jc w:val="center"/>
        <w:rPr>
          <w:rFonts w:hint="eastAsia" w:ascii="仿宋" w:hAnsi="仿宋" w:eastAsia="仿宋" w:cs="仿宋"/>
          <w:color w:val="auto"/>
          <w:sz w:val="30"/>
          <w:szCs w:val="30"/>
          <w:highlight w:val="none"/>
        </w:rPr>
      </w:pPr>
      <w:bookmarkStart w:id="262" w:name="_Toc68590972"/>
      <w:bookmarkStart w:id="263" w:name="_Toc9570"/>
      <w:bookmarkStart w:id="264" w:name="_Toc5731"/>
      <w:bookmarkStart w:id="265" w:name="_Toc4468"/>
      <w:r>
        <w:rPr>
          <w:rFonts w:hint="eastAsia" w:ascii="仿宋" w:hAnsi="仿宋" w:eastAsia="仿宋" w:cs="仿宋"/>
          <w:color w:val="auto"/>
          <w:sz w:val="30"/>
          <w:szCs w:val="30"/>
          <w:highlight w:val="none"/>
        </w:rPr>
        <w:t>四、响应文件的</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hint="eastAsia" w:ascii="仿宋" w:hAnsi="仿宋" w:eastAsia="仿宋" w:cs="仿宋"/>
          <w:color w:val="auto"/>
          <w:sz w:val="30"/>
          <w:szCs w:val="30"/>
          <w:highlight w:val="none"/>
          <w:lang w:val="en-US" w:eastAsia="zh-CN"/>
        </w:rPr>
        <w:t>加密</w:t>
      </w:r>
      <w:r>
        <w:rPr>
          <w:rFonts w:hint="eastAsia" w:ascii="仿宋" w:hAnsi="仿宋" w:eastAsia="仿宋" w:cs="仿宋"/>
          <w:color w:val="auto"/>
          <w:sz w:val="30"/>
          <w:szCs w:val="30"/>
          <w:highlight w:val="none"/>
        </w:rPr>
        <w:t>和递交</w:t>
      </w:r>
      <w:bookmarkEnd w:id="263"/>
      <w:bookmarkEnd w:id="264"/>
      <w:bookmarkEnd w:id="265"/>
    </w:p>
    <w:p w14:paraId="0CA01C2D">
      <w:pPr>
        <w:shd w:val="clear"/>
        <w:rPr>
          <w:rFonts w:hint="eastAsia" w:ascii="仿宋" w:hAnsi="仿宋" w:eastAsia="仿宋" w:cs="仿宋"/>
          <w:color w:val="auto"/>
          <w:highlight w:val="none"/>
        </w:rPr>
      </w:pPr>
    </w:p>
    <w:p w14:paraId="07C411A0">
      <w:pPr>
        <w:pStyle w:val="7"/>
        <w:shd w:val="clear"/>
        <w:rPr>
          <w:rFonts w:hint="eastAsia" w:ascii="仿宋" w:hAnsi="仿宋" w:eastAsia="仿宋" w:cs="仿宋"/>
          <w:b/>
          <w:color w:val="auto"/>
          <w:sz w:val="24"/>
          <w:szCs w:val="21"/>
          <w:highlight w:val="none"/>
          <w:lang w:eastAsia="zh-CN"/>
        </w:rPr>
      </w:pPr>
      <w:bookmarkStart w:id="266" w:name="_Toc389620187"/>
      <w:bookmarkStart w:id="267" w:name="_Toc385992348"/>
      <w:bookmarkStart w:id="268" w:name="_Toc249515299"/>
      <w:bookmarkStart w:id="269" w:name="_Toc249515411"/>
      <w:bookmarkStart w:id="270" w:name="_Toc4042"/>
      <w:bookmarkStart w:id="271" w:name="_Toc70687162"/>
      <w:bookmarkStart w:id="272" w:name="_Toc249525180"/>
      <w:bookmarkStart w:id="273" w:name="_Toc184043035"/>
      <w:r>
        <w:rPr>
          <w:rFonts w:hint="eastAsia" w:ascii="仿宋" w:hAnsi="仿宋" w:eastAsia="仿宋" w:cs="仿宋"/>
          <w:b/>
          <w:color w:val="auto"/>
          <w:sz w:val="24"/>
          <w:szCs w:val="21"/>
          <w:highlight w:val="none"/>
        </w:rPr>
        <w:t>17.    响应文件的</w:t>
      </w:r>
      <w:bookmarkEnd w:id="266"/>
      <w:bookmarkEnd w:id="267"/>
      <w:bookmarkEnd w:id="268"/>
      <w:bookmarkEnd w:id="269"/>
      <w:bookmarkEnd w:id="270"/>
      <w:bookmarkEnd w:id="271"/>
      <w:bookmarkEnd w:id="272"/>
      <w:bookmarkEnd w:id="273"/>
      <w:r>
        <w:rPr>
          <w:rFonts w:hint="eastAsia" w:ascii="仿宋" w:hAnsi="仿宋" w:eastAsia="仿宋" w:cs="仿宋"/>
          <w:b/>
          <w:color w:val="auto"/>
          <w:sz w:val="24"/>
          <w:szCs w:val="21"/>
          <w:highlight w:val="none"/>
          <w:lang w:val="en-US" w:eastAsia="zh-CN"/>
        </w:rPr>
        <w:t>加密</w:t>
      </w:r>
    </w:p>
    <w:p w14:paraId="417D70B3">
      <w:pPr>
        <w:shd w:val="clear" w:color="auto"/>
        <w:tabs>
          <w:tab w:val="left" w:pos="588"/>
        </w:tabs>
        <w:autoSpaceDE w:val="0"/>
        <w:autoSpaceDN w:val="0"/>
        <w:adjustRightInd w:val="0"/>
        <w:spacing w:line="360" w:lineRule="auto"/>
        <w:ind w:left="840" w:hanging="840" w:hangingChars="350"/>
        <w:rPr>
          <w:rFonts w:hint="eastAsia" w:ascii="仿宋" w:hAnsi="仿宋" w:eastAsia="仿宋" w:cs="仿宋"/>
          <w:color w:val="auto"/>
          <w:sz w:val="24"/>
          <w:szCs w:val="21"/>
          <w:highlight w:val="none"/>
        </w:rPr>
      </w:pPr>
      <w:bookmarkStart w:id="274" w:name="_Toc389620188"/>
      <w:bookmarkStart w:id="275" w:name="_Toc385992349"/>
      <w:bookmarkStart w:id="276" w:name="_Toc249525181"/>
      <w:bookmarkStart w:id="277" w:name="_Toc249515300"/>
      <w:bookmarkStart w:id="278" w:name="_Toc70687163"/>
      <w:bookmarkStart w:id="279" w:name="_Toc184043036"/>
      <w:bookmarkStart w:id="280" w:name="_Toc249515412"/>
      <w:bookmarkStart w:id="281" w:name="_Toc31171"/>
      <w:r>
        <w:rPr>
          <w:rFonts w:hint="eastAsia" w:ascii="仿宋" w:hAnsi="仿宋" w:eastAsia="仿宋" w:cs="仿宋"/>
          <w:color w:val="auto"/>
          <w:kern w:val="0"/>
          <w:sz w:val="24"/>
          <w:szCs w:val="21"/>
          <w:highlight w:val="none"/>
        </w:rPr>
        <w:t>17.1   加密要求：投标人应按照全国公共资源交易平台（陕西省·安康市）的要求对响应文件进行加密。投标人应承担加密操作失误产生的任何后果。</w:t>
      </w:r>
    </w:p>
    <w:p w14:paraId="073A1A90">
      <w:pPr>
        <w:pStyle w:val="2"/>
        <w:shd w:val="clear" w:color="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   书面方式不能准确描述采购需求或者需要对样品进行主观判断以确认是否满足采购需求的情况下需提交样品。成交单位样品不予退还，成为合同内容的一部分，做为验收依据。样品的要求见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p>
    <w:bookmarkEnd w:id="274"/>
    <w:bookmarkEnd w:id="275"/>
    <w:p w14:paraId="3EA42733">
      <w:pPr>
        <w:pStyle w:val="7"/>
        <w:shd w:val="clea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18.    响应文件递交截止时间</w:t>
      </w:r>
      <w:bookmarkEnd w:id="276"/>
      <w:bookmarkEnd w:id="277"/>
      <w:bookmarkEnd w:id="278"/>
      <w:bookmarkEnd w:id="279"/>
      <w:bookmarkEnd w:id="280"/>
      <w:bookmarkEnd w:id="281"/>
    </w:p>
    <w:p w14:paraId="7C60F600">
      <w:pPr>
        <w:shd w:val="clear"/>
        <w:tabs>
          <w:tab w:val="left" w:pos="588"/>
        </w:tabs>
        <w:spacing w:line="360" w:lineRule="auto"/>
        <w:rPr>
          <w:rFonts w:hint="eastAsia" w:ascii="仿宋" w:hAnsi="仿宋" w:eastAsia="仿宋" w:cs="仿宋"/>
          <w:color w:val="auto"/>
          <w:sz w:val="24"/>
          <w:highlight w:val="none"/>
        </w:rPr>
      </w:pPr>
      <w:bookmarkStart w:id="282" w:name="_Toc389620189"/>
      <w:bookmarkStart w:id="283" w:name="_Toc385992350"/>
      <w:bookmarkStart w:id="284" w:name="_Toc70687164"/>
      <w:bookmarkStart w:id="285" w:name="_Toc184043037"/>
      <w:r>
        <w:rPr>
          <w:rFonts w:hint="eastAsia" w:ascii="仿宋" w:hAnsi="仿宋" w:eastAsia="仿宋" w:cs="仿宋"/>
          <w:color w:val="auto"/>
          <w:sz w:val="24"/>
          <w:highlight w:val="none"/>
        </w:rPr>
        <w:t>18.1   响应文件递交截止时间和地点见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p>
    <w:p w14:paraId="79AF10E4">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18.2   供应商须由其合法的授权人在响应文件递交截止时间之前将响应文件递交到磋商</w:t>
      </w:r>
      <w:r>
        <w:rPr>
          <w:rFonts w:hint="eastAsia" w:ascii="仿宋" w:hAnsi="仿宋" w:eastAsia="仿宋" w:cs="仿宋"/>
          <w:color w:val="auto"/>
          <w:sz w:val="24"/>
          <w:highlight w:val="none"/>
          <w:lang w:val="en-US" w:eastAsia="zh-CN"/>
        </w:rPr>
        <w:t>文件</w:t>
      </w:r>
      <w:r>
        <w:rPr>
          <w:rFonts w:hint="eastAsia" w:ascii="仿宋" w:hAnsi="仿宋" w:eastAsia="仿宋" w:cs="仿宋"/>
          <w:color w:val="auto"/>
          <w:sz w:val="24"/>
          <w:highlight w:val="none"/>
        </w:rPr>
        <w:t>中规定的地点。供应商须承担因未送达所造成的一切责任。</w:t>
      </w:r>
    </w:p>
    <w:p w14:paraId="59CFF1A3">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1DB461E2">
      <w:pPr>
        <w:pStyle w:val="7"/>
        <w:shd w:val="clear"/>
        <w:rPr>
          <w:rFonts w:hint="eastAsia" w:ascii="仿宋" w:hAnsi="仿宋" w:eastAsia="仿宋" w:cs="仿宋"/>
          <w:b/>
          <w:color w:val="auto"/>
          <w:sz w:val="24"/>
          <w:szCs w:val="21"/>
          <w:highlight w:val="none"/>
        </w:rPr>
      </w:pPr>
      <w:bookmarkStart w:id="286" w:name="_Toc249515413"/>
      <w:bookmarkStart w:id="287" w:name="_Toc7175"/>
      <w:bookmarkStart w:id="288" w:name="_Toc249525182"/>
      <w:bookmarkStart w:id="289" w:name="_Toc249515301"/>
      <w:r>
        <w:rPr>
          <w:rFonts w:hint="eastAsia" w:ascii="仿宋" w:hAnsi="仿宋" w:eastAsia="仿宋" w:cs="仿宋"/>
          <w:b/>
          <w:color w:val="auto"/>
          <w:sz w:val="24"/>
          <w:szCs w:val="21"/>
          <w:highlight w:val="none"/>
        </w:rPr>
        <w:t>19.    迟交的响应文件</w:t>
      </w:r>
      <w:bookmarkEnd w:id="282"/>
      <w:bookmarkEnd w:id="283"/>
      <w:bookmarkEnd w:id="284"/>
      <w:bookmarkEnd w:id="285"/>
      <w:bookmarkEnd w:id="286"/>
      <w:bookmarkEnd w:id="287"/>
      <w:bookmarkEnd w:id="288"/>
      <w:bookmarkEnd w:id="289"/>
    </w:p>
    <w:p w14:paraId="27EF5080">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19.1   采购人将拒绝接收第18条规定的响应文件递交截止时间后递交的任何响应文件。</w:t>
      </w:r>
    </w:p>
    <w:p w14:paraId="7C7BC399">
      <w:pPr>
        <w:pStyle w:val="7"/>
        <w:shd w:val="clear"/>
        <w:rPr>
          <w:rFonts w:hint="eastAsia" w:ascii="仿宋" w:hAnsi="仿宋" w:eastAsia="仿宋" w:cs="仿宋"/>
          <w:b/>
          <w:color w:val="auto"/>
          <w:sz w:val="24"/>
          <w:szCs w:val="21"/>
          <w:highlight w:val="none"/>
        </w:rPr>
      </w:pPr>
      <w:bookmarkStart w:id="290" w:name="_Toc385992351"/>
      <w:bookmarkStart w:id="291" w:name="_Toc249525183"/>
      <w:bookmarkStart w:id="292" w:name="_Toc10272"/>
      <w:bookmarkStart w:id="293" w:name="_Toc249515302"/>
      <w:bookmarkStart w:id="294" w:name="_Toc184043038"/>
      <w:bookmarkStart w:id="295" w:name="_Toc249515414"/>
      <w:bookmarkStart w:id="296" w:name="_Toc389620190"/>
      <w:bookmarkStart w:id="297" w:name="_Toc70687165"/>
      <w:r>
        <w:rPr>
          <w:rFonts w:hint="eastAsia" w:ascii="仿宋" w:hAnsi="仿宋" w:eastAsia="仿宋" w:cs="仿宋"/>
          <w:b/>
          <w:color w:val="auto"/>
          <w:sz w:val="24"/>
          <w:szCs w:val="21"/>
          <w:highlight w:val="none"/>
        </w:rPr>
        <w:t>20.    响应文件的修改和撤</w:t>
      </w:r>
      <w:bookmarkEnd w:id="290"/>
      <w:bookmarkEnd w:id="291"/>
      <w:bookmarkEnd w:id="292"/>
      <w:bookmarkEnd w:id="293"/>
      <w:bookmarkEnd w:id="294"/>
      <w:bookmarkEnd w:id="295"/>
      <w:bookmarkEnd w:id="296"/>
      <w:bookmarkEnd w:id="297"/>
      <w:r>
        <w:rPr>
          <w:rFonts w:hint="eastAsia" w:ascii="仿宋" w:hAnsi="仿宋" w:eastAsia="仿宋" w:cs="仿宋"/>
          <w:b/>
          <w:color w:val="auto"/>
          <w:sz w:val="24"/>
          <w:szCs w:val="21"/>
          <w:highlight w:val="none"/>
        </w:rPr>
        <w:t>回</w:t>
      </w:r>
    </w:p>
    <w:p w14:paraId="4A3F18DF">
      <w:pPr>
        <w:shd w:val="clear"/>
        <w:tabs>
          <w:tab w:val="left" w:pos="588"/>
        </w:tabs>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20.1   供应商对响应文件修改的书面材料或撤回的通知应按第16和17条规定进行编写、</w:t>
      </w:r>
      <w:r>
        <w:rPr>
          <w:rFonts w:hint="eastAsia" w:ascii="仿宋" w:hAnsi="仿宋" w:eastAsia="仿宋" w:cs="仿宋"/>
          <w:color w:val="auto"/>
          <w:sz w:val="24"/>
          <w:highlight w:val="none"/>
          <w:lang w:val="en-US" w:eastAsia="zh-CN"/>
        </w:rPr>
        <w:t>加密</w:t>
      </w:r>
      <w:r>
        <w:rPr>
          <w:rFonts w:hint="eastAsia" w:ascii="仿宋" w:hAnsi="仿宋" w:eastAsia="仿宋" w:cs="仿宋"/>
          <w:color w:val="auto"/>
          <w:sz w:val="24"/>
          <w:highlight w:val="none"/>
        </w:rPr>
        <w:t>，并注明“修改响应文件”或“撤回响应文件”字样。</w:t>
      </w:r>
    </w:p>
    <w:p w14:paraId="3D3EC1FA">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   在响应文件递交截止时间之后，供应商不得对其响应文件做任何修改。</w:t>
      </w:r>
    </w:p>
    <w:p w14:paraId="47CFAE88">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20.3   供应商不得在响应文件递交截止时间起至响应文件有效期期满前撤销其响应文件。</w:t>
      </w:r>
    </w:p>
    <w:p w14:paraId="3EB9DB03">
      <w:pPr>
        <w:pStyle w:val="2"/>
        <w:shd w:val="clear"/>
        <w:rPr>
          <w:rFonts w:hint="eastAsia" w:ascii="仿宋" w:hAnsi="仿宋" w:eastAsia="仿宋" w:cs="仿宋"/>
          <w:color w:val="auto"/>
          <w:highlight w:val="none"/>
        </w:rPr>
      </w:pPr>
    </w:p>
    <w:p w14:paraId="308860C9">
      <w:pPr>
        <w:pStyle w:val="79"/>
        <w:shd w:val="clear"/>
        <w:spacing w:before="24" w:after="24"/>
        <w:ind w:left="3313"/>
        <w:rPr>
          <w:rFonts w:hint="eastAsia" w:ascii="仿宋" w:hAnsi="仿宋" w:eastAsia="仿宋" w:cs="仿宋"/>
          <w:color w:val="auto"/>
          <w:sz w:val="30"/>
          <w:szCs w:val="30"/>
          <w:highlight w:val="none"/>
        </w:rPr>
      </w:pPr>
      <w:bookmarkStart w:id="298" w:name="_Hlt491765712"/>
      <w:bookmarkEnd w:id="298"/>
      <w:bookmarkStart w:id="299" w:name="_Hlt497729441"/>
      <w:bookmarkEnd w:id="299"/>
      <w:bookmarkStart w:id="300" w:name="_Toc256342148"/>
      <w:bookmarkStart w:id="301" w:name="_Toc249515303"/>
      <w:bookmarkStart w:id="302" w:name="_Toc249525184"/>
      <w:bookmarkStart w:id="303" w:name="_Toc249515415"/>
      <w:bookmarkStart w:id="304" w:name="_Toc22509"/>
      <w:bookmarkStart w:id="305" w:name="_Toc20241"/>
      <w:bookmarkStart w:id="306" w:name="_Toc68590973"/>
      <w:bookmarkStart w:id="307" w:name="_Toc537"/>
      <w:bookmarkStart w:id="308" w:name="_Toc53722845"/>
      <w:bookmarkStart w:id="309" w:name="_Toc500747067"/>
      <w:bookmarkStart w:id="310" w:name="_Toc184043039"/>
      <w:bookmarkStart w:id="311" w:name="_Toc499711889"/>
      <w:bookmarkStart w:id="312" w:name="_Toc177817339"/>
      <w:bookmarkStart w:id="313" w:name="_Toc499711048"/>
      <w:bookmarkStart w:id="314" w:name="_Toc492955420"/>
      <w:bookmarkStart w:id="315" w:name="_Toc177189240"/>
      <w:bookmarkStart w:id="316" w:name="_Toc496324584"/>
      <w:bookmarkStart w:id="317" w:name="_Toc385992352"/>
      <w:bookmarkStart w:id="318" w:name="_Toc389620191"/>
      <w:bookmarkStart w:id="319" w:name="_Toc500746971"/>
      <w:bookmarkStart w:id="320" w:name="_Toc176882547"/>
      <w:bookmarkStart w:id="321" w:name="_Toc500747194"/>
      <w:bookmarkStart w:id="322" w:name="_Toc70687166"/>
      <w:bookmarkStart w:id="323" w:name="_Toc177995478"/>
      <w:bookmarkStart w:id="324" w:name="_Toc503063427"/>
      <w:r>
        <w:rPr>
          <w:rFonts w:hint="eastAsia" w:ascii="仿宋" w:hAnsi="仿宋" w:eastAsia="仿宋" w:cs="仿宋"/>
          <w:color w:val="auto"/>
          <w:sz w:val="30"/>
          <w:szCs w:val="30"/>
          <w:highlight w:val="none"/>
        </w:rPr>
        <w:t>五、评审与</w:t>
      </w:r>
      <w:bookmarkEnd w:id="300"/>
      <w:bookmarkEnd w:id="301"/>
      <w:bookmarkEnd w:id="302"/>
      <w:bookmarkEnd w:id="303"/>
      <w:r>
        <w:rPr>
          <w:rFonts w:hint="eastAsia" w:ascii="仿宋" w:hAnsi="仿宋" w:eastAsia="仿宋" w:cs="仿宋"/>
          <w:color w:val="auto"/>
          <w:sz w:val="30"/>
          <w:szCs w:val="30"/>
          <w:highlight w:val="none"/>
        </w:rPr>
        <w:t>磋商</w:t>
      </w:r>
      <w:bookmarkEnd w:id="304"/>
      <w:bookmarkEnd w:id="305"/>
      <w:bookmarkEnd w:id="306"/>
      <w:bookmarkEnd w:id="307"/>
    </w:p>
    <w:p w14:paraId="66096A6A">
      <w:pPr>
        <w:pStyle w:val="7"/>
        <w:numPr>
          <w:ilvl w:val="0"/>
          <w:numId w:val="9"/>
        </w:numPr>
        <w:shd w:val="clear"/>
        <w:rPr>
          <w:rFonts w:hint="eastAsia" w:ascii="仿宋" w:hAnsi="仿宋" w:eastAsia="仿宋" w:cs="仿宋"/>
          <w:b/>
          <w:color w:val="auto"/>
          <w:sz w:val="24"/>
          <w:highlight w:val="none"/>
        </w:rPr>
      </w:pPr>
      <w:bookmarkStart w:id="325" w:name="_Toc16042"/>
      <w:bookmarkStart w:id="326" w:name="_Toc249515305"/>
      <w:bookmarkStart w:id="327" w:name="_Toc249525186"/>
      <w:bookmarkStart w:id="328" w:name="_Toc249515417"/>
      <w:r>
        <w:rPr>
          <w:rFonts w:hint="eastAsia" w:ascii="仿宋" w:hAnsi="仿宋" w:eastAsia="仿宋" w:cs="仿宋"/>
          <w:b/>
          <w:color w:val="auto"/>
          <w:sz w:val="24"/>
          <w:highlight w:val="none"/>
        </w:rPr>
        <w:t xml:space="preserve">   磋商小组</w:t>
      </w:r>
      <w:bookmarkEnd w:id="325"/>
      <w:bookmarkEnd w:id="326"/>
      <w:bookmarkEnd w:id="327"/>
      <w:bookmarkEnd w:id="328"/>
    </w:p>
    <w:p w14:paraId="719740DE">
      <w:pPr>
        <w:pStyle w:val="29"/>
        <w:shd w:val="clear"/>
        <w:adjustRightInd w:val="0"/>
        <w:snapToGrid w:val="0"/>
        <w:ind w:left="840" w:hanging="840" w:hangingChars="350"/>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rPr>
        <w:t>21.1   在磋商开始前组建磋商小组，磋商小组由采购人代表和有关专家组成。专家从政府采购评审专家库相关专业中随机抽取。磋商小组组成见</w:t>
      </w:r>
      <w:r>
        <w:rPr>
          <w:rFonts w:hint="eastAsia" w:ascii="仿宋" w:hAnsi="仿宋" w:eastAsia="仿宋" w:cs="仿宋"/>
          <w:b/>
          <w:color w:val="auto"/>
          <w:sz w:val="24"/>
          <w:highlight w:val="none"/>
        </w:rPr>
        <w:t>供应商须知前附表。</w:t>
      </w:r>
    </w:p>
    <w:p w14:paraId="668F653E">
      <w:pPr>
        <w:pStyle w:val="29"/>
        <w:shd w:val="clear"/>
        <w:adjustRightInd w:val="0"/>
        <w:snapToGrid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   磋商小组职责</w:t>
      </w:r>
    </w:p>
    <w:p w14:paraId="3AF5793F">
      <w:pPr>
        <w:pStyle w:val="29"/>
        <w:shd w:val="clear"/>
        <w:adjustRightInd w:val="0"/>
        <w:snapToGrid w:val="0"/>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（1）确认竞争性磋商文件；</w:t>
      </w:r>
    </w:p>
    <w:p w14:paraId="6AC88B28">
      <w:pPr>
        <w:pStyle w:val="29"/>
        <w:shd w:val="clear"/>
        <w:adjustRightInd w:val="0"/>
        <w:snapToGrid w:val="0"/>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（2）审查通过了资格审查的供应商响应文件并做出评价；</w:t>
      </w:r>
    </w:p>
    <w:p w14:paraId="6266D476">
      <w:pPr>
        <w:pStyle w:val="29"/>
        <w:shd w:val="clear"/>
        <w:adjustRightInd w:val="0"/>
        <w:snapToGrid w:val="0"/>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（3）要求供应商解释或者澄清其响应文件；</w:t>
      </w:r>
    </w:p>
    <w:p w14:paraId="0EDB5874">
      <w:pPr>
        <w:pStyle w:val="29"/>
        <w:shd w:val="clear"/>
        <w:adjustRightInd w:val="0"/>
        <w:snapToGrid w:val="0"/>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（4）编写评审报告；</w:t>
      </w:r>
    </w:p>
    <w:p w14:paraId="0D5A536B">
      <w:pPr>
        <w:pStyle w:val="29"/>
        <w:shd w:val="clear"/>
        <w:adjustRightInd w:val="0"/>
        <w:snapToGrid w:val="0"/>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（5）告知采购人、采购代理机构在评审过程中发现的供应商的违法违规行为。</w:t>
      </w:r>
    </w:p>
    <w:p w14:paraId="49F3C376">
      <w:pPr>
        <w:pStyle w:val="29"/>
        <w:shd w:val="clear"/>
        <w:adjustRightInd w:val="0"/>
        <w:snapToGrid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   磋商小组义务</w:t>
      </w:r>
    </w:p>
    <w:p w14:paraId="4F099C07">
      <w:pPr>
        <w:pStyle w:val="29"/>
        <w:shd w:val="clear"/>
        <w:adjustRightInd w:val="0"/>
        <w:snapToGrid w:val="0"/>
        <w:ind w:left="838" w:leftChars="3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（1）遵纪客观、公正、审慎的原则；</w:t>
      </w:r>
    </w:p>
    <w:p w14:paraId="5F8F5E9B">
      <w:pPr>
        <w:pStyle w:val="29"/>
        <w:shd w:val="clear"/>
        <w:adjustRightInd w:val="0"/>
        <w:snapToGrid w:val="0"/>
        <w:ind w:left="838" w:leftChars="3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（2）根据磋商文件的规定评审程序、评审方法和评审标准独立进行评审，对个人的评审意见承担法律责任；</w:t>
      </w:r>
    </w:p>
    <w:p w14:paraId="3218BD04">
      <w:pPr>
        <w:pStyle w:val="29"/>
        <w:shd w:val="clear"/>
        <w:adjustRightInd w:val="0"/>
        <w:snapToGrid w:val="0"/>
        <w:ind w:left="838" w:leftChars="3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（3）参与评审报告的起草；</w:t>
      </w:r>
    </w:p>
    <w:p w14:paraId="35E74DF5">
      <w:pPr>
        <w:pStyle w:val="29"/>
        <w:shd w:val="clear"/>
        <w:adjustRightInd w:val="0"/>
        <w:snapToGrid w:val="0"/>
        <w:ind w:left="838" w:leftChars="3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（4）配合采购人、采购代理机构答复供应商提出的质疑；</w:t>
      </w:r>
    </w:p>
    <w:p w14:paraId="6F4212F5">
      <w:pPr>
        <w:pStyle w:val="29"/>
        <w:shd w:val="clear"/>
        <w:adjustRightInd w:val="0"/>
        <w:snapToGrid w:val="0"/>
        <w:ind w:left="838" w:leftChars="3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（5）配合财政部门的投诉处理和监督检查工作。</w:t>
      </w:r>
    </w:p>
    <w:p w14:paraId="126F5661">
      <w:pPr>
        <w:pStyle w:val="29"/>
        <w:shd w:val="clear"/>
        <w:adjustRightInd w:val="0"/>
        <w:snapToGrid w:val="0"/>
        <w:ind w:left="840" w:hanging="840" w:hangingChars="3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   确认磋商文件：磋商小组对磋商文件进行审阅，无修改进行签字确认，有修改，修改内容经采购人确认后，磋商小组以书面形式通知所有供应商。</w:t>
      </w:r>
    </w:p>
    <w:p w14:paraId="05BE2608">
      <w:pPr>
        <w:pStyle w:val="7"/>
        <w:shd w:val="clea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22.    磋商小组成员有下列情形之一的，应当回避：</w:t>
      </w:r>
    </w:p>
    <w:p w14:paraId="648F5E2B">
      <w:pPr>
        <w:pStyle w:val="7"/>
        <w:shd w:val="clear"/>
        <w:tabs>
          <w:tab w:val="left" w:pos="360"/>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22.1   参加采购活动前3年内与供应商存在劳动关系；</w:t>
      </w:r>
    </w:p>
    <w:p w14:paraId="4AFF286B">
      <w:pPr>
        <w:pStyle w:val="7"/>
        <w:shd w:val="clear"/>
        <w:tabs>
          <w:tab w:val="left" w:pos="360"/>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22.2   参加采购活动前3年内担任供应商的董事、监事；</w:t>
      </w:r>
    </w:p>
    <w:p w14:paraId="1E1E3356">
      <w:pPr>
        <w:pStyle w:val="7"/>
        <w:shd w:val="clear"/>
        <w:tabs>
          <w:tab w:val="left" w:pos="360"/>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22.3   参加采购活动前3年内是供应商的控股股东或者实际控制人；</w:t>
      </w:r>
    </w:p>
    <w:p w14:paraId="5D1DA571">
      <w:pPr>
        <w:pStyle w:val="7"/>
        <w:shd w:val="clear"/>
        <w:tabs>
          <w:tab w:val="left" w:pos="360"/>
        </w:tabs>
        <w:ind w:left="840" w:hanging="840" w:hangingChars="35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22.4   与供应商的法定代表人或者负责人有夫妻、直系血亲、三代以内旁系血亲或者近姻亲关系；</w:t>
      </w:r>
    </w:p>
    <w:p w14:paraId="46720407">
      <w:pPr>
        <w:pStyle w:val="7"/>
        <w:shd w:val="clear"/>
        <w:tabs>
          <w:tab w:val="left" w:pos="360"/>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22.5   与供应商有其他可能影响政府采购活动公平、公正进行的关系。</w:t>
      </w:r>
    </w:p>
    <w:p w14:paraId="17CD59C3">
      <w:pPr>
        <w:pStyle w:val="7"/>
        <w:shd w:val="clear"/>
        <w:rPr>
          <w:rFonts w:hint="eastAsia" w:ascii="仿宋" w:hAnsi="仿宋" w:eastAsia="仿宋" w:cs="仿宋"/>
          <w:b/>
          <w:color w:val="auto"/>
          <w:sz w:val="24"/>
          <w:szCs w:val="21"/>
          <w:highlight w:val="none"/>
        </w:rPr>
      </w:pPr>
      <w:bookmarkStart w:id="329" w:name="_Toc249515418"/>
      <w:bookmarkStart w:id="330" w:name="_Toc20608"/>
      <w:bookmarkStart w:id="331" w:name="_Toc83547667"/>
      <w:bookmarkStart w:id="332" w:name="_Toc249515306"/>
      <w:bookmarkStart w:id="333" w:name="_Toc249525187"/>
      <w:r>
        <w:rPr>
          <w:rFonts w:hint="eastAsia" w:ascii="仿宋" w:hAnsi="仿宋" w:eastAsia="仿宋" w:cs="仿宋"/>
          <w:b/>
          <w:color w:val="auto"/>
          <w:sz w:val="24"/>
          <w:szCs w:val="21"/>
          <w:highlight w:val="none"/>
        </w:rPr>
        <w:t>23.    磋商程序</w:t>
      </w:r>
    </w:p>
    <w:p w14:paraId="54C64805">
      <w:pPr>
        <w:pStyle w:val="7"/>
        <w:shd w:val="clear"/>
        <w:tabs>
          <w:tab w:val="left" w:pos="360"/>
        </w:tabs>
        <w:rPr>
          <w:rFonts w:hint="eastAsia" w:ascii="仿宋" w:hAnsi="仿宋" w:eastAsia="仿宋" w:cs="仿宋"/>
          <w:b/>
          <w:color w:val="auto"/>
          <w:sz w:val="24"/>
          <w:szCs w:val="21"/>
          <w:highlight w:val="none"/>
        </w:rPr>
      </w:pPr>
      <w:bookmarkStart w:id="334" w:name="_Toc58504507"/>
      <w:r>
        <w:rPr>
          <w:rFonts w:hint="eastAsia" w:ascii="仿宋" w:hAnsi="仿宋" w:eastAsia="仿宋" w:cs="仿宋"/>
          <w:b/>
          <w:color w:val="auto"/>
          <w:sz w:val="24"/>
          <w:szCs w:val="21"/>
          <w:highlight w:val="none"/>
        </w:rPr>
        <w:t>23.1   磋商会议</w:t>
      </w:r>
      <w:bookmarkEnd w:id="334"/>
    </w:p>
    <w:p w14:paraId="7073AF62">
      <w:pPr>
        <w:pStyle w:val="2"/>
        <w:shd w:val="clear"/>
        <w:ind w:left="840" w:leftChars="400"/>
        <w:rPr>
          <w:rFonts w:hint="eastAsia" w:ascii="仿宋" w:hAnsi="仿宋" w:eastAsia="仿宋" w:cs="仿宋"/>
          <w:color w:val="auto"/>
          <w:sz w:val="24"/>
          <w:szCs w:val="32"/>
          <w:highlight w:val="none"/>
        </w:rPr>
      </w:pPr>
      <w:bookmarkStart w:id="335" w:name="_Toc58504508"/>
      <w:r>
        <w:rPr>
          <w:rFonts w:hint="eastAsia" w:ascii="仿宋" w:hAnsi="仿宋" w:eastAsia="仿宋" w:cs="仿宋"/>
          <w:color w:val="auto"/>
          <w:sz w:val="24"/>
          <w:szCs w:val="32"/>
          <w:highlight w:val="none"/>
        </w:rPr>
        <w:t>（1）在磋商文件规定的时间和地点，由采购代理机构组织磋商工作，供应商须委派代表参加，签</w:t>
      </w:r>
      <w:r>
        <w:rPr>
          <w:rFonts w:hint="eastAsia" w:ascii="仿宋" w:hAnsi="仿宋" w:eastAsia="仿宋" w:cs="仿宋"/>
          <w:color w:val="auto"/>
          <w:sz w:val="24"/>
          <w:szCs w:val="32"/>
          <w:highlight w:val="none"/>
          <w:lang w:val="en-US" w:eastAsia="zh-CN"/>
        </w:rPr>
        <w:t>到</w:t>
      </w:r>
      <w:r>
        <w:rPr>
          <w:rFonts w:hint="eastAsia" w:ascii="仿宋" w:hAnsi="仿宋" w:eastAsia="仿宋" w:cs="仿宋"/>
          <w:color w:val="auto"/>
          <w:sz w:val="24"/>
          <w:szCs w:val="32"/>
          <w:highlight w:val="none"/>
        </w:rPr>
        <w:t>以证明其出席。</w:t>
      </w:r>
      <w:bookmarkEnd w:id="335"/>
    </w:p>
    <w:p w14:paraId="1B08C9BA">
      <w:pPr>
        <w:pStyle w:val="2"/>
        <w:shd w:val="clear" w:color="auto"/>
        <w:ind w:left="840" w:leftChars="400"/>
        <w:rPr>
          <w:rFonts w:hint="eastAsia" w:ascii="仿宋" w:hAnsi="仿宋" w:eastAsia="仿宋" w:cs="仿宋"/>
          <w:color w:val="auto"/>
          <w:sz w:val="24"/>
          <w:szCs w:val="32"/>
          <w:highlight w:val="none"/>
        </w:rPr>
      </w:pPr>
      <w:bookmarkStart w:id="336" w:name="_Toc58504511"/>
      <w:r>
        <w:rPr>
          <w:rFonts w:hint="eastAsia" w:ascii="仿宋" w:hAnsi="仿宋" w:eastAsia="仿宋" w:cs="仿宋"/>
          <w:color w:val="auto"/>
          <w:sz w:val="24"/>
          <w:szCs w:val="32"/>
          <w:highlight w:val="none"/>
        </w:rPr>
        <w:t>（2）</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时，按照工作人员要求进行解密，使用电子磋商响应文件加密时所用的数字认证证书（CA锁）自行解密电子磋商响应文件，</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需在解密时间规定内完成标书解密。</w:t>
      </w:r>
    </w:p>
    <w:p w14:paraId="40F41819">
      <w:pPr>
        <w:pStyle w:val="7"/>
        <w:shd w:val="clear"/>
        <w:tabs>
          <w:tab w:val="left" w:pos="360"/>
        </w:tabs>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23.2  响应文件</w:t>
      </w:r>
      <w:bookmarkEnd w:id="329"/>
      <w:bookmarkEnd w:id="330"/>
      <w:bookmarkEnd w:id="331"/>
      <w:bookmarkEnd w:id="332"/>
      <w:bookmarkEnd w:id="333"/>
      <w:r>
        <w:rPr>
          <w:rFonts w:hint="eastAsia" w:ascii="仿宋" w:hAnsi="仿宋" w:eastAsia="仿宋" w:cs="仿宋"/>
          <w:b/>
          <w:color w:val="auto"/>
          <w:sz w:val="24"/>
          <w:szCs w:val="21"/>
          <w:highlight w:val="none"/>
        </w:rPr>
        <w:t>评审</w:t>
      </w:r>
      <w:bookmarkEnd w:id="336"/>
    </w:p>
    <w:p w14:paraId="07157DC5">
      <w:pPr>
        <w:shd w:val="clear"/>
        <w:tabs>
          <w:tab w:val="left" w:pos="360"/>
          <w:tab w:val="left" w:pos="588"/>
        </w:tabs>
        <w:spacing w:line="360" w:lineRule="auto"/>
        <w:ind w:left="843" w:hanging="843" w:hangingChars="350"/>
        <w:rPr>
          <w:rFonts w:hint="eastAsia" w:ascii="仿宋" w:hAnsi="仿宋" w:eastAsia="仿宋" w:cs="仿宋"/>
          <w:color w:val="auto"/>
          <w:sz w:val="24"/>
          <w:highlight w:val="none"/>
        </w:rPr>
      </w:pPr>
      <w:bookmarkStart w:id="337" w:name="_Toc83547671"/>
      <w:r>
        <w:rPr>
          <w:rFonts w:hint="eastAsia" w:ascii="仿宋" w:hAnsi="仿宋" w:eastAsia="仿宋" w:cs="仿宋"/>
          <w:b/>
          <w:color w:val="auto"/>
          <w:sz w:val="24"/>
          <w:highlight w:val="none"/>
        </w:rPr>
        <w:t>23.2.1 响应文件的资格性审查</w:t>
      </w:r>
    </w:p>
    <w:p w14:paraId="46BCB720">
      <w:pPr>
        <w:shd w:val="clear"/>
        <w:tabs>
          <w:tab w:val="left" w:pos="360"/>
          <w:tab w:val="left" w:pos="588"/>
        </w:tabs>
        <w:spacing w:line="360" w:lineRule="auto"/>
        <w:ind w:left="630" w:leftChars="300"/>
        <w:rPr>
          <w:rFonts w:hint="eastAsia" w:ascii="仿宋" w:hAnsi="仿宋" w:eastAsia="仿宋" w:cs="仿宋"/>
          <w:color w:val="auto"/>
          <w:sz w:val="24"/>
          <w:highlight w:val="none"/>
        </w:rPr>
      </w:pPr>
      <w:r>
        <w:rPr>
          <w:rFonts w:hint="eastAsia" w:ascii="仿宋" w:hAnsi="仿宋" w:eastAsia="仿宋" w:cs="仿宋"/>
          <w:b/>
          <w:color w:val="auto"/>
          <w:sz w:val="24"/>
          <w:highlight w:val="none"/>
        </w:rPr>
        <w:t>采购人或采购代理机构负责</w:t>
      </w:r>
      <w:r>
        <w:rPr>
          <w:rFonts w:hint="eastAsia" w:ascii="仿宋" w:hAnsi="仿宋" w:eastAsia="仿宋" w:cs="仿宋"/>
          <w:color w:val="auto"/>
          <w:sz w:val="24"/>
          <w:highlight w:val="none"/>
        </w:rPr>
        <w:t>对响应文件中的资格证明文件、信用查询记录等进行审查，以确认供应商具备相应资格。资格性审查出现下列情况者（但不限于），按无效文件处理：</w:t>
      </w:r>
    </w:p>
    <w:p w14:paraId="460A7A43">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highlight w:val="none"/>
        </w:rPr>
        <w:t>（</w:t>
      </w:r>
      <w:r>
        <w:rPr>
          <w:rFonts w:hint="eastAsia" w:ascii="仿宋" w:hAnsi="仿宋" w:eastAsia="仿宋" w:cs="仿宋"/>
          <w:color w:val="auto"/>
          <w:sz w:val="24"/>
          <w:highlight w:val="none"/>
        </w:rPr>
        <w:t>1）供应商不符合《中华人民共和国政府采购法》第二十二条的规定和特定资格条件要求的。</w:t>
      </w:r>
    </w:p>
    <w:p w14:paraId="04D06D22">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（2）供应商没有经过正常渠道购买或免费领取磋商文件或供应商的名称与获取磋商文件单位的名称不符。</w:t>
      </w:r>
    </w:p>
    <w:p w14:paraId="67D593D9">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（3）磋商响应文件中未提交法定代表人</w:t>
      </w:r>
      <w:r>
        <w:rPr>
          <w:rFonts w:hint="eastAsia" w:ascii="仿宋" w:hAnsi="仿宋" w:eastAsia="仿宋" w:cs="仿宋"/>
          <w:color w:val="auto"/>
          <w:sz w:val="24"/>
          <w:highlight w:val="none"/>
          <w:lang w:val="en-US" w:eastAsia="zh-CN"/>
        </w:rPr>
        <w:t>委托</w:t>
      </w:r>
      <w:r>
        <w:rPr>
          <w:rFonts w:hint="eastAsia" w:ascii="仿宋" w:hAnsi="仿宋" w:eastAsia="仿宋" w:cs="仿宋"/>
          <w:color w:val="auto"/>
          <w:sz w:val="24"/>
          <w:highlight w:val="none"/>
        </w:rPr>
        <w:t>授权书（法定代表人直接参加磋商未按要求提交其有效身份证）或</w:t>
      </w:r>
      <w:r>
        <w:rPr>
          <w:rFonts w:hint="eastAsia" w:ascii="仿宋" w:hAnsi="仿宋" w:eastAsia="仿宋" w:cs="仿宋"/>
          <w:color w:val="auto"/>
          <w:sz w:val="24"/>
          <w:highlight w:val="none"/>
          <w:lang w:val="en-US" w:eastAsia="zh-CN"/>
        </w:rPr>
        <w:t>委托</w:t>
      </w:r>
      <w:r>
        <w:rPr>
          <w:rFonts w:hint="eastAsia" w:ascii="仿宋" w:hAnsi="仿宋" w:eastAsia="仿宋" w:cs="仿宋"/>
          <w:color w:val="auto"/>
          <w:sz w:val="24"/>
          <w:highlight w:val="none"/>
        </w:rPr>
        <w:t>授权书的合法性或有效性不符合磋商文件规定。</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本单位证明的有效性或符合性不符合要求的。</w:t>
      </w:r>
    </w:p>
    <w:p w14:paraId="6581BB63">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F00E13E">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073D58B">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采购人或采购代理机构经办人将查询网页打印并存档备查。</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不良信用记录以采购人或采购代理机构查询结果为准。</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自行提供的与网站信息不一致的其他证明材料亦不作为资格审查依据。</w:t>
      </w:r>
    </w:p>
    <w:p w14:paraId="15BD706E">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在本</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文件规定的查询时间之外，网站信息发生的任何变更均不作为资格审查依据。</w:t>
      </w:r>
    </w:p>
    <w:p w14:paraId="541A54F4">
      <w:pPr>
        <w:pStyle w:val="2"/>
        <w:shd w:val="clear"/>
        <w:ind w:left="843" w:hanging="843" w:hangingChars="350"/>
        <w:rPr>
          <w:rFonts w:hint="eastAsia" w:ascii="仿宋" w:hAnsi="仿宋" w:eastAsia="仿宋" w:cs="仿宋"/>
          <w:color w:val="auto"/>
          <w:sz w:val="24"/>
          <w:highlight w:val="none"/>
        </w:rPr>
      </w:pPr>
      <w:r>
        <w:rPr>
          <w:rFonts w:hint="eastAsia" w:ascii="仿宋" w:hAnsi="仿宋" w:eastAsia="仿宋" w:cs="仿宋"/>
          <w:b/>
          <w:color w:val="auto"/>
          <w:sz w:val="24"/>
          <w:highlight w:val="none"/>
        </w:rPr>
        <w:t>23.2.2 磋商响应文件有效性、完整性和响应程度审查：磋商小组</w:t>
      </w:r>
      <w:r>
        <w:rPr>
          <w:rFonts w:hint="eastAsia" w:ascii="仿宋" w:hAnsi="仿宋" w:eastAsia="仿宋" w:cs="仿宋"/>
          <w:color w:val="auto"/>
          <w:sz w:val="24"/>
          <w:highlight w:val="none"/>
        </w:rPr>
        <w:t>负责对通过资格审查的响应文件的有效性、完整性和响应性进行审查，以确定是否满足磋商文件要求，出现下列情况者（但不限于），按无效文件处理。</w:t>
      </w:r>
    </w:p>
    <w:p w14:paraId="0D21C63B">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（1）供应商未按磋商文件要求加盖单位公章。</w:t>
      </w:r>
    </w:p>
    <w:p w14:paraId="237D17DF">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（2）磋商响应文件未按磋商文件要求进行法定代表人或其</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w:t>
      </w:r>
    </w:p>
    <w:p w14:paraId="36ADBBE6">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（3）无有效期或有效期达不到磋商文件的要求。</w:t>
      </w:r>
    </w:p>
    <w:p w14:paraId="533FE340">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（4）供应商首次磋商报价出现选择性报价。</w:t>
      </w:r>
    </w:p>
    <w:p w14:paraId="7E2E55B4">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（5）首次磋商报价超出采购预算</w:t>
      </w:r>
      <w:r>
        <w:rPr>
          <w:rFonts w:hint="eastAsia" w:ascii="仿宋" w:hAnsi="仿宋" w:eastAsia="仿宋" w:cs="仿宋"/>
          <w:color w:val="auto"/>
          <w:sz w:val="24"/>
          <w:highlight w:val="none"/>
          <w:lang w:val="en-US" w:eastAsia="zh-CN"/>
        </w:rPr>
        <w:t>或最高限价</w:t>
      </w:r>
      <w:r>
        <w:rPr>
          <w:rFonts w:hint="eastAsia" w:ascii="仿宋" w:hAnsi="仿宋" w:eastAsia="仿宋" w:cs="仿宋"/>
          <w:color w:val="auto"/>
          <w:sz w:val="24"/>
          <w:highlight w:val="none"/>
        </w:rPr>
        <w:t>。</w:t>
      </w:r>
    </w:p>
    <w:p w14:paraId="417B74B2">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（6）响应文件中对合同草案条款附加了采购人难以接受的条件。</w:t>
      </w:r>
    </w:p>
    <w:p w14:paraId="2E898859">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（7）磋商内容出现漏项或数量与要求不符，出现重大负偏差。</w:t>
      </w:r>
    </w:p>
    <w:p w14:paraId="25D3DC1A">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（8）响应文件中技术指标达不到采购要求，降低了产品档次或影响产品性能、功能。</w:t>
      </w:r>
    </w:p>
    <w:p w14:paraId="1C8826F0">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（9）响应报价与市场价偏离较大，低于成本，形成不正当竞争。</w:t>
      </w:r>
    </w:p>
    <w:p w14:paraId="2321A692">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（10）供应商提供虚假证明，开具虚假资质，出现虚假应答或故意隐瞒行为。</w:t>
      </w:r>
    </w:p>
    <w:p w14:paraId="0856A9FE">
      <w:pPr>
        <w:pStyle w:val="2"/>
        <w:shd w:val="clear"/>
        <w:ind w:left="840" w:leftChars="4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6F311270">
      <w:pPr>
        <w:pStyle w:val="2"/>
        <w:shd w:val="clear"/>
        <w:ind w:left="840" w:leftChars="4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371CA6FF">
      <w:pPr>
        <w:spacing w:line="360" w:lineRule="auto"/>
        <w:ind w:left="718" w:leftChars="342" w:firstLine="0" w:firstLineChars="0"/>
        <w:rPr>
          <w:rFonts w:hint="default" w:ascii="Times New Roman" w:hAnsi="Times New Roman" w:eastAsia="仿宋_GB2312" w:cs="Times New Roman"/>
          <w:sz w:val="24"/>
          <w:highlight w:val="none"/>
          <w:lang w:val="en-US" w:eastAsia="zh-CN"/>
        </w:rPr>
      </w:pPr>
      <w:r>
        <w:rPr>
          <w:rFonts w:hint="eastAsia" w:eastAsia="仿宋_GB2312" w:cs="Times New Roman"/>
          <w:sz w:val="24"/>
          <w:highlight w:val="none"/>
          <w:lang w:val="en-US" w:eastAsia="zh-CN"/>
        </w:rPr>
        <w:t>23.2.3</w:t>
      </w:r>
      <w:r>
        <w:rPr>
          <w:rFonts w:hint="default" w:ascii="Times New Roman" w:hAnsi="Times New Roman" w:eastAsia="仿宋_GB2312" w:cs="Times New Roman"/>
          <w:sz w:val="24"/>
          <w:highlight w:val="none"/>
          <w:lang w:val="en-US" w:eastAsia="zh-CN"/>
        </w:rPr>
        <w:t>支持本国产品。根据《国务院办公厅关于在政府采购中实施本国产品标准及相关政策的通知》（国办发﹝2025﹞34号）要求，</w:t>
      </w:r>
      <w:r>
        <w:rPr>
          <w:rFonts w:hint="default" w:ascii="Times New Roman" w:hAnsi="Times New Roman" w:eastAsia="仿宋_GB2312" w:cs="Times New Roman"/>
          <w:sz w:val="24"/>
          <w:highlight w:val="none"/>
          <w:lang w:eastAsia="zh-CN"/>
        </w:rPr>
        <w:t>政府采购货物项目和服务项目中涉及的货物，</w:t>
      </w:r>
      <w:r>
        <w:rPr>
          <w:rFonts w:hint="default" w:ascii="Times New Roman" w:hAnsi="Times New Roman" w:eastAsia="仿宋_GB2312" w:cs="Times New Roman"/>
          <w:sz w:val="24"/>
          <w:highlight w:val="none"/>
          <w:lang w:val="en-US" w:eastAsia="zh-CN"/>
        </w:rPr>
        <w:t>既有本国产品又有非本国产品参与竞争的，依法对本国产品给予价格评审优惠，对本国产品的报价给子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第七章投标文件格式）或财政部会同有关部门规定的有关证明文件，《声明函》或有关证明文件符合要求的，该产品视为本国产品。本项目适用情形详见“供应商须知前附表”的规定。</w:t>
      </w:r>
    </w:p>
    <w:p w14:paraId="008975AF">
      <w:pPr>
        <w:pStyle w:val="7"/>
        <w:shd w:val="clear"/>
        <w:tabs>
          <w:tab w:val="left" w:pos="360"/>
        </w:tabs>
        <w:rPr>
          <w:rFonts w:hint="eastAsia" w:ascii="仿宋" w:hAnsi="仿宋" w:eastAsia="仿宋" w:cs="仿宋"/>
          <w:b/>
          <w:color w:val="auto"/>
          <w:sz w:val="24"/>
          <w:szCs w:val="21"/>
          <w:highlight w:val="none"/>
        </w:rPr>
      </w:pPr>
      <w:bookmarkStart w:id="338" w:name="_Toc58504512"/>
      <w:r>
        <w:rPr>
          <w:rFonts w:hint="eastAsia" w:ascii="仿宋" w:hAnsi="仿宋" w:eastAsia="仿宋" w:cs="仿宋"/>
          <w:b/>
          <w:color w:val="auto"/>
          <w:sz w:val="24"/>
          <w:szCs w:val="21"/>
          <w:highlight w:val="none"/>
        </w:rPr>
        <w:t>23.3   磋商</w:t>
      </w:r>
      <w:bookmarkEnd w:id="338"/>
    </w:p>
    <w:p w14:paraId="3852771F">
      <w:pPr>
        <w:pStyle w:val="2"/>
        <w:shd w:val="clear"/>
        <w:ind w:left="840" w:hanging="840" w:hangingChars="350"/>
        <w:rPr>
          <w:rFonts w:hint="eastAsia" w:ascii="仿宋" w:hAnsi="仿宋" w:eastAsia="仿宋" w:cs="仿宋"/>
          <w:color w:val="auto"/>
          <w:sz w:val="24"/>
          <w:highlight w:val="none"/>
        </w:rPr>
      </w:pPr>
      <w:bookmarkStart w:id="339" w:name="_Toc58504513"/>
      <w:r>
        <w:rPr>
          <w:rFonts w:hint="eastAsia" w:ascii="仿宋" w:hAnsi="仿宋" w:eastAsia="仿宋" w:cs="仿宋"/>
          <w:color w:val="auto"/>
          <w:sz w:val="24"/>
          <w:highlight w:val="none"/>
        </w:rPr>
        <w:t>23.3.1 磋商小组集中与各供应商分别进行磋商，并给所有参加磋商供应商平等的磋商机会。</w:t>
      </w:r>
      <w:bookmarkEnd w:id="339"/>
    </w:p>
    <w:p w14:paraId="13479BBB">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23.3.2 磋商小组在对响应文件的有效性、完整性和响应程度进行审核时，以</w:t>
      </w:r>
      <w:r>
        <w:rPr>
          <w:rFonts w:hint="eastAsia" w:ascii="仿宋" w:hAnsi="仿宋" w:eastAsia="仿宋" w:cs="仿宋"/>
          <w:b/>
          <w:color w:val="auto"/>
          <w:sz w:val="24"/>
          <w:highlight w:val="none"/>
        </w:rPr>
        <w:t>书面形式</w:t>
      </w:r>
      <w:r>
        <w:rPr>
          <w:rFonts w:hint="eastAsia" w:ascii="仿宋" w:hAnsi="仿宋" w:eastAsia="仿宋" w:cs="仿宋"/>
          <w:color w:val="auto"/>
          <w:sz w:val="24"/>
          <w:highlight w:val="none"/>
        </w:rPr>
        <w:t>要求供应商对响应文件中含义不明确、同类问题表述不一致、或者明显文字和计算错误的内容在约定时间内做出必要的澄清、说明或更正。供应商澄清、说明或者更正应当由法定代表人或者</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签字或者加盖公章。澄清、说明或者更正不得超出响应范围，或者改变响应文件的实质性内容。</w:t>
      </w:r>
    </w:p>
    <w:p w14:paraId="0E59C8C2">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23.3.4 如出现下述情形之一的，视为供应商主动退出磋商，其响应将被拒绝：</w:t>
      </w:r>
    </w:p>
    <w:p w14:paraId="590C8FFB">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（1）供应商未按要求确认磋商小组确定的本项目最终技术需求的；</w:t>
      </w:r>
    </w:p>
    <w:p w14:paraId="2EFF82A5">
      <w:pPr>
        <w:pStyle w:val="2"/>
        <w:shd w:val="clear"/>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（2）最后报价未实质性响应磋商小组确定的本项目最终技术需求的，或附有采购人无法接受的条件的。</w:t>
      </w:r>
    </w:p>
    <w:p w14:paraId="32D2C18F">
      <w:pPr>
        <w:pStyle w:val="2"/>
        <w:shd w:val="clea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23.4   最后报价</w:t>
      </w:r>
    </w:p>
    <w:p w14:paraId="0B335DCE">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23.4.1 磋商结束后，磋商小组要求所有实质性响应的供应商在规定时间内提交最后报价，提交最后报价的供应商不少于3家。最后报价是供应商响应文件的有效组成部分。</w:t>
      </w:r>
    </w:p>
    <w:p w14:paraId="7C585AC0">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23.4.2 最后报价应按报价的格式内容填写，并且同时提交最后响应报价表、最后报价明细表、最后节能、环境标志产品明细表等内容。各供应商在提交</w:t>
      </w:r>
      <w:r>
        <w:rPr>
          <w:rFonts w:hint="eastAsia" w:ascii="仿宋" w:hAnsi="仿宋" w:eastAsia="仿宋" w:cs="仿宋"/>
          <w:color w:val="auto"/>
          <w:sz w:val="24"/>
          <w:highlight w:val="none"/>
          <w:lang w:val="en-US" w:eastAsia="zh-CN"/>
        </w:rPr>
        <w:t>最后</w:t>
      </w:r>
      <w:r>
        <w:rPr>
          <w:rFonts w:hint="eastAsia" w:ascii="仿宋" w:hAnsi="仿宋" w:eastAsia="仿宋" w:cs="仿宋"/>
          <w:color w:val="auto"/>
          <w:sz w:val="24"/>
          <w:highlight w:val="none"/>
        </w:rPr>
        <w:t>时，应对加盖公章，</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由法定代表人或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w:t>
      </w:r>
    </w:p>
    <w:p w14:paraId="53318D55">
      <w:pPr>
        <w:pStyle w:val="7"/>
        <w:shd w:val="clear"/>
        <w:rPr>
          <w:rFonts w:hint="eastAsia" w:ascii="仿宋" w:hAnsi="仿宋" w:eastAsia="仿宋" w:cs="仿宋"/>
          <w:b/>
          <w:bCs/>
          <w:color w:val="auto"/>
          <w:sz w:val="24"/>
          <w:szCs w:val="21"/>
          <w:highlight w:val="none"/>
        </w:rPr>
      </w:pPr>
      <w:bookmarkStart w:id="340" w:name="_Toc164608660"/>
      <w:bookmarkStart w:id="341" w:name="_Toc151193860"/>
      <w:bookmarkStart w:id="342" w:name="_Toc127161460"/>
      <w:bookmarkStart w:id="343" w:name="_Toc13753"/>
      <w:bookmarkStart w:id="344" w:name="_Toc150480784"/>
      <w:bookmarkStart w:id="345" w:name="_Toc142311048"/>
      <w:bookmarkStart w:id="346" w:name="_Toc520356170"/>
      <w:bookmarkStart w:id="347" w:name="_Toc151193716"/>
      <w:bookmarkStart w:id="348" w:name="_Toc150509297"/>
      <w:bookmarkStart w:id="349" w:name="_Toc164229241"/>
      <w:bookmarkStart w:id="350" w:name="_Toc249515422"/>
      <w:bookmarkStart w:id="351" w:name="_Toc150774751"/>
      <w:bookmarkStart w:id="352" w:name="_Toc164229387"/>
      <w:bookmarkStart w:id="353" w:name="_Toc151193788"/>
      <w:bookmarkStart w:id="354" w:name="_Toc151193934"/>
      <w:bookmarkStart w:id="355" w:name="_Toc127151546"/>
      <w:bookmarkStart w:id="356" w:name="_Ref467307010"/>
      <w:bookmarkStart w:id="357" w:name="_Toc150774646"/>
      <w:bookmarkStart w:id="358" w:name="_Toc164608815"/>
      <w:bookmarkStart w:id="359" w:name="_Toc164351640"/>
      <w:bookmarkStart w:id="360" w:name="_Toc249515310"/>
      <w:bookmarkStart w:id="361" w:name="_Toc149720839"/>
      <w:bookmarkStart w:id="362" w:name="_Toc127151747"/>
      <w:bookmarkStart w:id="363" w:name="_Toc151190173"/>
      <w:bookmarkStart w:id="364" w:name="_Toc249525191"/>
      <w:bookmarkStart w:id="365" w:name="_Toc195842911"/>
      <w:bookmarkStart w:id="366" w:name="_Toc151193644"/>
      <w:r>
        <w:rPr>
          <w:rFonts w:hint="eastAsia" w:ascii="仿宋" w:hAnsi="仿宋" w:eastAsia="仿宋" w:cs="仿宋"/>
          <w:b/>
          <w:bCs/>
          <w:color w:val="auto"/>
          <w:sz w:val="24"/>
          <w:szCs w:val="21"/>
          <w:highlight w:val="none"/>
        </w:rPr>
        <w:t>24.    评审办法及</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Pr>
          <w:rFonts w:hint="eastAsia" w:ascii="仿宋" w:hAnsi="仿宋" w:eastAsia="仿宋" w:cs="仿宋"/>
          <w:b/>
          <w:bCs/>
          <w:color w:val="auto"/>
          <w:sz w:val="24"/>
          <w:szCs w:val="21"/>
          <w:highlight w:val="none"/>
        </w:rPr>
        <w:t>落实政府采购政策，详见第三章。</w:t>
      </w:r>
    </w:p>
    <w:p w14:paraId="5142B36E">
      <w:pPr>
        <w:shd w:val="clear"/>
        <w:rPr>
          <w:rFonts w:hint="eastAsia" w:ascii="仿宋" w:hAnsi="仿宋" w:eastAsia="仿宋" w:cs="仿宋"/>
          <w:color w:val="auto"/>
          <w:highlight w:val="none"/>
        </w:rPr>
      </w:pPr>
    </w:p>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37"/>
    <w:p w14:paraId="417B2E2E">
      <w:pPr>
        <w:pStyle w:val="79"/>
        <w:shd w:val="clear"/>
        <w:spacing w:before="24" w:after="24"/>
        <w:jc w:val="center"/>
        <w:rPr>
          <w:rFonts w:hint="eastAsia" w:ascii="仿宋" w:hAnsi="仿宋" w:eastAsia="仿宋" w:cs="仿宋"/>
          <w:color w:val="auto"/>
          <w:sz w:val="30"/>
          <w:szCs w:val="30"/>
          <w:highlight w:val="none"/>
        </w:rPr>
      </w:pPr>
      <w:bookmarkStart w:id="367" w:name="_Hlt491765714"/>
      <w:bookmarkEnd w:id="367"/>
      <w:bookmarkStart w:id="368" w:name="_Hlt497729446"/>
      <w:bookmarkEnd w:id="368"/>
      <w:bookmarkStart w:id="369" w:name="_Toc68590974"/>
      <w:bookmarkStart w:id="370" w:name="_Toc249515311"/>
      <w:bookmarkStart w:id="371" w:name="_Toc232395218"/>
      <w:bookmarkStart w:id="372" w:name="_Toc249525192"/>
      <w:bookmarkStart w:id="373" w:name="_Toc11940"/>
      <w:bookmarkStart w:id="374" w:name="_Toc730"/>
      <w:bookmarkStart w:id="375" w:name="_Toc249515423"/>
      <w:bookmarkStart w:id="376" w:name="_Toc30039"/>
      <w:bookmarkStart w:id="377" w:name="_Toc256342149"/>
      <w:bookmarkStart w:id="378" w:name="_Toc232176278"/>
      <w:bookmarkStart w:id="379" w:name="_Toc70687174"/>
      <w:bookmarkStart w:id="380" w:name="_Toc53722846"/>
      <w:bookmarkStart w:id="381" w:name="_Toc499711049"/>
      <w:bookmarkStart w:id="382" w:name="_Toc500747068"/>
      <w:bookmarkStart w:id="383" w:name="_Toc500747195"/>
      <w:bookmarkStart w:id="384" w:name="_Toc177189241"/>
      <w:bookmarkStart w:id="385" w:name="_Toc184043047"/>
      <w:bookmarkStart w:id="386" w:name="_Toc389620199"/>
      <w:bookmarkStart w:id="387" w:name="_Toc177817340"/>
      <w:bookmarkStart w:id="388" w:name="_Toc499711890"/>
      <w:bookmarkStart w:id="389" w:name="_Toc385992360"/>
      <w:bookmarkStart w:id="390" w:name="_Toc176882548"/>
      <w:bookmarkStart w:id="391" w:name="_Toc492955421"/>
      <w:bookmarkStart w:id="392" w:name="_Toc503063428"/>
      <w:bookmarkStart w:id="393" w:name="_Toc500746972"/>
      <w:bookmarkStart w:id="394" w:name="_Toc496324585"/>
      <w:bookmarkStart w:id="395" w:name="_Toc177995479"/>
      <w:r>
        <w:rPr>
          <w:rFonts w:hint="eastAsia" w:ascii="仿宋" w:hAnsi="仿宋" w:eastAsia="仿宋" w:cs="仿宋"/>
          <w:color w:val="auto"/>
          <w:sz w:val="30"/>
          <w:szCs w:val="30"/>
          <w:highlight w:val="none"/>
        </w:rPr>
        <w:t>六、确定成交单位、授予合同</w:t>
      </w:r>
      <w:bookmarkEnd w:id="369"/>
      <w:bookmarkEnd w:id="370"/>
      <w:bookmarkEnd w:id="371"/>
      <w:bookmarkEnd w:id="372"/>
      <w:bookmarkEnd w:id="373"/>
      <w:bookmarkEnd w:id="374"/>
      <w:bookmarkEnd w:id="375"/>
      <w:bookmarkEnd w:id="376"/>
      <w:bookmarkEnd w:id="377"/>
      <w:bookmarkEnd w:id="378"/>
    </w:p>
    <w:p w14:paraId="62E58D63">
      <w:pPr>
        <w:shd w:val="clear"/>
        <w:rPr>
          <w:rFonts w:hint="eastAsia" w:ascii="仿宋" w:hAnsi="仿宋" w:eastAsia="仿宋" w:cs="仿宋"/>
          <w:color w:val="auto"/>
          <w:highlight w:val="none"/>
        </w:rPr>
      </w:pPr>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14:paraId="575B1A05">
      <w:pPr>
        <w:pStyle w:val="7"/>
        <w:numPr>
          <w:ilvl w:val="0"/>
          <w:numId w:val="10"/>
        </w:numPr>
        <w:shd w:val="clear"/>
        <w:rPr>
          <w:rFonts w:hint="eastAsia" w:ascii="仿宋" w:hAnsi="仿宋" w:eastAsia="仿宋" w:cs="仿宋"/>
          <w:b/>
          <w:bCs/>
          <w:color w:val="auto"/>
          <w:sz w:val="24"/>
          <w:szCs w:val="21"/>
          <w:highlight w:val="none"/>
        </w:rPr>
      </w:pPr>
      <w:bookmarkStart w:id="396" w:name="_Toc249515424"/>
      <w:bookmarkStart w:id="397" w:name="_Toc27151"/>
      <w:bookmarkStart w:id="398" w:name="_Toc249515312"/>
      <w:bookmarkStart w:id="399" w:name="_Toc184043048"/>
      <w:bookmarkStart w:id="400" w:name="_Toc249525193"/>
      <w:bookmarkStart w:id="401" w:name="_Toc389620200"/>
      <w:bookmarkStart w:id="402" w:name="_Toc70687175"/>
      <w:bookmarkStart w:id="403" w:name="_Toc385992361"/>
      <w:r>
        <w:rPr>
          <w:rFonts w:hint="eastAsia" w:ascii="仿宋" w:hAnsi="仿宋" w:eastAsia="仿宋" w:cs="仿宋"/>
          <w:b/>
          <w:bCs/>
          <w:color w:val="auto"/>
          <w:sz w:val="24"/>
          <w:szCs w:val="21"/>
          <w:highlight w:val="none"/>
        </w:rPr>
        <w:t xml:space="preserve">    确定成交</w:t>
      </w:r>
      <w:bookmarkEnd w:id="396"/>
      <w:bookmarkEnd w:id="397"/>
      <w:bookmarkEnd w:id="398"/>
      <w:bookmarkEnd w:id="399"/>
      <w:bookmarkEnd w:id="400"/>
      <w:bookmarkEnd w:id="401"/>
      <w:bookmarkEnd w:id="402"/>
      <w:bookmarkEnd w:id="403"/>
      <w:r>
        <w:rPr>
          <w:rFonts w:hint="eastAsia" w:ascii="仿宋" w:hAnsi="仿宋" w:eastAsia="仿宋" w:cs="仿宋"/>
          <w:b/>
          <w:bCs/>
          <w:color w:val="auto"/>
          <w:sz w:val="24"/>
          <w:szCs w:val="21"/>
          <w:highlight w:val="none"/>
        </w:rPr>
        <w:t>单位</w:t>
      </w:r>
    </w:p>
    <w:p w14:paraId="49117749">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25.1   采购代理机构应在评审结束后两个工作日内，将评审报告送采购人。</w:t>
      </w:r>
    </w:p>
    <w:p w14:paraId="01205881">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25.2   采购人在收到评审报告后五个工作日内，根据评审报告对评审过程及结果进行严格审核后确定成交供应商，复函采购代理机构。</w:t>
      </w:r>
    </w:p>
    <w:p w14:paraId="48298817">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7"/>
        <w:shd w:val="clear"/>
        <w:rPr>
          <w:rFonts w:hint="eastAsia" w:ascii="仿宋" w:hAnsi="仿宋" w:eastAsia="仿宋" w:cs="仿宋"/>
          <w:b/>
          <w:bCs/>
          <w:color w:val="auto"/>
          <w:sz w:val="24"/>
          <w:szCs w:val="21"/>
          <w:highlight w:val="none"/>
        </w:rPr>
      </w:pPr>
      <w:bookmarkStart w:id="404" w:name="_Toc385992365"/>
      <w:bookmarkStart w:id="405" w:name="_Toc389620204"/>
      <w:r>
        <w:rPr>
          <w:rFonts w:hint="eastAsia" w:ascii="仿宋" w:hAnsi="仿宋" w:eastAsia="仿宋" w:cs="仿宋"/>
          <w:b/>
          <w:bCs/>
          <w:color w:val="auto"/>
          <w:sz w:val="24"/>
          <w:szCs w:val="21"/>
          <w:highlight w:val="none"/>
        </w:rPr>
        <w:t xml:space="preserve">26.    </w:t>
      </w:r>
      <w:r>
        <w:rPr>
          <w:rFonts w:hint="eastAsia" w:ascii="仿宋" w:hAnsi="仿宋" w:eastAsia="仿宋" w:cs="仿宋"/>
          <w:b/>
          <w:bCs/>
          <w:color w:val="auto"/>
          <w:sz w:val="24"/>
          <w:szCs w:val="21"/>
          <w:highlight w:val="none"/>
          <w:lang w:val="en-US" w:eastAsia="zh-CN"/>
        </w:rPr>
        <w:t>采购</w:t>
      </w:r>
      <w:r>
        <w:rPr>
          <w:rFonts w:hint="eastAsia" w:ascii="仿宋" w:hAnsi="仿宋" w:eastAsia="仿宋" w:cs="仿宋"/>
          <w:b/>
          <w:bCs/>
          <w:color w:val="auto"/>
          <w:sz w:val="24"/>
          <w:szCs w:val="21"/>
          <w:highlight w:val="none"/>
        </w:rPr>
        <w:t>合同</w:t>
      </w:r>
    </w:p>
    <w:p w14:paraId="1ED44B03">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26.1   自成交通知书发出后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日内，按照磋商文件和成交供应商响应文件的约定，采购人与成交供应商洽谈合同条款，并签订</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合同。磋商文件及成交供应商的响应文件均作为</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合同的组成部分。</w:t>
      </w:r>
    </w:p>
    <w:p w14:paraId="215F86B3">
      <w:pPr>
        <w:shd w:val="clea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26.2   确定成交单位后，成交供应商因自身原因未按程序签订</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合同，采购人将取消其成交资格，可以不退还其投标保证金，并上报行政监督管理部门记入不良行为记录。采购人可以按照</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rPr>
        <w:t>报告推荐的</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候选人排序，确定下一</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候选人为</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人，也可以重新开展采购活动。</w:t>
      </w:r>
    </w:p>
    <w:p w14:paraId="664E3AF0">
      <w:pPr>
        <w:shd w:val="clear"/>
        <w:spacing w:line="360" w:lineRule="auto"/>
        <w:ind w:left="840" w:hanging="840" w:hangingChars="35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26.3   </w:t>
      </w:r>
      <w:r>
        <w:rPr>
          <w:rFonts w:hint="eastAsia" w:ascii="仿宋" w:hAnsi="仿宋" w:eastAsia="仿宋" w:cs="仿宋"/>
          <w:color w:val="auto"/>
          <w:sz w:val="24"/>
          <w:highlight w:val="none"/>
        </w:rPr>
        <w:t>当出现法规规定的</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无效或</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结果无效情形时，采购人可与排名下一位的</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候选人另行签订</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合同，或依法重新开展采购活动。</w:t>
      </w:r>
    </w:p>
    <w:p w14:paraId="18D64076">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26.</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 xml:space="preserve">   成交供应商</w:t>
      </w:r>
      <w:r>
        <w:rPr>
          <w:rFonts w:hint="eastAsia" w:ascii="仿宋" w:hAnsi="仿宋" w:eastAsia="仿宋" w:cs="仿宋"/>
          <w:color w:val="auto"/>
          <w:sz w:val="24"/>
          <w:highlight w:val="none"/>
          <w:lang w:val="en-US" w:eastAsia="zh-CN"/>
        </w:rPr>
        <w:t>需在</w:t>
      </w:r>
      <w:r>
        <w:rPr>
          <w:rFonts w:hint="eastAsia" w:ascii="仿宋" w:hAnsi="仿宋" w:eastAsia="仿宋" w:cs="仿宋"/>
          <w:color w:val="auto"/>
          <w:sz w:val="24"/>
          <w:highlight w:val="none"/>
        </w:rPr>
        <w:t>签订</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合同后</w:t>
      </w:r>
      <w:r>
        <w:rPr>
          <w:rFonts w:hint="eastAsia" w:ascii="仿宋" w:hAnsi="仿宋" w:eastAsia="仿宋" w:cs="仿宋"/>
          <w:color w:val="auto"/>
          <w:sz w:val="24"/>
          <w:highlight w:val="none"/>
          <w:lang w:val="en-US" w:eastAsia="zh-CN"/>
        </w:rPr>
        <w:t>三日内</w:t>
      </w:r>
      <w:r>
        <w:rPr>
          <w:rFonts w:hint="eastAsia" w:ascii="仿宋" w:hAnsi="仿宋" w:eastAsia="仿宋" w:cs="仿宋"/>
          <w:color w:val="auto"/>
          <w:sz w:val="24"/>
          <w:highlight w:val="none"/>
        </w:rPr>
        <w:t>，持合同原件到采购代理机构办理保证金退还手续。</w:t>
      </w:r>
    </w:p>
    <w:p w14:paraId="69C794E9">
      <w:pPr>
        <w:pStyle w:val="7"/>
        <w:shd w:val="clea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27.    询问与质疑 </w:t>
      </w:r>
    </w:p>
    <w:p w14:paraId="570E40AA">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27.1   供应商对政府采购活动事项有疑问的，可以向采购人或采购代理机构提出询问。</w:t>
      </w:r>
    </w:p>
    <w:p w14:paraId="70F0D8EC">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38701A8">
      <w:pPr>
        <w:shd w:val="clea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27.3   质疑供应商应按照财政部制定的《政府采购质疑函范本》格式（可从</w:t>
      </w:r>
      <w:r>
        <w:rPr>
          <w:rFonts w:hint="eastAsia" w:ascii="仿宋" w:hAnsi="仿宋" w:eastAsia="仿宋" w:cs="仿宋"/>
          <w:color w:val="auto"/>
          <w:sz w:val="24"/>
          <w:highlight w:val="none"/>
          <w:lang w:val="en-US" w:eastAsia="zh-CN"/>
        </w:rPr>
        <w:t>中国政府采购网首页下载专区</w:t>
      </w:r>
      <w:r>
        <w:rPr>
          <w:rFonts w:hint="eastAsia" w:ascii="仿宋" w:hAnsi="仿宋" w:eastAsia="仿宋" w:cs="仿宋"/>
          <w:color w:val="auto"/>
          <w:sz w:val="24"/>
          <w:highlight w:val="none"/>
        </w:rPr>
        <w:t>下载）和《政府采购质疑和投诉办法》的要求，在法定质疑期内以书面形式提出质疑，针对同一采购程序环节的质疑应一次性提出。</w:t>
      </w:r>
    </w:p>
    <w:p w14:paraId="6D0124A1">
      <w:pPr>
        <w:shd w:val="clea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超出法定质疑期提交的质疑将被拒绝。</w:t>
      </w:r>
    </w:p>
    <w:p w14:paraId="045F8107">
      <w:pPr>
        <w:shd w:val="clear"/>
        <w:spacing w:line="360" w:lineRule="auto"/>
        <w:ind w:left="851" w:leftChars="405" w:hanging="1"/>
        <w:rPr>
          <w:rFonts w:hint="eastAsia" w:ascii="仿宋" w:hAnsi="仿宋" w:eastAsia="仿宋" w:cs="仿宋"/>
          <w:color w:val="auto"/>
          <w:sz w:val="24"/>
          <w:highlight w:val="none"/>
        </w:rPr>
      </w:pPr>
      <w:r>
        <w:rPr>
          <w:rFonts w:hint="eastAsia" w:ascii="仿宋" w:hAnsi="仿宋" w:eastAsia="仿宋" w:cs="仿宋"/>
          <w:color w:val="auto"/>
          <w:sz w:val="24"/>
          <w:highlight w:val="none"/>
        </w:rPr>
        <w:t>重复或分次提出的、内容或形式不符合《政府采购质疑和投诉办法》的，质疑投标人将依法承担不利后果。</w:t>
      </w:r>
    </w:p>
    <w:p w14:paraId="7D4B9ADD">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27.4   供应商提出质疑应当提交质疑函和必要的证明材料。质疑函应当包括下列内容：</w:t>
      </w:r>
    </w:p>
    <w:p w14:paraId="4B27D27A">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（1）</w:t>
      </w:r>
      <w:r>
        <w:rPr>
          <w:rFonts w:hint="eastAsia" w:ascii="仿宋" w:hAnsi="仿宋" w:eastAsia="仿宋" w:cs="仿宋"/>
          <w:color w:val="auto"/>
          <w:sz w:val="24"/>
          <w:highlight w:val="none"/>
        </w:rPr>
        <w:t>供应商的姓名或者名称、地址、邮编、联系人及联系电话；</w:t>
      </w:r>
    </w:p>
    <w:p w14:paraId="40834036">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（2）</w:t>
      </w:r>
      <w:r>
        <w:rPr>
          <w:rFonts w:hint="eastAsia" w:ascii="仿宋" w:hAnsi="仿宋" w:eastAsia="仿宋" w:cs="仿宋"/>
          <w:color w:val="auto"/>
          <w:sz w:val="24"/>
          <w:highlight w:val="none"/>
        </w:rPr>
        <w:t>质疑项目的名称、编号；</w:t>
      </w:r>
    </w:p>
    <w:p w14:paraId="6BE36A11">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（3）</w:t>
      </w:r>
      <w:r>
        <w:rPr>
          <w:rFonts w:hint="eastAsia" w:ascii="仿宋" w:hAnsi="仿宋" w:eastAsia="仿宋" w:cs="仿宋"/>
          <w:color w:val="auto"/>
          <w:sz w:val="24"/>
          <w:highlight w:val="none"/>
        </w:rPr>
        <w:t>具体、明确的质疑事项和与质疑事项相关的请求；</w:t>
      </w:r>
    </w:p>
    <w:p w14:paraId="4006A996">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（4）</w:t>
      </w:r>
      <w:r>
        <w:rPr>
          <w:rFonts w:hint="eastAsia" w:ascii="仿宋" w:hAnsi="仿宋" w:eastAsia="仿宋" w:cs="仿宋"/>
          <w:color w:val="auto"/>
          <w:sz w:val="24"/>
          <w:highlight w:val="none"/>
        </w:rPr>
        <w:t>事实依据；</w:t>
      </w:r>
    </w:p>
    <w:p w14:paraId="40944BA3">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（5）</w:t>
      </w:r>
      <w:r>
        <w:rPr>
          <w:rFonts w:hint="eastAsia" w:ascii="仿宋" w:hAnsi="仿宋" w:eastAsia="仿宋" w:cs="仿宋"/>
          <w:color w:val="auto"/>
          <w:sz w:val="24"/>
          <w:highlight w:val="none"/>
        </w:rPr>
        <w:t>必要的法律依据；</w:t>
      </w:r>
    </w:p>
    <w:p w14:paraId="7F3BBA65">
      <w:pPr>
        <w:pStyle w:val="69"/>
        <w:numPr>
          <w:ilvl w:val="0"/>
          <w:numId w:val="0"/>
        </w:numPr>
        <w:shd w:val="clear"/>
        <w:tabs>
          <w:tab w:val="left" w:pos="588"/>
        </w:tabs>
        <w:spacing w:line="360" w:lineRule="auto"/>
        <w:ind w:left="846" w:leftChars="0" w:hanging="6" w:firstLineChars="0"/>
        <w:jc w:val="left"/>
        <w:rPr>
          <w:rFonts w:hint="eastAsia" w:ascii="仿宋" w:hAnsi="仿宋" w:eastAsia="仿宋" w:cs="仿宋"/>
          <w:color w:val="auto"/>
          <w:sz w:val="24"/>
          <w:highlight w:val="none"/>
        </w:rPr>
      </w:pPr>
      <w:r>
        <w:rPr>
          <w:rFonts w:hint="eastAsia" w:ascii="仿宋" w:hAnsi="仿宋" w:eastAsia="仿宋" w:cs="仿宋"/>
          <w:color w:val="auto"/>
          <w:kern w:val="2"/>
          <w:sz w:val="24"/>
          <w:szCs w:val="22"/>
          <w:highlight w:val="none"/>
          <w:lang w:val="en-US" w:eastAsia="zh-CN" w:bidi="ar-SA"/>
        </w:rPr>
        <w:t>（6）</w:t>
      </w:r>
      <w:r>
        <w:rPr>
          <w:rFonts w:hint="eastAsia" w:ascii="仿宋" w:hAnsi="仿宋" w:eastAsia="仿宋" w:cs="仿宋"/>
          <w:color w:val="auto"/>
          <w:sz w:val="24"/>
          <w:highlight w:val="none"/>
        </w:rPr>
        <w:t>提出质疑的日期。</w:t>
      </w:r>
    </w:p>
    <w:p w14:paraId="7E885D70">
      <w:pPr>
        <w:pStyle w:val="69"/>
        <w:shd w:val="clear"/>
        <w:tabs>
          <w:tab w:val="left" w:pos="588"/>
        </w:tabs>
        <w:spacing w:line="360" w:lineRule="auto"/>
        <w:ind w:left="838" w:leftChars="399" w:firstLine="0" w:firstLineChars="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供应商为自然人的，应当由本人签字；供应商为法人或者其他组织的，应当由法定代表人或</w:t>
      </w:r>
      <w:r>
        <w:rPr>
          <w:rFonts w:hint="eastAsia" w:ascii="仿宋" w:hAnsi="仿宋" w:eastAsia="仿宋" w:cs="仿宋"/>
          <w:color w:val="auto"/>
          <w:sz w:val="24"/>
          <w:highlight w:val="none"/>
          <w:lang w:val="en-US" w:eastAsia="zh-CN"/>
        </w:rPr>
        <w:t>主要</w:t>
      </w:r>
      <w:r>
        <w:rPr>
          <w:rFonts w:hint="eastAsia" w:ascii="仿宋" w:hAnsi="仿宋" w:eastAsia="仿宋" w:cs="仿宋"/>
          <w:color w:val="auto"/>
          <w:sz w:val="24"/>
          <w:highlight w:val="none"/>
        </w:rPr>
        <w:t>负责人签字或盖章，并加盖公章。供应商可以委托代理人进行质疑和投诉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其授权委托书应当载明代理人的姓名或者名称、代理事项、具体权限、期限和相关事项。</w:t>
      </w:r>
    </w:p>
    <w:p w14:paraId="1EB5E0DD">
      <w:pPr>
        <w:shd w:val="clear"/>
        <w:tabs>
          <w:tab w:val="left" w:pos="588"/>
        </w:tabs>
        <w:spacing w:line="360" w:lineRule="auto"/>
        <w:ind w:left="960" w:hanging="960" w:hanging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27.5   符合要求的质疑，采购代理机构将予以受理并答复。</w:t>
      </w:r>
    </w:p>
    <w:p w14:paraId="0D79BB41">
      <w:pPr>
        <w:shd w:val="clear"/>
        <w:tabs>
          <w:tab w:val="left" w:pos="588"/>
        </w:tabs>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联系人：综合办公室，联系电话：029-85235014</w:t>
      </w:r>
    </w:p>
    <w:p w14:paraId="4F1E3AB8">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27.6   供应商进行虚假和恶意质疑的，采购代理机构将提供相关资料报监督机构，按其情况进行相应处理。</w:t>
      </w:r>
    </w:p>
    <w:bookmarkEnd w:id="404"/>
    <w:bookmarkEnd w:id="405"/>
    <w:p w14:paraId="5C1F7265">
      <w:pPr>
        <w:pStyle w:val="7"/>
        <w:shd w:val="clear"/>
        <w:rPr>
          <w:rFonts w:hint="eastAsia" w:ascii="仿宋" w:hAnsi="仿宋" w:eastAsia="仿宋" w:cs="仿宋"/>
          <w:color w:val="auto"/>
          <w:highlight w:val="none"/>
        </w:rPr>
      </w:pPr>
      <w:bookmarkStart w:id="406" w:name="_Toc25547"/>
      <w:r>
        <w:rPr>
          <w:rFonts w:hint="eastAsia" w:ascii="仿宋" w:hAnsi="仿宋" w:eastAsia="仿宋" w:cs="仿宋"/>
          <w:b/>
          <w:bCs/>
          <w:color w:val="auto"/>
          <w:sz w:val="24"/>
          <w:szCs w:val="21"/>
          <w:highlight w:val="none"/>
        </w:rPr>
        <w:t>28.    履约保证金</w:t>
      </w:r>
    </w:p>
    <w:p w14:paraId="697CCEE9">
      <w:pPr>
        <w:pStyle w:val="7"/>
        <w:shd w:val="clear"/>
        <w:rPr>
          <w:rFonts w:hint="default" w:ascii="仿宋" w:hAnsi="仿宋" w:eastAsia="仿宋" w:cs="仿宋"/>
          <w:b/>
          <w:bCs/>
          <w:color w:val="auto"/>
          <w:sz w:val="24"/>
          <w:szCs w:val="21"/>
          <w:highlight w:val="none"/>
          <w:lang w:val="en-US" w:eastAsia="zh-CN"/>
        </w:rPr>
      </w:pPr>
      <w:r>
        <w:rPr>
          <w:rFonts w:hint="eastAsia" w:ascii="仿宋" w:hAnsi="仿宋" w:eastAsia="仿宋" w:cs="仿宋"/>
          <w:b/>
          <w:bCs/>
          <w:color w:val="auto"/>
          <w:sz w:val="24"/>
          <w:szCs w:val="21"/>
          <w:highlight w:val="none"/>
          <w:lang w:val="en-US" w:eastAsia="zh-CN"/>
        </w:rPr>
        <w:t xml:space="preserve">    </w:t>
      </w:r>
      <w:r>
        <w:rPr>
          <w:rFonts w:hint="eastAsia" w:ascii="仿宋" w:hAnsi="仿宋" w:eastAsia="仿宋" w:cs="仿宋"/>
          <w:b w:val="0"/>
          <w:bCs w:val="0"/>
          <w:color w:val="auto"/>
          <w:sz w:val="24"/>
          <w:szCs w:val="21"/>
          <w:highlight w:val="none"/>
          <w:lang w:val="en-US" w:eastAsia="zh-CN"/>
        </w:rPr>
        <w:t xml:space="preserve">   本项目不涉及</w:t>
      </w:r>
    </w:p>
    <w:p w14:paraId="74AE6940">
      <w:pPr>
        <w:pStyle w:val="7"/>
        <w:shd w:val="clea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29.    成交服务费</w:t>
      </w:r>
      <w:bookmarkEnd w:id="406"/>
    </w:p>
    <w:p w14:paraId="7F6F4721">
      <w:pPr>
        <w:shd w:val="clear"/>
        <w:tabs>
          <w:tab w:val="left" w:pos="588"/>
        </w:tabs>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29.1   成交供应商在领取成交通知书前，须向采购代理机构支付成交服务费，服务费由采购人与采购代理机构约定：</w:t>
      </w:r>
    </w:p>
    <w:p w14:paraId="6B9F6637">
      <w:pPr>
        <w:shd w:val="clear"/>
        <w:snapToGrid w:val="0"/>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参照原国家计委计价格〔2002〕1980号文和国家发改委发改办价格〔2003〕857号文的计算方法按标准收取。</w:t>
      </w:r>
    </w:p>
    <w:p w14:paraId="3A983F2A">
      <w:pPr>
        <w:shd w:val="clea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29.2   成交单位的代理服务费交纳信息</w:t>
      </w:r>
    </w:p>
    <w:p w14:paraId="11E7C0A2">
      <w:pPr>
        <w:shd w:val="clear"/>
        <w:snapToGrid w:val="0"/>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银行户名：陕西省采购招标有限责任公司</w:t>
      </w:r>
    </w:p>
    <w:p w14:paraId="32F534B2">
      <w:pPr>
        <w:shd w:val="clear"/>
        <w:snapToGrid w:val="0"/>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开户银行：中国光大银行西安友谊路支行</w:t>
      </w:r>
    </w:p>
    <w:p w14:paraId="0C804BD4">
      <w:pPr>
        <w:shd w:val="clear"/>
        <w:snapToGrid w:val="0"/>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号：78560188000095264</w:t>
      </w:r>
    </w:p>
    <w:p w14:paraId="1788A6D8">
      <w:pPr>
        <w:shd w:val="clear"/>
        <w:snapToGrid w:val="0"/>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人：财务部   联系电话：029-85263975</w:t>
      </w:r>
    </w:p>
    <w:p w14:paraId="01A79C7A">
      <w:pPr>
        <w:shd w:val="clea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29.3    成交服务费已包含在供应商的响应报价中，不在响应分项报价表中单独列项。</w:t>
      </w:r>
    </w:p>
    <w:p w14:paraId="26886FE0">
      <w:pPr>
        <w:pStyle w:val="7"/>
        <w:numPr>
          <w:ilvl w:val="0"/>
          <w:numId w:val="11"/>
        </w:numPr>
        <w:shd w:val="clear"/>
        <w:rPr>
          <w:rFonts w:hint="eastAsia" w:ascii="仿宋" w:hAnsi="仿宋" w:eastAsia="仿宋" w:cs="仿宋"/>
          <w:b/>
          <w:bCs/>
          <w:color w:val="auto"/>
          <w:sz w:val="24"/>
          <w:szCs w:val="21"/>
          <w:highlight w:val="none"/>
        </w:rPr>
      </w:pPr>
      <w:bookmarkStart w:id="407" w:name="_Toc1585"/>
      <w:r>
        <w:rPr>
          <w:rFonts w:hint="eastAsia" w:ascii="仿宋" w:hAnsi="仿宋" w:eastAsia="仿宋" w:cs="仿宋"/>
          <w:b/>
          <w:bCs/>
          <w:color w:val="auto"/>
          <w:sz w:val="24"/>
          <w:szCs w:val="21"/>
          <w:highlight w:val="none"/>
        </w:rPr>
        <w:t xml:space="preserve">   采购人追加采购数量的权力</w:t>
      </w:r>
      <w:bookmarkEnd w:id="407"/>
    </w:p>
    <w:p w14:paraId="2348950E">
      <w:pPr>
        <w:shd w:val="clear"/>
        <w:tabs>
          <w:tab w:val="left" w:pos="588"/>
        </w:tabs>
        <w:spacing w:line="360" w:lineRule="auto"/>
        <w:ind w:left="840" w:leftChars="400"/>
        <w:rPr>
          <w:rFonts w:hint="eastAsia" w:ascii="仿宋" w:hAnsi="仿宋" w:eastAsia="仿宋" w:cs="仿宋"/>
          <w:color w:val="auto"/>
          <w:sz w:val="24"/>
          <w:highlight w:val="none"/>
        </w:rPr>
      </w:pPr>
      <w:bookmarkStart w:id="408" w:name="_Toc389620205"/>
      <w:bookmarkStart w:id="409" w:name="_Toc385992366"/>
      <w:r>
        <w:rPr>
          <w:rFonts w:hint="eastAsia" w:ascii="仿宋" w:hAnsi="仿宋" w:eastAsia="仿宋" w:cs="仿宋"/>
          <w:color w:val="auto"/>
          <w:sz w:val="24"/>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20979139">
      <w:pPr>
        <w:pStyle w:val="7"/>
        <w:numPr>
          <w:ilvl w:val="0"/>
          <w:numId w:val="11"/>
        </w:numPr>
        <w:shd w:val="clea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   其他情况</w:t>
      </w:r>
    </w:p>
    <w:p w14:paraId="052429D1">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31.2   连续两次进行竞争性磋商活动，因符合磋商要求供应商不足3家，经请示政府采购管理部门同意后，可继续进行竞争性磋商活动。</w:t>
      </w:r>
    </w:p>
    <w:p w14:paraId="00F9E92F">
      <w:pPr>
        <w:pStyle w:val="7"/>
        <w:numPr>
          <w:ilvl w:val="0"/>
          <w:numId w:val="11"/>
        </w:numPr>
        <w:shd w:val="clea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   政府采购信用担保及融资</w:t>
      </w:r>
    </w:p>
    <w:p w14:paraId="06E7F71B">
      <w:pPr>
        <w:pStyle w:val="2"/>
        <w:shd w:val="clear"/>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32.1   供应商递交的履约担保函应符合本磋商文件的规定。</w:t>
      </w:r>
    </w:p>
    <w:p w14:paraId="72F480A9">
      <w:pPr>
        <w:shd w:val="clea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57968745">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
        <w:shd w:val="clear"/>
        <w:tabs>
          <w:tab w:val="left" w:pos="567"/>
        </w:tabs>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业务流程简图如下：</w:t>
      </w:r>
    </w:p>
    <w:p w14:paraId="78BBC65A">
      <w:pPr>
        <w:pStyle w:val="2"/>
        <w:shd w:val="clear"/>
        <w:tabs>
          <w:tab w:val="left" w:pos="567"/>
        </w:tabs>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6F47E3AA">
      <w:pPr>
        <w:pStyle w:val="2"/>
        <w:shd w:val="clear"/>
        <w:ind w:left="772" w:hanging="735" w:hangingChars="350"/>
        <w:jc w:val="center"/>
        <w:rPr>
          <w:rFonts w:hint="eastAsia" w:ascii="仿宋" w:hAnsi="仿宋" w:eastAsia="仿宋" w:cs="仿宋"/>
          <w:color w:val="auto"/>
          <w:sz w:val="24"/>
          <w:highlight w:val="none"/>
        </w:rPr>
      </w:pPr>
      <w:r>
        <w:rPr>
          <w:rFonts w:hint="eastAsia" w:ascii="仿宋" w:hAnsi="仿宋" w:eastAsia="仿宋" w:cs="仿宋"/>
          <w:color w:val="auto"/>
          <w:highlight w:val="none"/>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100A62">
      <w:pPr>
        <w:pStyle w:val="2"/>
        <w:shd w:val="clear"/>
        <w:tabs>
          <w:tab w:val="left" w:pos="567"/>
        </w:tabs>
        <w:rPr>
          <w:rFonts w:hint="eastAsia" w:ascii="仿宋" w:hAnsi="仿宋" w:eastAsia="仿宋" w:cs="仿宋"/>
          <w:color w:val="auto"/>
          <w:sz w:val="24"/>
          <w:szCs w:val="32"/>
          <w:highlight w:val="none"/>
        </w:rPr>
      </w:pPr>
    </w:p>
    <w:p w14:paraId="0ACAD94B">
      <w:pPr>
        <w:pStyle w:val="2"/>
        <w:shd w:val="clear"/>
        <w:tabs>
          <w:tab w:val="left" w:pos="567"/>
        </w:tabs>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省级政府采购项目贷款银行信息：</w:t>
      </w:r>
    </w:p>
    <w:p w14:paraId="1D1E94A9">
      <w:pPr>
        <w:shd w:val="clear"/>
        <w:rPr>
          <w:rFonts w:hint="eastAsia" w:ascii="仿宋" w:hAnsi="仿宋" w:eastAsia="仿宋" w:cs="仿宋"/>
          <w:b/>
          <w:color w:val="auto"/>
          <w:szCs w:val="21"/>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Cs w:val="21"/>
          <w:highlight w:val="none"/>
        </w:rPr>
        <w:t>一、陕西建行（E政通）</w:t>
      </w:r>
    </w:p>
    <w:p w14:paraId="1B423FA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陕西省分行营业部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西安市南广济街38号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白玉皓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13201603166</w:t>
      </w:r>
    </w:p>
    <w:p w14:paraId="2F37CE06">
      <w:pPr>
        <w:shd w:val="clea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西安莲湖路支行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西安市莲湖路35号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冲</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17702902131</w:t>
      </w:r>
    </w:p>
    <w:p w14:paraId="2A3ABEF4">
      <w:pPr>
        <w:shd w:val="clea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西安曲江支行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西安市雁塔南路2216号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樊理君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18691568151</w:t>
      </w:r>
    </w:p>
    <w:p w14:paraId="1777E14E">
      <w:pPr>
        <w:shd w:val="clea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西安高新区支行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西安市高新路42号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卞斯超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15191075651</w:t>
      </w:r>
    </w:p>
    <w:p w14:paraId="5C8B2C3A">
      <w:pPr>
        <w:shd w:val="clea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西安经开区支行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西安市未央路125号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惠  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17792256100</w:t>
      </w:r>
    </w:p>
    <w:p w14:paraId="0D3459FA">
      <w:pPr>
        <w:shd w:val="clea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西安南大街支行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西安市南大街15号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乔  鉴</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18089136919</w:t>
      </w:r>
    </w:p>
    <w:p w14:paraId="2CD4FF04">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西安和平路支行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西安市和平路101号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  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18691816821</w:t>
      </w:r>
    </w:p>
    <w:p w14:paraId="7FB63205">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西安兴庆路支行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西安市兴庆路61号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妍</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13892880386</w:t>
      </w:r>
    </w:p>
    <w:p w14:paraId="53652D74">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西安新城支行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西安市南新街29号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朱子君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18629286269</w:t>
      </w:r>
    </w:p>
    <w:p w14:paraId="7DD23C9E">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西安长安区支行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西安市长安区青年街2号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王淑芸</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13572289603</w:t>
      </w:r>
    </w:p>
    <w:p w14:paraId="73E760C8">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咸阳市西兰路4号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邰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13299079906</w:t>
      </w:r>
    </w:p>
    <w:p w14:paraId="6E0B27F7">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宝鸡市红旗路36号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倩</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18629019817</w:t>
      </w:r>
    </w:p>
    <w:p w14:paraId="280EF819">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铜川分行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铜川市新区正阳路与长虹路十字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张小波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18691932636</w:t>
      </w:r>
    </w:p>
    <w:p w14:paraId="232320E6">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榆林市高新技术产业园区创业大厦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张君君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15991929275</w:t>
      </w:r>
    </w:p>
    <w:p w14:paraId="5F2751D6">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延安市宝塔区中心街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陈进佃</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15609110557</w:t>
      </w:r>
    </w:p>
    <w:p w14:paraId="5D548A89">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汉中市石灰巷21号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王晨旭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15319375850</w:t>
      </w:r>
    </w:p>
    <w:p w14:paraId="6D36D61A">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安康分行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安康市育才路102号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张少帅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13165762680</w:t>
      </w:r>
    </w:p>
    <w:p w14:paraId="7BE4D594">
      <w:pPr>
        <w:shd w:val="clear"/>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商洛市名人街广电大楼下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17809267188</w:t>
      </w:r>
    </w:p>
    <w:p w14:paraId="3801A8D9">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二、北京银行（政府订单贷）</w:t>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p>
    <w:p w14:paraId="2EB7BAD2">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刘晓伟</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总经理助理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029-61828763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18066630518</w:t>
      </w:r>
    </w:p>
    <w:p w14:paraId="7282D76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西安高新开发区支行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梁凡</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029-61828531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18681945597</w:t>
      </w:r>
    </w:p>
    <w:p w14:paraId="5243E0F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西安曲江文创支行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蒋超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029-65667366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15891737329</w:t>
      </w:r>
    </w:p>
    <w:p w14:paraId="3185F77A">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西安经济技术开发区支行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孟庆龙</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029-61828272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13991990373</w:t>
      </w:r>
    </w:p>
    <w:p w14:paraId="54EDDFA8">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西安长缨路支行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范凯</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副行长</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029-68717760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13991315609</w:t>
      </w:r>
    </w:p>
    <w:p w14:paraId="2EA497F5">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长安区西长安街支行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陈明</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029-85724301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18149209660</w:t>
      </w:r>
    </w:p>
    <w:p w14:paraId="0494BC88">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泾渭工业园支行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杨奕</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029-68213773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15934802021</w:t>
      </w:r>
    </w:p>
    <w:p w14:paraId="22EE5EAD">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北客站科技支行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周洁</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副行长</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029-61828129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18629518636</w:t>
      </w:r>
    </w:p>
    <w:p w14:paraId="06FDC42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解放路支行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王莉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行长助理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029-61828185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15802966196</w:t>
      </w:r>
    </w:p>
    <w:p w14:paraId="20E3675C">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奥宝森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室经理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0911-8076038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15592925222</w:t>
      </w:r>
    </w:p>
    <w:p w14:paraId="4F7110CA">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三、工商银行（政采贷）</w:t>
      </w:r>
    </w:p>
    <w:p w14:paraId="7390CF9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0912-6183827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15353386777</w:t>
      </w:r>
    </w:p>
    <w:p w14:paraId="2CCE57A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郭进</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0917-3238282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18991749262</w:t>
      </w:r>
    </w:p>
    <w:p w14:paraId="45BD1556">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安康分行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郑婕</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0915-3236275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15667856663</w:t>
      </w:r>
    </w:p>
    <w:p w14:paraId="7998AB29">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铜川分行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彭东东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0919-2151878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17392898832</w:t>
      </w:r>
    </w:p>
    <w:p w14:paraId="0F21FF17">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党莹</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0911-2380826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15291142933</w:t>
      </w:r>
    </w:p>
    <w:p w14:paraId="236F053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杨薇薇</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部门副经理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0916-2606773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18591607453</w:t>
      </w:r>
    </w:p>
    <w:p w14:paraId="3CC5CA2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09132095066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15229730006</w:t>
      </w:r>
    </w:p>
    <w:p w14:paraId="77636BF6">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袁霖</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029-33259370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18591006506</w:t>
      </w:r>
    </w:p>
    <w:p w14:paraId="1382678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经理助理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0914-2310908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18691410305</w:t>
      </w:r>
    </w:p>
    <w:p w14:paraId="23AD0609">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商洛分行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余勇博</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0914-2310908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18092802280</w:t>
      </w:r>
    </w:p>
    <w:p w14:paraId="167AE1A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巩越</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029-87609419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18629450680</w:t>
      </w:r>
    </w:p>
    <w:p w14:paraId="658EB9B5">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四、中信银行 （政采e贷）</w:t>
      </w:r>
    </w:p>
    <w:p w14:paraId="5AF4E3D9">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西安市朱雀大街中段1号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曹晓聪</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13759957407</w:t>
      </w:r>
    </w:p>
    <w:p w14:paraId="142B96E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秦皇中路绿苑大厦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杭群</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13992016859</w:t>
      </w:r>
    </w:p>
    <w:p w14:paraId="6B377DC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宝鸡市高新大道50号财富大厦B座</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王尧</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13636762976</w:t>
      </w:r>
    </w:p>
    <w:p w14:paraId="156B490A">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渭南市朝阳大街中段信达广场世纪明珠大厦</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杨阳</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18191815559</w:t>
      </w:r>
    </w:p>
    <w:p w14:paraId="522F2291">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榆林市高新区长兴路248号中信银行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刘洪巍</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13636885556</w:t>
      </w:r>
    </w:p>
    <w:p w14:paraId="7103D7C1">
      <w:pPr>
        <w:shd w:val="clear"/>
        <w:ind w:left="1680" w:leftChars="200" w:hanging="1260" w:hangingChars="6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汉中分行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汉中市汉台区西二环路与劳动西路东南汉中滨江•公园壹号（产业孵化区）3B号楼</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陈真</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18509165068</w:t>
      </w:r>
    </w:p>
    <w:p w14:paraId="09EF0273">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五、中国光大银行（阳光政采贷）</w:t>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r>
        <w:rPr>
          <w:rFonts w:hint="eastAsia" w:ascii="仿宋" w:hAnsi="仿宋" w:eastAsia="仿宋" w:cs="仿宋"/>
          <w:b/>
          <w:color w:val="auto"/>
          <w:szCs w:val="21"/>
          <w:highlight w:val="none"/>
        </w:rPr>
        <w:tab/>
      </w:r>
    </w:p>
    <w:p w14:paraId="46B5F569">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 欢</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0917-3451055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18329677163</w:t>
      </w:r>
    </w:p>
    <w:p w14:paraId="2FDAC06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尚云鹏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0912-3548019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18690473126</w:t>
      </w:r>
    </w:p>
    <w:p w14:paraId="73ED101D">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延安分行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汪昊田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0911-8011831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13509115500</w:t>
      </w:r>
    </w:p>
    <w:p w14:paraId="367D8A39">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侯 佳</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32100021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15229500088</w:t>
      </w:r>
    </w:p>
    <w:p w14:paraId="2DBE180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营销一部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 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87236311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13772031109</w:t>
      </w:r>
    </w:p>
    <w:p w14:paraId="2EC2C13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营销二部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朱翰辰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87236201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17791788078</w:t>
      </w:r>
    </w:p>
    <w:p w14:paraId="14AD40A8">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张翔琮</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87236306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18829235568</w:t>
      </w:r>
    </w:p>
    <w:p w14:paraId="2049CC57">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张曼玉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88247071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18009298787</w:t>
      </w:r>
    </w:p>
    <w:p w14:paraId="794C9F5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明德门支行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 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85350770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13991249430</w:t>
      </w:r>
    </w:p>
    <w:p w14:paraId="7FD7E5D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东大街支行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87438914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15029673754</w:t>
      </w:r>
    </w:p>
    <w:p w14:paraId="58F47668">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经济开发区支行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陆家俊</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86525176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18629303397</w:t>
      </w:r>
    </w:p>
    <w:p w14:paraId="334AEE4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凤城九路支行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宋 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89155022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18966911622</w:t>
      </w:r>
    </w:p>
    <w:p w14:paraId="37A45F2D">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兴庆路支行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司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83290033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18629251819</w:t>
      </w:r>
    </w:p>
    <w:p w14:paraId="77EFB76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长乐西路支行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82566208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15877390201</w:t>
      </w:r>
    </w:p>
    <w:p w14:paraId="717610F1">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友谊路支行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贠程敏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88422067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18792795210</w:t>
      </w:r>
    </w:p>
    <w:p w14:paraId="171EC3A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边家村支行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 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85251673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15309223048</w:t>
      </w:r>
    </w:p>
    <w:p w14:paraId="5A40C96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北关支行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菅新培</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86248203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18092169361</w:t>
      </w:r>
    </w:p>
    <w:p w14:paraId="6E66C9F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南郊支行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程 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85265234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13772491661</w:t>
      </w:r>
    </w:p>
    <w:p w14:paraId="7CDA63D2">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西关正街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马 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89548109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13772337373</w:t>
      </w:r>
    </w:p>
    <w:p w14:paraId="20FC0094">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丈八东路支行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杨筱凡</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81026910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15129044185</w:t>
      </w:r>
    </w:p>
    <w:p w14:paraId="346C2BD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雁塔路支行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闫梓闶</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82222501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18691561524</w:t>
      </w:r>
    </w:p>
    <w:p w14:paraId="21B6D8A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唐延路支行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尉二宝</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88329478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13991930150</w:t>
      </w:r>
    </w:p>
    <w:p w14:paraId="1E8B2760">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枫林绿洲支行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杨 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87302120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13609199490</w:t>
      </w:r>
    </w:p>
    <w:p w14:paraId="6E4EC985">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南关正街支行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85230722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18066610983</w:t>
      </w:r>
    </w:p>
    <w:p w14:paraId="38F40D41">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南二环支行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 超</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88362861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18192080396</w:t>
      </w:r>
    </w:p>
    <w:p w14:paraId="11F3AC3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曲江支行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田 鹏</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81205890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13991937977</w:t>
      </w:r>
    </w:p>
    <w:p w14:paraId="5E67FD5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太白路支行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马振林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68912880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15353736656</w:t>
      </w:r>
    </w:p>
    <w:p w14:paraId="0B10866A">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明光路支行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刘二渭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81623506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13201793405</w:t>
      </w:r>
    </w:p>
    <w:p w14:paraId="19CFD66C">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凤城二路支行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洋</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86680267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13720423343</w:t>
      </w:r>
    </w:p>
    <w:p w14:paraId="5D46D4B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昆明路支行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 洁</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84592506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13991821278</w:t>
      </w:r>
    </w:p>
    <w:p w14:paraId="4397177F">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丈八北路支行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 浩</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81875192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15667087662</w:t>
      </w:r>
    </w:p>
    <w:p w14:paraId="3AFE8BD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新城支行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余振东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87251680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18066617238</w:t>
      </w:r>
    </w:p>
    <w:p w14:paraId="6E1F69B3">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六、浦发银行 （政采e贷）</w:t>
      </w:r>
    </w:p>
    <w:p w14:paraId="58D5FE0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吴晨雨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029-63603803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15991724645</w:t>
      </w:r>
    </w:p>
    <w:p w14:paraId="6236DB87">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陈福全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17782511994</w:t>
      </w:r>
    </w:p>
    <w:p w14:paraId="625BA760">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韩瑾</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18202909790</w:t>
      </w:r>
    </w:p>
    <w:p w14:paraId="1C8F5F0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李瑞雪</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客户经理</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029-63603445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18220862398</w:t>
      </w:r>
    </w:p>
    <w:p w14:paraId="4D3363B5">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陈晓晓</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0912-2216068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15691269965</w:t>
      </w:r>
    </w:p>
    <w:p w14:paraId="2DE61FDE">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榆林分行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郭小东</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0912-2216008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15291820586</w:t>
      </w:r>
    </w:p>
    <w:p w14:paraId="40A0B0A5">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张一岚</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0917-8662919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18690008816</w:t>
      </w:r>
    </w:p>
    <w:p w14:paraId="710606C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宝鸡分行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朱强</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0917-8662926 </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13909176381</w:t>
      </w:r>
    </w:p>
    <w:p w14:paraId="7BD1CCAA">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渭南分行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王晓峰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0913-3357080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13992363166</w:t>
      </w:r>
    </w:p>
    <w:p w14:paraId="78478256">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咸阳分行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薛晗</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公司业务部</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029-32083788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15109226216</w:t>
      </w:r>
    </w:p>
    <w:p w14:paraId="209003BF">
      <w:pPr>
        <w:shd w:val="clear"/>
        <w:rPr>
          <w:rFonts w:hint="eastAsia" w:ascii="仿宋" w:hAnsi="仿宋" w:eastAsia="仿宋" w:cs="仿宋"/>
          <w:color w:val="auto"/>
          <w:szCs w:val="21"/>
          <w:highlight w:val="none"/>
        </w:rPr>
      </w:pPr>
    </w:p>
    <w:p w14:paraId="55AB6FFD">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七、兴业银行（政采贷）</w:t>
      </w:r>
    </w:p>
    <w:p w14:paraId="41255761">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朱靖</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总监</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029-87482998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13363979983</w:t>
      </w:r>
    </w:p>
    <w:p w14:paraId="06AE2B52">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八、中国民生银行（政采贷）</w:t>
      </w:r>
    </w:p>
    <w:p w14:paraId="7712A88E">
      <w:pPr>
        <w:shd w:val="clear"/>
        <w:ind w:left="2310" w:leftChars="200" w:hanging="1890" w:hangingChars="9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民生银行西安分行  联系人：陈经理 联系电话：61815275 /18821669199</w:t>
      </w:r>
    </w:p>
    <w:p w14:paraId="47967329">
      <w:pPr>
        <w:shd w:val="clear"/>
        <w:ind w:left="2310" w:leftChars="200" w:hanging="1890" w:hangingChars="9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联系人：王经理 联系电话：61815280 /18591953690 </w:t>
      </w:r>
    </w:p>
    <w:p w14:paraId="4AA9CB89">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九、浙商银行 （政采贷）</w:t>
      </w:r>
    </w:p>
    <w:p w14:paraId="5752B7A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西安分行</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西安市雁塔区科技路259号</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曹金辉</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18710993980</w:t>
      </w:r>
    </w:p>
    <w:p w14:paraId="2F1AD2A7">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十、 招商银行（政采贷） </w:t>
      </w:r>
    </w:p>
    <w:p w14:paraId="2E4D7F3D">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招商银行西安分行   联系人：任瑾；85438988</w:t>
      </w:r>
    </w:p>
    <w:p w14:paraId="0445F2FB">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十一、 长安银行（小微贷） </w:t>
      </w:r>
    </w:p>
    <w:p w14:paraId="105D2853">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长安银行西安曲江新区支行 地址：西安市曲江新区雁南一路3号  </w:t>
      </w:r>
    </w:p>
    <w:p w14:paraId="5226A68B">
      <w:pPr>
        <w:shd w:val="clea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联系人：陈瑶 13629266833 </w:t>
      </w:r>
    </w:p>
    <w:bookmarkEnd w:id="408"/>
    <w:bookmarkEnd w:id="409"/>
    <w:p w14:paraId="5DFA04A7">
      <w:pPr>
        <w:shd w:val="clear"/>
        <w:rPr>
          <w:rFonts w:hint="eastAsia" w:ascii="仿宋" w:hAnsi="仿宋" w:eastAsia="仿宋" w:cs="仿宋"/>
          <w:b/>
          <w:color w:val="auto"/>
          <w:szCs w:val="21"/>
          <w:highlight w:val="none"/>
        </w:rPr>
      </w:pPr>
      <w:bookmarkStart w:id="410" w:name="_Toc184114070"/>
      <w:bookmarkStart w:id="411" w:name="_Toc230013637"/>
      <w:bookmarkStart w:id="412" w:name="_Toc230099802"/>
      <w:bookmarkStart w:id="413" w:name="_Toc184025279"/>
      <w:r>
        <w:rPr>
          <w:rFonts w:hint="eastAsia" w:ascii="仿宋" w:hAnsi="仿宋" w:eastAsia="仿宋" w:cs="仿宋"/>
          <w:b/>
          <w:color w:val="auto"/>
          <w:szCs w:val="21"/>
          <w:highlight w:val="none"/>
        </w:rPr>
        <w:t>十二、网商银行（合同贷）</w:t>
      </w:r>
    </w:p>
    <w:p w14:paraId="15C7C1A5">
      <w:pPr>
        <w:shd w:val="clea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十三、中国邮政储蓄银行陕西省分行（政采贷）</w:t>
      </w:r>
    </w:p>
    <w:p w14:paraId="59533A26">
      <w:pPr>
        <w:pStyle w:val="2"/>
        <w:shd w:val="clear"/>
        <w:tabs>
          <w:tab w:val="left" w:pos="567"/>
        </w:tabs>
        <w:rPr>
          <w:rFonts w:hint="eastAsia" w:ascii="仿宋" w:hAnsi="仿宋" w:eastAsia="仿宋" w:cs="仿宋"/>
          <w:color w:val="auto"/>
          <w:szCs w:val="21"/>
          <w:highlight w:val="none"/>
        </w:rPr>
      </w:pPr>
    </w:p>
    <w:p w14:paraId="6A1F82EA">
      <w:pPr>
        <w:pStyle w:val="2"/>
        <w:shd w:val="clear"/>
        <w:tabs>
          <w:tab w:val="left" w:pos="567"/>
        </w:tabs>
        <w:rPr>
          <w:rFonts w:hint="eastAsia" w:ascii="仿宋" w:hAnsi="仿宋" w:eastAsia="仿宋" w:cs="仿宋"/>
          <w:color w:val="auto"/>
          <w:sz w:val="24"/>
          <w:highlight w:val="none"/>
        </w:rPr>
      </w:pPr>
      <w:r>
        <w:rPr>
          <w:rFonts w:hint="eastAsia" w:ascii="仿宋" w:hAnsi="仿宋" w:eastAsia="仿宋" w:cs="仿宋"/>
          <w:color w:val="auto"/>
          <w:sz w:val="24"/>
          <w:highlight w:val="none"/>
        </w:rPr>
        <w:t>渭南市政府采购贷款银行信息：</w:t>
      </w:r>
    </w:p>
    <w:tbl>
      <w:tblPr>
        <w:tblStyle w:val="51"/>
        <w:tblW w:w="4998" w:type="pct"/>
        <w:tblInd w:w="0" w:type="dxa"/>
        <w:tblLayout w:type="autofit"/>
        <w:tblCellMar>
          <w:top w:w="0" w:type="dxa"/>
          <w:left w:w="108" w:type="dxa"/>
          <w:bottom w:w="0" w:type="dxa"/>
          <w:right w:w="108" w:type="dxa"/>
        </w:tblCellMar>
      </w:tblPr>
      <w:tblGrid>
        <w:gridCol w:w="1299"/>
        <w:gridCol w:w="2159"/>
        <w:gridCol w:w="2804"/>
        <w:gridCol w:w="2804"/>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hd w:val="clear"/>
              <w:spacing w:line="240" w:lineRule="exact"/>
              <w:jc w:val="center"/>
              <w:textAlignment w:val="top"/>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hd w:val="clear"/>
              <w:spacing w:line="240" w:lineRule="exact"/>
              <w:jc w:val="center"/>
              <w:textAlignment w:val="top"/>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13892535580</w:t>
            </w:r>
          </w:p>
          <w:p w14:paraId="500ED337">
            <w:pPr>
              <w:widowControl/>
              <w:shd w:val="clear"/>
              <w:spacing w:line="240" w:lineRule="exact"/>
              <w:jc w:val="center"/>
              <w:textAlignment w:val="top"/>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hd w:val="clear"/>
              <w:spacing w:line="240" w:lineRule="exact"/>
              <w:jc w:val="center"/>
              <w:rPr>
                <w:rFonts w:hint="eastAsia" w:ascii="仿宋" w:hAnsi="仿宋" w:eastAsia="仿宋" w:cs="仿宋"/>
                <w:color w:val="auto"/>
                <w:szCs w:val="21"/>
                <w:highlight w:val="none"/>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hd w:val="clear"/>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13892383911</w:t>
            </w:r>
          </w:p>
          <w:p w14:paraId="79D706A2">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hd w:val="clear"/>
              <w:spacing w:line="240" w:lineRule="exact"/>
              <w:jc w:val="center"/>
              <w:rPr>
                <w:rFonts w:hint="eastAsia" w:ascii="仿宋" w:hAnsi="仿宋" w:eastAsia="仿宋" w:cs="仿宋"/>
                <w:color w:val="auto"/>
                <w:szCs w:val="21"/>
                <w:highlight w:val="none"/>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hd w:val="clear"/>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18191815559</w:t>
            </w:r>
          </w:p>
          <w:p w14:paraId="18C4D9A6">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hd w:val="clear"/>
              <w:spacing w:line="240" w:lineRule="exact"/>
              <w:jc w:val="center"/>
              <w:rPr>
                <w:rFonts w:hint="eastAsia" w:ascii="仿宋" w:hAnsi="仿宋" w:eastAsia="仿宋" w:cs="仿宋"/>
                <w:color w:val="auto"/>
                <w:szCs w:val="21"/>
                <w:highlight w:val="none"/>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hd w:val="clear"/>
              <w:spacing w:line="240" w:lineRule="exact"/>
              <w:jc w:val="center"/>
              <w:rPr>
                <w:rFonts w:hint="eastAsia" w:ascii="仿宋" w:hAnsi="仿宋" w:eastAsia="仿宋" w:cs="仿宋"/>
                <w:color w:val="auto"/>
                <w:szCs w:val="21"/>
                <w:highlight w:val="none"/>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hd w:val="clear"/>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18191356300</w:t>
            </w:r>
          </w:p>
          <w:p w14:paraId="5C523ED3">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hd w:val="clear"/>
              <w:spacing w:line="240" w:lineRule="exact"/>
              <w:jc w:val="center"/>
              <w:rPr>
                <w:rFonts w:hint="eastAsia" w:ascii="仿宋" w:hAnsi="仿宋" w:eastAsia="仿宋" w:cs="仿宋"/>
                <w:color w:val="auto"/>
                <w:szCs w:val="21"/>
                <w:highlight w:val="none"/>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hd w:val="clear"/>
              <w:spacing w:line="240" w:lineRule="exact"/>
              <w:jc w:val="center"/>
              <w:rPr>
                <w:rFonts w:hint="eastAsia" w:ascii="仿宋" w:hAnsi="仿宋" w:eastAsia="仿宋" w:cs="仿宋"/>
                <w:color w:val="auto"/>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hd w:val="clear"/>
              <w:spacing w:line="240" w:lineRule="exact"/>
              <w:jc w:val="center"/>
              <w:rPr>
                <w:rFonts w:hint="eastAsia" w:ascii="仿宋" w:hAnsi="仿宋" w:eastAsia="仿宋" w:cs="仿宋"/>
                <w:color w:val="auto"/>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hd w:val="clear"/>
              <w:spacing w:line="240" w:lineRule="exact"/>
              <w:jc w:val="center"/>
              <w:rPr>
                <w:rFonts w:hint="eastAsia" w:ascii="仿宋" w:hAnsi="仿宋" w:eastAsia="仿宋" w:cs="仿宋"/>
                <w:color w:val="auto"/>
                <w:szCs w:val="21"/>
                <w:highlight w:val="none"/>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hd w:val="clear"/>
              <w:spacing w:line="240" w:lineRule="exact"/>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13028431555</w:t>
            </w:r>
          </w:p>
          <w:p w14:paraId="3F7B5B80">
            <w:pPr>
              <w:widowControl/>
              <w:shd w:val="clear"/>
              <w:spacing w:line="24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18091365182</w:t>
            </w:r>
          </w:p>
        </w:tc>
      </w:tr>
    </w:tbl>
    <w:p w14:paraId="6629081D">
      <w:pPr>
        <w:pStyle w:val="2"/>
        <w:shd w:val="clear"/>
        <w:tabs>
          <w:tab w:val="left" w:pos="567"/>
        </w:tabs>
        <w:rPr>
          <w:rFonts w:hint="eastAsia" w:ascii="仿宋" w:hAnsi="仿宋" w:eastAsia="仿宋" w:cs="仿宋"/>
          <w:color w:val="auto"/>
          <w:szCs w:val="21"/>
          <w:highlight w:val="none"/>
        </w:rPr>
      </w:pPr>
    </w:p>
    <w:p w14:paraId="0DBA4DB1">
      <w:pPr>
        <w:pStyle w:val="2"/>
        <w:shd w:val="clear"/>
        <w:tabs>
          <w:tab w:val="left" w:pos="567"/>
        </w:tabs>
        <w:rPr>
          <w:rFonts w:hint="eastAsia" w:ascii="仿宋" w:hAnsi="仿宋" w:eastAsia="仿宋" w:cs="仿宋"/>
          <w:color w:val="auto"/>
          <w:sz w:val="24"/>
          <w:highlight w:val="none"/>
        </w:rPr>
      </w:pPr>
      <w:r>
        <w:rPr>
          <w:rFonts w:hint="eastAsia" w:ascii="仿宋" w:hAnsi="仿宋" w:eastAsia="仿宋" w:cs="仿宋"/>
          <w:color w:val="auto"/>
          <w:sz w:val="24"/>
          <w:highlight w:val="none"/>
        </w:rPr>
        <w:t>延安市政府采购贷款银行信息：</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highlight w:val="none"/>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highlight w:val="none"/>
                <w:shd w:val="clear" w:color="auto" w:fill="FFFFFF"/>
                <w:vertAlign w:val="baseline"/>
                <w:lang w:val="en-US" w:eastAsia="zh-CN" w:bidi="ar-SA"/>
              </w:rPr>
              <w:t>15991595662</w:t>
            </w:r>
          </w:p>
        </w:tc>
      </w:tr>
    </w:tbl>
    <w:p w14:paraId="71FA1B5B">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bookmarkEnd w:id="410"/>
    <w:bookmarkEnd w:id="411"/>
    <w:bookmarkEnd w:id="412"/>
    <w:bookmarkEnd w:id="413"/>
    <w:p w14:paraId="78BB099D">
      <w:pPr>
        <w:pStyle w:val="47"/>
        <w:shd w:val="clear"/>
        <w:spacing w:line="360" w:lineRule="auto"/>
        <w:rPr>
          <w:rStyle w:val="204"/>
          <w:rFonts w:hint="eastAsia" w:ascii="仿宋" w:hAnsi="仿宋" w:eastAsia="仿宋" w:cs="仿宋"/>
          <w:color w:val="auto"/>
          <w:sz w:val="36"/>
          <w:szCs w:val="36"/>
          <w:highlight w:val="none"/>
        </w:rPr>
      </w:pPr>
      <w:bookmarkStart w:id="414" w:name="_Toc17519"/>
      <w:bookmarkStart w:id="415" w:name="_Toc26891"/>
      <w:bookmarkStart w:id="416" w:name="_Toc17469"/>
      <w:bookmarkStart w:id="417" w:name="_Toc58504447"/>
      <w:r>
        <w:rPr>
          <w:rStyle w:val="204"/>
          <w:rFonts w:hint="eastAsia" w:ascii="仿宋" w:hAnsi="仿宋" w:eastAsia="仿宋" w:cs="仿宋"/>
          <w:color w:val="auto"/>
          <w:sz w:val="36"/>
          <w:szCs w:val="36"/>
          <w:highlight w:val="none"/>
        </w:rPr>
        <w:t>第三章  评审办法和标准</w:t>
      </w:r>
      <w:bookmarkEnd w:id="414"/>
      <w:bookmarkEnd w:id="415"/>
    </w:p>
    <w:p w14:paraId="18D7CB7B">
      <w:pPr>
        <w:shd w:val="clear"/>
        <w:tabs>
          <w:tab w:val="left" w:pos="360"/>
          <w:tab w:val="left" w:pos="588"/>
        </w:tabs>
        <w:spacing w:line="360" w:lineRule="auto"/>
        <w:ind w:left="840"/>
        <w:rPr>
          <w:rFonts w:hint="eastAsia" w:ascii="仿宋" w:hAnsi="仿宋" w:eastAsia="仿宋" w:cs="仿宋"/>
          <w:color w:val="auto"/>
          <w:sz w:val="24"/>
          <w:highlight w:val="none"/>
        </w:rPr>
      </w:pPr>
    </w:p>
    <w:p w14:paraId="6A6D2998">
      <w:pPr>
        <w:pStyle w:val="79"/>
        <w:shd w:val="clear"/>
        <w:spacing w:before="24" w:after="24"/>
        <w:rPr>
          <w:rFonts w:hint="eastAsia" w:ascii="仿宋" w:hAnsi="仿宋" w:eastAsia="仿宋" w:cs="仿宋"/>
          <w:color w:val="auto"/>
          <w:sz w:val="28"/>
          <w:szCs w:val="28"/>
          <w:highlight w:val="none"/>
        </w:rPr>
      </w:pPr>
      <w:bookmarkStart w:id="418" w:name="_Toc68590976"/>
      <w:bookmarkStart w:id="419" w:name="_Toc23183"/>
      <w:bookmarkStart w:id="420" w:name="_Toc3785"/>
      <w:bookmarkStart w:id="421" w:name="_Toc7005040"/>
      <w:bookmarkStart w:id="422" w:name="_Toc27032"/>
      <w:r>
        <w:rPr>
          <w:rFonts w:hint="eastAsia" w:ascii="仿宋" w:hAnsi="仿宋" w:eastAsia="仿宋" w:cs="仿宋"/>
          <w:color w:val="auto"/>
          <w:sz w:val="28"/>
          <w:szCs w:val="28"/>
          <w:highlight w:val="none"/>
        </w:rPr>
        <w:t>1. 评审方法</w:t>
      </w:r>
      <w:bookmarkEnd w:id="418"/>
      <w:bookmarkEnd w:id="419"/>
      <w:bookmarkEnd w:id="420"/>
      <w:bookmarkEnd w:id="421"/>
      <w:bookmarkEnd w:id="422"/>
    </w:p>
    <w:p w14:paraId="6DA11B37">
      <w:pPr>
        <w:pStyle w:val="2"/>
        <w:shd w:val="clea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9"/>
        <w:shd w:val="clear"/>
        <w:spacing w:before="24" w:after="24"/>
        <w:rPr>
          <w:rFonts w:hint="eastAsia" w:ascii="仿宋" w:hAnsi="仿宋" w:eastAsia="仿宋" w:cs="仿宋"/>
          <w:color w:val="auto"/>
          <w:sz w:val="28"/>
          <w:szCs w:val="28"/>
          <w:highlight w:val="none"/>
        </w:rPr>
      </w:pPr>
      <w:bookmarkStart w:id="423" w:name="_Toc7005041"/>
      <w:bookmarkStart w:id="424" w:name="_Toc6862"/>
      <w:bookmarkStart w:id="425" w:name="_Toc31361"/>
      <w:bookmarkStart w:id="426" w:name="_Toc11501"/>
      <w:bookmarkStart w:id="427" w:name="_Toc68590977"/>
      <w:r>
        <w:rPr>
          <w:rFonts w:hint="eastAsia" w:ascii="仿宋" w:hAnsi="仿宋" w:eastAsia="仿宋" w:cs="仿宋"/>
          <w:color w:val="auto"/>
          <w:sz w:val="28"/>
          <w:szCs w:val="28"/>
          <w:highlight w:val="none"/>
        </w:rPr>
        <w:t>2. 评审标准</w:t>
      </w:r>
      <w:bookmarkEnd w:id="423"/>
      <w:bookmarkEnd w:id="424"/>
      <w:bookmarkEnd w:id="425"/>
      <w:bookmarkEnd w:id="426"/>
      <w:bookmarkEnd w:id="427"/>
    </w:p>
    <w:p w14:paraId="4D1A958A">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2.1 资格审查和符合性评审标准：见附表一和附表二。</w:t>
      </w:r>
    </w:p>
    <w:p w14:paraId="079E93B3">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2.2 分值构成：总分100分，详见评审因素及分值分配表。</w:t>
      </w:r>
    </w:p>
    <w:p w14:paraId="2781720B">
      <w:pPr>
        <w:pStyle w:val="2"/>
        <w:shd w:val="clear"/>
        <w:rPr>
          <w:rFonts w:hint="eastAsia" w:ascii="仿宋" w:hAnsi="仿宋" w:eastAsia="仿宋" w:cs="仿宋"/>
          <w:color w:val="auto"/>
          <w:sz w:val="24"/>
          <w:highlight w:val="none"/>
        </w:rPr>
      </w:pPr>
      <w:bookmarkStart w:id="428" w:name="_Ref426362176"/>
      <w:r>
        <w:rPr>
          <w:rFonts w:hint="eastAsia" w:ascii="仿宋" w:hAnsi="仿宋" w:eastAsia="仿宋" w:cs="仿宋"/>
          <w:color w:val="auto"/>
          <w:sz w:val="24"/>
          <w:highlight w:val="none"/>
        </w:rPr>
        <w:t>2.3</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报价评分标准：</w:t>
      </w:r>
      <w:bookmarkEnd w:id="428"/>
      <w:r>
        <w:rPr>
          <w:rFonts w:hint="eastAsia" w:ascii="仿宋" w:hAnsi="仿宋" w:eastAsia="仿宋" w:cs="仿宋"/>
          <w:color w:val="auto"/>
          <w:sz w:val="24"/>
          <w:highlight w:val="none"/>
        </w:rPr>
        <w:t>见附表三。</w:t>
      </w:r>
    </w:p>
    <w:p w14:paraId="26E2AC8C">
      <w:pPr>
        <w:tabs>
          <w:tab w:val="left" w:pos="588"/>
        </w:tabs>
        <w:spacing w:line="360" w:lineRule="auto"/>
        <w:ind w:left="638" w:leftChars="0" w:hanging="638" w:hangingChars="26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（1）若项目未专门面向中小企业采购，对小微型企业、监狱企业、残疾人福利性单位产品的价格给予</w:t>
      </w:r>
      <w:r>
        <w:rPr>
          <w:rFonts w:hint="eastAsia" w:eastAsia="仿宋_GB2312" w:cs="Times New Roman"/>
          <w:i/>
          <w:iCs/>
          <w:highlight w:val="none"/>
          <w:u w:val="single"/>
          <w:lang w:val="en-US" w:eastAsia="zh-CN"/>
        </w:rPr>
        <w:t>3</w:t>
      </w:r>
      <w:r>
        <w:rPr>
          <w:rFonts w:hint="default" w:ascii="Times New Roman" w:hAnsi="Times New Roman" w:eastAsia="仿宋_GB2312" w:cs="Times New Roman"/>
          <w:i/>
          <w:iCs/>
          <w:highlight w:val="none"/>
          <w:u w:val="single"/>
        </w:rPr>
        <w:t xml:space="preserve">% </w:t>
      </w:r>
      <w:r>
        <w:rPr>
          <w:rFonts w:hint="default" w:ascii="Times New Roman" w:hAnsi="Times New Roman" w:eastAsia="仿宋_GB2312" w:cs="Times New Roman"/>
          <w:sz w:val="24"/>
          <w:highlight w:val="none"/>
        </w:rPr>
        <w:t>的扣除，用扣除后的价格参与评审。若项目专门面向中小企业采购，则不再进行价格扣除。</w:t>
      </w:r>
    </w:p>
    <w:p w14:paraId="6BA65FFF">
      <w:pPr>
        <w:pStyle w:val="2"/>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①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default" w:ascii="Times New Roman" w:hAnsi="Times New Roman" w:eastAsia="仿宋_GB2312" w:cs="Times New Roman"/>
          <w:sz w:val="24"/>
          <w:highlight w:val="none"/>
          <w:lang w:val="en-US" w:eastAsia="zh-CN"/>
        </w:rPr>
        <w:t xml:space="preserve"> </w:t>
      </w:r>
      <w:r>
        <w:rPr>
          <w:rFonts w:hint="default" w:ascii="Times New Roman" w:hAnsi="Times New Roman" w:eastAsia="仿宋_GB2312" w:cs="Times New Roman"/>
          <w:sz w:val="24"/>
          <w:highlight w:val="none"/>
        </w:rPr>
        <w:t>民政部</w:t>
      </w:r>
      <w:r>
        <w:rPr>
          <w:rFonts w:hint="default" w:ascii="Times New Roman" w:hAnsi="Times New Roman" w:eastAsia="仿宋_GB2312" w:cs="Times New Roman"/>
          <w:sz w:val="24"/>
          <w:highlight w:val="none"/>
          <w:lang w:val="en-US" w:eastAsia="zh-CN"/>
        </w:rPr>
        <w:t xml:space="preserve"> </w:t>
      </w:r>
      <w:r>
        <w:rPr>
          <w:rFonts w:hint="default" w:ascii="Times New Roman" w:hAnsi="Times New Roman" w:eastAsia="仿宋_GB2312" w:cs="Times New Roman"/>
          <w:sz w:val="24"/>
          <w:highlight w:val="none"/>
        </w:rPr>
        <w:t>中国残疾人联合会关于促进残疾人就业政府采购政策的通知》（财库〔2017〕141号）文件规定，并提供《残疾人福利性单位声明函》。</w:t>
      </w:r>
    </w:p>
    <w:p w14:paraId="37476FE7">
      <w:pPr>
        <w:pStyle w:val="2"/>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②对于同时属于小微企业、监狱企业或残疾人福利性单位的，不重复进行价格扣除。</w:t>
      </w:r>
    </w:p>
    <w:p w14:paraId="7252FE04">
      <w:pPr>
        <w:pStyle w:val="2"/>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③如允许与小微企业组成联合体或向其分包的，且合同额占总金额30%以上的，给予</w:t>
      </w:r>
      <w:r>
        <w:rPr>
          <w:rFonts w:hint="default" w:ascii="Times New Roman" w:hAnsi="Times New Roman" w:eastAsia="仿宋_GB2312" w:cs="Times New Roman"/>
          <w:i/>
          <w:iCs/>
          <w:sz w:val="24"/>
          <w:highlight w:val="none"/>
          <w:u w:val="single"/>
        </w:rPr>
        <w:t>4%（工程为1%）</w:t>
      </w:r>
      <w:r>
        <w:rPr>
          <w:rFonts w:hint="default" w:ascii="Times New Roman" w:hAnsi="Times New Roman" w:eastAsia="仿宋_GB2312" w:cs="Times New Roman"/>
          <w:sz w:val="24"/>
          <w:highlight w:val="none"/>
        </w:rPr>
        <w:t>的扣除。联合体各方均为小型、微型企业和监狱企业的，联合体视同为小型、微型企业和监狱企业。</w:t>
      </w:r>
    </w:p>
    <w:p w14:paraId="4D671476">
      <w:pPr>
        <w:tabs>
          <w:tab w:val="left" w:pos="588"/>
        </w:tabs>
        <w:spacing w:line="360" w:lineRule="auto"/>
        <w:ind w:left="638" w:leftChars="0" w:hanging="638" w:hangingChars="26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供应商提供服务所伴随</w:t>
      </w:r>
      <w:r>
        <w:rPr>
          <w:rFonts w:hint="default" w:ascii="Times New Roman" w:hAnsi="Times New Roman" w:eastAsia="仿宋_GB2312" w:cs="Times New Roman"/>
          <w:sz w:val="24"/>
          <w:highlight w:val="none"/>
        </w:rPr>
        <w:t>产品为节能、环境标志产品，符合</w:t>
      </w:r>
      <w:r>
        <w:rPr>
          <w:rFonts w:hint="default" w:ascii="Times New Roman" w:hAnsi="Times New Roman" w:eastAsia="仿宋_GB2312" w:cs="Times New Roman"/>
          <w:sz w:val="24"/>
          <w:highlight w:val="none"/>
          <w:lang w:val="en-US" w:eastAsia="zh-CN"/>
        </w:rPr>
        <w:t>采购</w:t>
      </w:r>
      <w:r>
        <w:rPr>
          <w:rFonts w:hint="default" w:ascii="Times New Roman" w:hAnsi="Times New Roman" w:eastAsia="仿宋_GB2312" w:cs="Times New Roman"/>
          <w:sz w:val="24"/>
          <w:highlight w:val="none"/>
        </w:rPr>
        <w:t>文件要求的，可优先采购，价格扣除百分比计算公式为：节能、环境标志产品清单中的产品价格占响应总价的</w:t>
      </w:r>
      <w:r>
        <w:rPr>
          <w:rFonts w:hint="default" w:ascii="Times New Roman" w:hAnsi="Times New Roman" w:eastAsia="仿宋_GB2312" w:cs="Times New Roman"/>
          <w:b/>
          <w:sz w:val="24"/>
          <w:highlight w:val="none"/>
        </w:rPr>
        <w:t>百分比×5%</w:t>
      </w:r>
      <w:r>
        <w:rPr>
          <w:rFonts w:hint="default" w:ascii="Times New Roman" w:hAnsi="Times New Roman" w:eastAsia="仿宋_GB2312" w:cs="Times New Roman"/>
          <w:sz w:val="24"/>
          <w:highlight w:val="none"/>
        </w:rPr>
        <w:t>，用扣除后的价格参与评审。</w:t>
      </w:r>
    </w:p>
    <w:p w14:paraId="4A43EAFA">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4663B53B">
      <w:pPr>
        <w:tabs>
          <w:tab w:val="left" w:pos="588"/>
        </w:tabs>
        <w:spacing w:line="360" w:lineRule="auto"/>
        <w:ind w:left="636" w:leftChars="303" w:firstLine="0" w:firstLineChars="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②以在有效期之内的，国家确定的认证机构出具的节能产品、环境标志产品认证证书为依据，复印件须加盖供应商公章，否则不予扣除</w:t>
      </w:r>
      <w:r>
        <w:rPr>
          <w:rFonts w:hint="default" w:ascii="Times New Roman" w:hAnsi="Times New Roman" w:eastAsia="仿宋_GB2312" w:cs="Times New Roman"/>
          <w:sz w:val="24"/>
          <w:highlight w:val="none"/>
          <w:lang w:eastAsia="zh-CN"/>
        </w:rPr>
        <w:t>。</w:t>
      </w:r>
    </w:p>
    <w:p w14:paraId="1E199337">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③供应商在响应文件中对所响应产品为节能、环境标志品目清单中的产品，在谈判报价时必须对此类产品单独分项报价，未提供节能、环境标志产品计分明细表不予扣除。</w:t>
      </w:r>
    </w:p>
    <w:p w14:paraId="1D718F47">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④若节能、环境标志清单内的产品仅是构成响应产品的部件、组件或零件的，则该产品不享受鼓励优惠政策。</w:t>
      </w:r>
    </w:p>
    <w:p w14:paraId="0DD1E9FE">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⑤同一包内的节能、环境标志产品部分计分只对属于清单内的非强制类产品进行计分，强制类产品不给予扣除。</w:t>
      </w:r>
    </w:p>
    <w:p w14:paraId="08CCCBBD">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⑥节能、环境标志产品不重复扣除。</w:t>
      </w:r>
    </w:p>
    <w:p w14:paraId="773B1ABA">
      <w:pPr>
        <w:tabs>
          <w:tab w:val="left" w:pos="588"/>
        </w:tabs>
        <w:spacing w:line="360" w:lineRule="auto"/>
        <w:ind w:left="636" w:leftChars="0" w:hanging="636" w:hangingChars="265"/>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）政府采购货物项目和服务项目中涉及的货物，</w:t>
      </w:r>
      <w:r>
        <w:rPr>
          <w:rFonts w:hint="default" w:ascii="Times New Roman" w:hAnsi="Times New Roman" w:eastAsia="仿宋_GB2312" w:cs="Times New Roman"/>
          <w:sz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00CB5232">
      <w:pPr>
        <w:tabs>
          <w:tab w:val="left" w:pos="588"/>
        </w:tabs>
        <w:spacing w:line="360" w:lineRule="auto"/>
        <w:ind w:left="636" w:leftChars="0" w:hanging="636" w:hangingChars="265"/>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4</w:t>
      </w:r>
      <w:r>
        <w:rPr>
          <w:rFonts w:hint="default" w:ascii="Times New Roman" w:hAnsi="Times New Roman" w:eastAsia="仿宋_GB2312" w:cs="Times New Roman"/>
          <w:sz w:val="24"/>
          <w:highlight w:val="none"/>
        </w:rPr>
        <w:t>）评审基准价。有效响应文件中的最后报价并按本款（1）（2）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进行调整的最低报价为评审基准价。</w:t>
      </w:r>
    </w:p>
    <w:p w14:paraId="397F6C0C">
      <w:pPr>
        <w:pStyle w:val="2"/>
        <w:ind w:left="636" w:leftChars="0" w:hanging="636" w:hangingChars="265"/>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5</w:t>
      </w:r>
      <w:r>
        <w:rPr>
          <w:rFonts w:hint="default" w:ascii="Times New Roman" w:hAnsi="Times New Roman" w:eastAsia="仿宋_GB2312" w:cs="Times New Roman"/>
          <w:sz w:val="24"/>
          <w:highlight w:val="none"/>
        </w:rPr>
        <w:t>）供应商报价（按本款（1）（2）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进行调整后价格）得分=（评审基准价／最后报价）×价格分分值</w:t>
      </w:r>
      <w:r>
        <w:rPr>
          <w:rFonts w:hint="default" w:ascii="Times New Roman" w:hAnsi="Times New Roman" w:eastAsia="仿宋_GB2312" w:cs="Times New Roman"/>
          <w:sz w:val="24"/>
          <w:highlight w:val="none"/>
          <w:lang w:eastAsia="zh-CN"/>
        </w:rPr>
        <w:t>。</w:t>
      </w:r>
    </w:p>
    <w:p w14:paraId="6E8C3A4B">
      <w:pPr>
        <w:pStyle w:val="2"/>
        <w:ind w:left="636" w:leftChars="0" w:hanging="636" w:hangingChars="265"/>
        <w:rPr>
          <w:rFonts w:hint="eastAsia" w:eastAsia="仿宋_GB2312" w:cs="Times New Roman"/>
          <w:b w:val="0"/>
          <w:bCs/>
          <w:sz w:val="24"/>
          <w:highlight w:val="none"/>
          <w:lang w:eastAsia="zh-CN"/>
        </w:rPr>
      </w:pPr>
      <w:r>
        <w:rPr>
          <w:rFonts w:hint="eastAsia" w:eastAsia="仿宋_GB2312" w:cs="Times New Roman"/>
          <w:b w:val="0"/>
          <w:bCs/>
          <w:sz w:val="24"/>
          <w:highlight w:val="none"/>
          <w:lang w:eastAsia="zh-CN"/>
        </w:rPr>
        <w:t>（</w:t>
      </w:r>
      <w:r>
        <w:rPr>
          <w:rFonts w:hint="eastAsia" w:eastAsia="仿宋_GB2312" w:cs="Times New Roman"/>
          <w:b w:val="0"/>
          <w:bCs/>
          <w:sz w:val="24"/>
          <w:highlight w:val="none"/>
          <w:lang w:val="en-US" w:eastAsia="zh-CN"/>
        </w:rPr>
        <w:t>6</w:t>
      </w:r>
      <w:r>
        <w:rPr>
          <w:rFonts w:hint="eastAsia" w:eastAsia="仿宋_GB2312" w:cs="Times New Roman"/>
          <w:b w:val="0"/>
          <w:bCs/>
          <w:sz w:val="24"/>
          <w:highlight w:val="none"/>
          <w:lang w:eastAsia="zh-CN"/>
        </w:rPr>
        <w:t xml:space="preserve">）异常低价审查 </w:t>
      </w:r>
    </w:p>
    <w:p w14:paraId="4B9665ED">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评审中出现下列情形之一的，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审查程序： </w:t>
      </w:r>
    </w:p>
    <w:p w14:paraId="1AFB4C74">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1）</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报价平均值50%的，即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报价平均值×50%； </w:t>
      </w:r>
    </w:p>
    <w:p w14:paraId="76A5EAB9">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2）</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报价×50%； </w:t>
      </w:r>
    </w:p>
    <w:p w14:paraId="569F55CA">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3）</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报价低于采购项目最高限价45%的，即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报价&lt;采购项目最高限价×45%； </w:t>
      </w:r>
    </w:p>
    <w:p w14:paraId="375D6C46">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4）</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 xml:space="preserve">基于专业判断，认为供应商报价过低，有可能影响产品质量或者不能诚信履约的其他情形。 </w:t>
      </w:r>
    </w:p>
    <w:p w14:paraId="2D094EB1">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 xml:space="preserve">相关法律法规对供应商报价有规定的，从其规定。 </w:t>
      </w:r>
    </w:p>
    <w:p w14:paraId="3FB91683">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审查后，属于前述第1项至第4项情形的，应当要求相关供应商在评审现场合理的时间内对</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文件一并提交相关书面说明及必要的证明材料的，在评审现场可不再重复提交。 </w:t>
      </w:r>
    </w:p>
    <w:p w14:paraId="203B3112">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供应商不能提供书面说明、证明材料，或者提供的书面说明、证明材料不能证明其报价合理性的，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应当将其作为无效</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处理。 </w:t>
      </w:r>
    </w:p>
    <w:p w14:paraId="48C22869">
      <w:pPr>
        <w:pStyle w:val="2"/>
        <w:ind w:left="630" w:leftChars="300" w:firstLine="8" w:firstLineChars="0"/>
        <w:rPr>
          <w:rFonts w:hint="default" w:ascii="Times New Roman" w:hAnsi="Times New Roman" w:cs="Times New Roman"/>
          <w:b w:val="0"/>
          <w:bCs/>
          <w:highlight w:val="none"/>
          <w:lang w:eastAsia="zh-CN"/>
        </w:rPr>
      </w:pPr>
      <w:r>
        <w:rPr>
          <w:rFonts w:hint="default" w:ascii="Times New Roman" w:hAnsi="Times New Roman" w:eastAsia="仿宋_GB2312" w:cs="Times New Roman"/>
          <w:b w:val="0"/>
          <w:bCs/>
          <w:sz w:val="24"/>
          <w:highlight w:val="none"/>
          <w:lang w:eastAsia="zh-CN"/>
        </w:rPr>
        <w:t>采购人、采购代理机构应当为</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借助互联网等渠道查询相关信息的，应当严格遵守评审工作纪律，不得实施影响评审公正的行为。 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审查的启动原因、审查意见和审查结果应当在评审报告中记录，并随供应商提供的相关书面说明及证明材料，以及</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 xml:space="preserve">有关互联网浏览、查询历史一并归档。 </w:t>
      </w:r>
    </w:p>
    <w:p w14:paraId="0232D2ED">
      <w:pPr>
        <w:shd w:val="clear"/>
        <w:tabs>
          <w:tab w:val="left" w:pos="588"/>
        </w:tabs>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shd w:val="clear"/>
        <w:tabs>
          <w:tab w:val="left" w:pos="588"/>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 xml:space="preserve"> 响应文件出现下列情况之一者，磋商小组在评审过程中按以下原则修正：</w:t>
      </w:r>
    </w:p>
    <w:p w14:paraId="423894FF">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（1）大写金额与小写金额不一致的，以大写金额为准；</w:t>
      </w:r>
    </w:p>
    <w:p w14:paraId="36DCA8C8">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（2）总价金额与按单价汇总金额不一致的，以单价金额计算结果为准；</w:t>
      </w:r>
    </w:p>
    <w:p w14:paraId="5A602E6E">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（3）单价金额小数点有明显错位的，应以总价为准，并修改单价；</w:t>
      </w:r>
    </w:p>
    <w:p w14:paraId="1304B100">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（4）对不同文字文本响应文件的解释发生异议的，以中文文本为准；</w:t>
      </w:r>
    </w:p>
    <w:p w14:paraId="0420166F">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（5）文字与图表不一致的，以文字为准；</w:t>
      </w:r>
    </w:p>
    <w:p w14:paraId="4D55A5D6">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（6）正本与副本不一致的，以正本为准；</w:t>
      </w:r>
    </w:p>
    <w:p w14:paraId="396CB981">
      <w:pPr>
        <w:shd w:val="clear"/>
        <w:tabs>
          <w:tab w:val="left" w:pos="588"/>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（7）响应文件的文字叙述与制造厂商的产品样本/检测报告不符时，以产品样本/检测报告为准。</w:t>
      </w:r>
    </w:p>
    <w:p w14:paraId="53CD4748">
      <w:pPr>
        <w:pStyle w:val="79"/>
        <w:shd w:val="clear"/>
        <w:spacing w:before="24" w:after="24"/>
        <w:rPr>
          <w:rFonts w:hint="eastAsia" w:ascii="仿宋" w:hAnsi="仿宋" w:eastAsia="仿宋" w:cs="仿宋"/>
          <w:color w:val="auto"/>
          <w:sz w:val="28"/>
          <w:szCs w:val="28"/>
          <w:highlight w:val="none"/>
        </w:rPr>
      </w:pPr>
      <w:bookmarkStart w:id="429" w:name="_Toc5083"/>
      <w:bookmarkStart w:id="430" w:name="_Toc27291"/>
      <w:bookmarkStart w:id="431" w:name="_Toc68590978"/>
      <w:bookmarkStart w:id="432" w:name="_Toc11931"/>
      <w:bookmarkStart w:id="433" w:name="_Toc7005042"/>
      <w:r>
        <w:rPr>
          <w:rFonts w:hint="eastAsia" w:ascii="仿宋" w:hAnsi="仿宋" w:eastAsia="仿宋" w:cs="仿宋"/>
          <w:color w:val="auto"/>
          <w:sz w:val="28"/>
          <w:szCs w:val="28"/>
          <w:highlight w:val="none"/>
        </w:rPr>
        <w:t>3. 评审程序</w:t>
      </w:r>
      <w:bookmarkEnd w:id="429"/>
      <w:bookmarkEnd w:id="430"/>
      <w:bookmarkEnd w:id="431"/>
      <w:bookmarkEnd w:id="432"/>
      <w:bookmarkEnd w:id="433"/>
    </w:p>
    <w:p w14:paraId="423461B0">
      <w:pPr>
        <w:pStyle w:val="2"/>
        <w:shd w:val="clear"/>
        <w:rPr>
          <w:rFonts w:hint="eastAsia" w:ascii="仿宋" w:hAnsi="仿宋" w:eastAsia="仿宋" w:cs="仿宋"/>
          <w:b/>
          <w:color w:val="auto"/>
          <w:sz w:val="24"/>
          <w:highlight w:val="none"/>
        </w:rPr>
      </w:pPr>
      <w:bookmarkStart w:id="434" w:name="_Toc7005043"/>
      <w:r>
        <w:rPr>
          <w:rFonts w:hint="eastAsia" w:ascii="仿宋" w:hAnsi="仿宋" w:eastAsia="仿宋" w:cs="仿宋"/>
          <w:b/>
          <w:color w:val="auto"/>
          <w:sz w:val="24"/>
          <w:highlight w:val="none"/>
        </w:rPr>
        <w:t>3.1 资格审查及符合性审查</w:t>
      </w:r>
      <w:bookmarkEnd w:id="434"/>
    </w:p>
    <w:p w14:paraId="7D8F6D44">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 </w:t>
      </w:r>
      <w:r>
        <w:rPr>
          <w:rFonts w:hint="eastAsia" w:ascii="仿宋" w:hAnsi="仿宋" w:eastAsia="仿宋" w:cs="仿宋"/>
          <w:i w:val="0"/>
          <w:iCs/>
          <w:color w:val="auto"/>
          <w:sz w:val="24"/>
          <w:highlight w:val="none"/>
          <w:u w:val="single"/>
        </w:rPr>
        <w:t xml:space="preserve">采购人或采购代理机构 </w:t>
      </w:r>
      <w:r>
        <w:rPr>
          <w:rFonts w:hint="eastAsia" w:ascii="仿宋" w:hAnsi="仿宋" w:eastAsia="仿宋" w:cs="仿宋"/>
          <w:color w:val="auto"/>
          <w:sz w:val="24"/>
          <w:highlight w:val="none"/>
        </w:rPr>
        <w:t>按附表一所列审查标准对供应商资格进行审查，以确定供应商是否具备磋商资格。</w:t>
      </w:r>
    </w:p>
    <w:p w14:paraId="25DDD514">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3.1.2 磋商小组对符合资格要求的响应文件按附表二进行符合性审查，以确定其是否满足磋商文件的实质性要求（见本章内的符合性审查表）。</w:t>
      </w:r>
    </w:p>
    <w:p w14:paraId="485916F4">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磋商小组不接受供应商主动提出的澄清、说明或补正。</w:t>
      </w:r>
    </w:p>
    <w:p w14:paraId="653439F9">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供应商的书面澄清、说明和补正属于响应文件的组成部分。</w:t>
      </w:r>
    </w:p>
    <w:p w14:paraId="29B95068">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磋商小组对供应商提交的澄清、说明或补正有疑问的，可以要求供应商进一步澄清、说明或补正，直至满足评审小组的要求。</w:t>
      </w:r>
    </w:p>
    <w:p w14:paraId="5C5FC479">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3.1.4 不具备磋商文件要求的资格或未通过符合性审查的供应商，不参与磋商，由磋商小组告知该供应商。</w:t>
      </w:r>
    </w:p>
    <w:p w14:paraId="596A3E41">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3.1.5 通过资格审查和符合性审查的合格供应商不足3家的，不再进行评审和磋商。</w:t>
      </w:r>
    </w:p>
    <w:p w14:paraId="3D63B583">
      <w:pPr>
        <w:pStyle w:val="2"/>
        <w:shd w:val="clear"/>
        <w:rPr>
          <w:rFonts w:hint="eastAsia" w:ascii="仿宋" w:hAnsi="仿宋" w:eastAsia="仿宋" w:cs="仿宋"/>
          <w:b/>
          <w:color w:val="auto"/>
          <w:sz w:val="24"/>
          <w:highlight w:val="none"/>
        </w:rPr>
      </w:pPr>
      <w:bookmarkStart w:id="435" w:name="_Toc7005044"/>
      <w:r>
        <w:rPr>
          <w:rFonts w:hint="eastAsia" w:ascii="仿宋" w:hAnsi="仿宋" w:eastAsia="仿宋" w:cs="仿宋"/>
          <w:b/>
          <w:color w:val="auto"/>
          <w:sz w:val="24"/>
          <w:highlight w:val="none"/>
        </w:rPr>
        <w:t>3.2 磋商</w:t>
      </w:r>
      <w:bookmarkEnd w:id="435"/>
    </w:p>
    <w:p w14:paraId="6DA4F61A">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3.2.1按“供应商须知”第五条规定，由磋商小组与供应商进行磋商。</w:t>
      </w:r>
    </w:p>
    <w:p w14:paraId="162564DD">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3.2.3 磋商结束后，磋商小组可以要求所有继续参加磋商的供应商在规定时间内提交最后报价函，提交最后报价函的供应商不得少于3家。</w:t>
      </w:r>
    </w:p>
    <w:p w14:paraId="3DEE8BF0">
      <w:pPr>
        <w:pStyle w:val="2"/>
        <w:shd w:val="clear"/>
        <w:rPr>
          <w:rFonts w:hint="eastAsia" w:ascii="仿宋" w:hAnsi="仿宋" w:eastAsia="仿宋" w:cs="仿宋"/>
          <w:b/>
          <w:color w:val="auto"/>
          <w:sz w:val="24"/>
          <w:highlight w:val="none"/>
        </w:rPr>
      </w:pPr>
      <w:bookmarkStart w:id="436" w:name="_Toc7005045"/>
      <w:r>
        <w:rPr>
          <w:rFonts w:hint="eastAsia" w:ascii="仿宋" w:hAnsi="仿宋" w:eastAsia="仿宋" w:cs="仿宋"/>
          <w:b/>
          <w:color w:val="auto"/>
          <w:sz w:val="24"/>
          <w:highlight w:val="none"/>
        </w:rPr>
        <w:t>3.3 评审</w:t>
      </w:r>
      <w:bookmarkEnd w:id="436"/>
    </w:p>
    <w:p w14:paraId="196E59E0">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3.3.1 比较与评价</w:t>
      </w:r>
    </w:p>
    <w:p w14:paraId="319E6B82">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磋商小组按本章第2.3对供应商提交的响应文件（包括最后报价函）进行商务和技术评估，综合比较与评价。</w:t>
      </w:r>
    </w:p>
    <w:p w14:paraId="03B48DAD">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3.3.2 磋商小组按本章第2.3款规定的量化因素和分值进行打分，并计算出综合评估得分。</w:t>
      </w:r>
    </w:p>
    <w:p w14:paraId="3EA197BC">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3.3.3评分分值计算保留小数点后两位，小数点后第三位“四舍五入”。</w:t>
      </w:r>
    </w:p>
    <w:p w14:paraId="2988C352">
      <w:pPr>
        <w:pStyle w:val="2"/>
        <w:shd w:val="clea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3.4 评审结果</w:t>
      </w:r>
    </w:p>
    <w:p w14:paraId="144AB23B">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3.4.1 除第二章“供应商须知”前附表授权直接确定成交供应商外，磋商小组按照得分由高到低的顺序推荐3名成交候选人。</w:t>
      </w:r>
    </w:p>
    <w:p w14:paraId="39BBDE86">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3.4.2 磋商小组完成评审后，应当向采购人提交书面评审报告。</w:t>
      </w:r>
    </w:p>
    <w:p w14:paraId="37BB663B">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p>
    <w:p w14:paraId="1F3AFD81">
      <w:pPr>
        <w:shd w:val="clear"/>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附表一 资格审查表</w:t>
      </w:r>
    </w:p>
    <w:tbl>
      <w:tblPr>
        <w:tblStyle w:val="298"/>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7"/>
              <w:keepNext w:val="0"/>
              <w:keepLines w:val="0"/>
              <w:pageBreakBefore w:val="0"/>
              <w:widowControl w:val="0"/>
              <w:shd w:val="clear"/>
              <w:kinsoku/>
              <w:wordWrap/>
              <w:overflowPunct/>
              <w:topLinePunct w:val="0"/>
              <w:autoSpaceDE/>
              <w:autoSpaceDN/>
              <w:bidi w:val="0"/>
              <w:adjustRightInd/>
              <w:snapToGrid/>
              <w:spacing w:line="240" w:lineRule="auto"/>
              <w:ind w:left="117" w:right="111" w:firstLine="17"/>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17"/>
                <w:sz w:val="21"/>
                <w:szCs w:val="21"/>
                <w:highlight w:val="none"/>
                <w:lang w:val="en-US" w:eastAsia="zh-CN"/>
              </w:rPr>
              <w:t>序号</w:t>
            </w:r>
          </w:p>
        </w:tc>
        <w:tc>
          <w:tcPr>
            <w:tcW w:w="2228" w:type="dxa"/>
            <w:vAlign w:val="center"/>
          </w:tcPr>
          <w:p w14:paraId="254633F5">
            <w:pPr>
              <w:pStyle w:val="297"/>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pacing w:val="-5"/>
                <w:sz w:val="21"/>
                <w:szCs w:val="21"/>
                <w:highlight w:val="none"/>
                <w:lang w:val="en-US" w:eastAsia="zh-CN"/>
              </w:rPr>
              <w:t>审查要素</w:t>
            </w:r>
          </w:p>
        </w:tc>
        <w:tc>
          <w:tcPr>
            <w:tcW w:w="4966" w:type="dxa"/>
            <w:vAlign w:val="center"/>
          </w:tcPr>
          <w:p w14:paraId="131A7381">
            <w:pPr>
              <w:pStyle w:val="297"/>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pacing w:val="-4"/>
                <w:sz w:val="21"/>
                <w:szCs w:val="21"/>
                <w:highlight w:val="none"/>
                <w:lang w:val="en-US" w:eastAsia="zh-CN"/>
              </w:rPr>
              <w:t>审查</w:t>
            </w:r>
            <w:r>
              <w:rPr>
                <w:rFonts w:hint="eastAsia" w:ascii="仿宋" w:hAnsi="仿宋" w:eastAsia="仿宋" w:cs="仿宋"/>
                <w:b/>
                <w:bCs/>
                <w:color w:val="auto"/>
                <w:spacing w:val="-4"/>
                <w:sz w:val="21"/>
                <w:szCs w:val="21"/>
                <w:highlight w:val="none"/>
              </w:rPr>
              <w:t>标准</w:t>
            </w:r>
          </w:p>
        </w:tc>
        <w:tc>
          <w:tcPr>
            <w:tcW w:w="1122" w:type="dxa"/>
            <w:vAlign w:val="center"/>
          </w:tcPr>
          <w:p w14:paraId="3394984B">
            <w:pPr>
              <w:pStyle w:val="297"/>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pacing w:val="-4"/>
                <w:sz w:val="21"/>
                <w:szCs w:val="21"/>
                <w:highlight w:val="none"/>
                <w:lang w:val="en-US" w:eastAsia="zh-CN"/>
              </w:rPr>
            </w:pPr>
            <w:r>
              <w:rPr>
                <w:rFonts w:hint="eastAsia" w:ascii="仿宋" w:hAnsi="仿宋" w:eastAsia="仿宋" w:cs="仿宋"/>
                <w:b/>
                <w:bCs/>
                <w:color w:val="auto"/>
                <w:spacing w:val="-4"/>
                <w:sz w:val="21"/>
                <w:szCs w:val="21"/>
                <w:highlight w:val="none"/>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lang w:val="en-US" w:eastAsia="zh-CN"/>
              </w:rPr>
            </w:pPr>
          </w:p>
        </w:tc>
        <w:tc>
          <w:tcPr>
            <w:tcW w:w="2228" w:type="dxa"/>
            <w:vAlign w:val="center"/>
          </w:tcPr>
          <w:p w14:paraId="54C25064">
            <w:pPr>
              <w:pStyle w:val="297"/>
              <w:keepNext w:val="0"/>
              <w:keepLines w:val="0"/>
              <w:pageBreakBefore w:val="0"/>
              <w:widowControl w:val="0"/>
              <w:shd w:val="clear"/>
              <w:kinsoku/>
              <w:wordWrap/>
              <w:overflowPunct/>
              <w:topLinePunct w:val="0"/>
              <w:autoSpaceDE/>
              <w:autoSpaceDN/>
              <w:bidi w:val="0"/>
              <w:adjustRightInd/>
              <w:snapToGrid/>
              <w:spacing w:line="240" w:lineRule="auto"/>
              <w:ind w:right="279"/>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法人或者其他组织、自然人的营业执照等证明</w:t>
            </w:r>
            <w:r>
              <w:rPr>
                <w:rFonts w:hint="eastAsia" w:ascii="仿宋" w:hAnsi="仿宋" w:eastAsia="仿宋" w:cs="仿宋"/>
                <w:color w:val="auto"/>
                <w:spacing w:val="-3"/>
                <w:sz w:val="21"/>
                <w:szCs w:val="21"/>
                <w:highlight w:val="none"/>
              </w:rPr>
              <w:t>文件</w:t>
            </w:r>
          </w:p>
        </w:tc>
        <w:tc>
          <w:tcPr>
            <w:tcW w:w="4966" w:type="dxa"/>
            <w:vAlign w:val="top"/>
          </w:tcPr>
          <w:p w14:paraId="6395A277">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1</w:t>
            </w:r>
            <w:r>
              <w:rPr>
                <w:rFonts w:hint="eastAsia" w:ascii="仿宋" w:hAnsi="仿宋" w:eastAsia="仿宋" w:cs="仿宋"/>
                <w:color w:val="auto"/>
                <w:spacing w:val="0"/>
                <w:sz w:val="21"/>
                <w:szCs w:val="21"/>
                <w:highlight w:val="none"/>
                <w:lang w:eastAsia="zh-CN"/>
              </w:rPr>
              <w:t>）供应商是企业（包括合伙企业）的，应提供其在市场监督管理部门注册的有效“营业执照”的复印件；</w:t>
            </w:r>
          </w:p>
          <w:p w14:paraId="0F443128">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（2）供应商</w:t>
            </w:r>
            <w:r>
              <w:rPr>
                <w:rFonts w:hint="eastAsia" w:ascii="仿宋" w:hAnsi="仿宋" w:eastAsia="仿宋" w:cs="仿宋"/>
                <w:color w:val="auto"/>
                <w:spacing w:val="0"/>
                <w:sz w:val="21"/>
                <w:szCs w:val="21"/>
                <w:highlight w:val="none"/>
                <w:lang w:eastAsia="zh-CN"/>
              </w:rPr>
              <w:t>是事业单位的，应提供其有效的“事业单位法人证书”复印件；</w:t>
            </w:r>
          </w:p>
          <w:p w14:paraId="4A763F14">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3</w:t>
            </w:r>
            <w:r>
              <w:rPr>
                <w:rFonts w:hint="eastAsia" w:ascii="仿宋" w:hAnsi="仿宋" w:eastAsia="仿宋" w:cs="仿宋"/>
                <w:color w:val="auto"/>
                <w:spacing w:val="0"/>
                <w:sz w:val="21"/>
                <w:szCs w:val="21"/>
                <w:highlight w:val="none"/>
                <w:lang w:eastAsia="zh-CN"/>
              </w:rPr>
              <w:t>）供应商是非企业专业服务机构的，应提供其有效的“执业许可证”复印件；</w:t>
            </w:r>
          </w:p>
          <w:p w14:paraId="57A0526C">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4</w:t>
            </w:r>
            <w:r>
              <w:rPr>
                <w:rFonts w:hint="eastAsia" w:ascii="仿宋" w:hAnsi="仿宋" w:eastAsia="仿宋" w:cs="仿宋"/>
                <w:color w:val="auto"/>
                <w:spacing w:val="0"/>
                <w:sz w:val="21"/>
                <w:szCs w:val="21"/>
                <w:highlight w:val="none"/>
                <w:lang w:eastAsia="zh-CN"/>
              </w:rPr>
              <w:t>）供应商是民办非企业单位的，应提供其有效的登记证书复印件；</w:t>
            </w:r>
          </w:p>
          <w:p w14:paraId="7D152FF7">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5</w:t>
            </w:r>
            <w:r>
              <w:rPr>
                <w:rFonts w:hint="eastAsia" w:ascii="仿宋" w:hAnsi="仿宋" w:eastAsia="仿宋" w:cs="仿宋"/>
                <w:color w:val="auto"/>
                <w:spacing w:val="0"/>
                <w:sz w:val="21"/>
                <w:szCs w:val="21"/>
                <w:highlight w:val="none"/>
                <w:lang w:eastAsia="zh-CN"/>
              </w:rPr>
              <w:t>）供应商是个体工商户的，应提供其有效的“营 业执照”复印件；</w:t>
            </w:r>
          </w:p>
          <w:p w14:paraId="7BDE3B8B">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6</w:t>
            </w:r>
            <w:r>
              <w:rPr>
                <w:rFonts w:hint="eastAsia" w:ascii="仿宋" w:hAnsi="仿宋" w:eastAsia="仿宋" w:cs="仿宋"/>
                <w:color w:val="auto"/>
                <w:spacing w:val="0"/>
                <w:sz w:val="21"/>
                <w:szCs w:val="21"/>
                <w:highlight w:val="none"/>
                <w:lang w:eastAsia="zh-CN"/>
              </w:rPr>
              <w:t>）供应商是自然人的，应提供其有效的自然人身份证明复印件。</w:t>
            </w:r>
          </w:p>
        </w:tc>
        <w:tc>
          <w:tcPr>
            <w:tcW w:w="1122" w:type="dxa"/>
            <w:vAlign w:val="top"/>
          </w:tcPr>
          <w:p w14:paraId="3F7678A2">
            <w:pPr>
              <w:pStyle w:val="297"/>
              <w:keepNext w:val="0"/>
              <w:keepLines w:val="0"/>
              <w:pageBreakBefore w:val="0"/>
              <w:widowControl w:val="0"/>
              <w:shd w:val="clear"/>
              <w:kinsoku/>
              <w:wordWrap/>
              <w:overflowPunct/>
              <w:topLinePunct w:val="0"/>
              <w:autoSpaceDE/>
              <w:autoSpaceDN/>
              <w:bidi w:val="0"/>
              <w:adjustRightInd/>
              <w:snapToGrid/>
              <w:spacing w:line="240" w:lineRule="auto"/>
              <w:ind w:left="531" w:right="239" w:hanging="409"/>
              <w:textAlignment w:val="auto"/>
              <w:rPr>
                <w:rFonts w:hint="eastAsia" w:ascii="仿宋" w:hAnsi="仿宋" w:eastAsia="仿宋" w:cs="仿宋"/>
                <w:color w:val="auto"/>
                <w:spacing w:val="0"/>
                <w:position w:val="-5"/>
                <w:sz w:val="21"/>
                <w:szCs w:val="21"/>
                <w:highlight w:val="none"/>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lang w:val="en-US" w:eastAsia="zh-CN"/>
              </w:rPr>
            </w:pPr>
          </w:p>
        </w:tc>
        <w:tc>
          <w:tcPr>
            <w:tcW w:w="2228" w:type="dxa"/>
            <w:vMerge w:val="restart"/>
            <w:vAlign w:val="center"/>
          </w:tcPr>
          <w:p w14:paraId="3F032184">
            <w:pPr>
              <w:pStyle w:val="297"/>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财务状况报告：提供（1）或提供（2）</w:t>
            </w:r>
          </w:p>
        </w:tc>
        <w:tc>
          <w:tcPr>
            <w:tcW w:w="4966" w:type="dxa"/>
            <w:vAlign w:val="top"/>
          </w:tcPr>
          <w:p w14:paraId="05DE286B">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（1）提供</w:t>
            </w:r>
            <w:r>
              <w:rPr>
                <w:rFonts w:hint="eastAsia" w:ascii="仿宋" w:hAnsi="仿宋" w:eastAsia="仿宋" w:cs="仿宋"/>
                <w:color w:val="auto"/>
                <w:spacing w:val="0"/>
                <w:sz w:val="21"/>
                <w:szCs w:val="21"/>
                <w:highlight w:val="none"/>
                <w:lang w:eastAsia="zh-CN"/>
              </w:rPr>
              <w:t>202</w:t>
            </w:r>
            <w:r>
              <w:rPr>
                <w:rFonts w:hint="eastAsia" w:ascii="仿宋" w:hAnsi="仿宋" w:eastAsia="仿宋" w:cs="仿宋"/>
                <w:color w:val="auto"/>
                <w:spacing w:val="0"/>
                <w:sz w:val="21"/>
                <w:szCs w:val="21"/>
                <w:highlight w:val="none"/>
                <w:lang w:val="en-US" w:eastAsia="zh-CN"/>
              </w:rPr>
              <w:t>5</w:t>
            </w:r>
            <w:r>
              <w:rPr>
                <w:rFonts w:hint="eastAsia" w:ascii="仿宋" w:hAnsi="仿宋" w:eastAsia="仿宋" w:cs="仿宋"/>
                <w:color w:val="auto"/>
                <w:spacing w:val="0"/>
                <w:sz w:val="21"/>
                <w:szCs w:val="21"/>
                <w:highlight w:val="none"/>
                <w:lang w:eastAsia="zh-CN"/>
              </w:rPr>
              <w:t>年度</w:t>
            </w:r>
            <w:r>
              <w:rPr>
                <w:rFonts w:hint="eastAsia" w:ascii="仿宋" w:hAnsi="仿宋" w:eastAsia="仿宋" w:cs="仿宋"/>
                <w:color w:val="auto"/>
                <w:spacing w:val="0"/>
                <w:sz w:val="21"/>
                <w:szCs w:val="21"/>
                <w:highlight w:val="none"/>
              </w:rPr>
              <w:t>经审计的财务报告，应满足以下要求：</w:t>
            </w:r>
          </w:p>
          <w:p w14:paraId="523F4BF1">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①</w:t>
            </w:r>
            <w:r>
              <w:rPr>
                <w:rFonts w:hint="eastAsia" w:ascii="仿宋" w:hAnsi="仿宋" w:eastAsia="仿宋" w:cs="仿宋"/>
                <w:color w:val="auto"/>
                <w:spacing w:val="0"/>
                <w:sz w:val="21"/>
                <w:szCs w:val="21"/>
                <w:highlight w:val="none"/>
                <w:lang w:val="en-US" w:eastAsia="zh-CN"/>
              </w:rPr>
              <w:t>供应商</w:t>
            </w:r>
            <w:r>
              <w:rPr>
                <w:rFonts w:hint="eastAsia" w:ascii="仿宋" w:hAnsi="仿宋" w:eastAsia="仿宋" w:cs="仿宋"/>
                <w:color w:val="auto"/>
                <w:spacing w:val="0"/>
                <w:sz w:val="21"/>
                <w:szCs w:val="21"/>
                <w:highlight w:val="none"/>
              </w:rPr>
              <w:t>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w:t>
            </w:r>
          </w:p>
          <w:p w14:paraId="5C701A2C">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②</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适用《事业单位会计准则》的，财务报</w:t>
            </w:r>
            <w:r>
              <w:rPr>
                <w:rFonts w:hint="eastAsia" w:ascii="仿宋" w:hAnsi="仿宋" w:eastAsia="仿宋" w:cs="仿宋"/>
                <w:color w:val="auto"/>
                <w:spacing w:val="0"/>
                <w:sz w:val="21"/>
                <w:szCs w:val="21"/>
                <w:highlight w:val="none"/>
                <w:lang w:val="en-US" w:eastAsia="zh-CN"/>
              </w:rPr>
              <w:t>告</w:t>
            </w:r>
            <w:r>
              <w:rPr>
                <w:rFonts w:hint="eastAsia" w:ascii="仿宋" w:hAnsi="仿宋" w:eastAsia="仿宋" w:cs="仿宋"/>
                <w:color w:val="auto"/>
                <w:spacing w:val="0"/>
                <w:sz w:val="21"/>
                <w:szCs w:val="21"/>
                <w:highlight w:val="none"/>
              </w:rPr>
              <w:t>是指上述指定年度整个会计年度财务报表（不要求必须是经审计的），复印件至少须包括资产负债表、收入支出表（或收入费用表）、财政补助收入支出表。</w:t>
            </w:r>
          </w:p>
          <w:p w14:paraId="5959538C">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③</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适用《政府会计准则》的，财务报</w:t>
            </w:r>
            <w:r>
              <w:rPr>
                <w:rFonts w:hint="eastAsia" w:ascii="仿宋" w:hAnsi="仿宋" w:eastAsia="仿宋" w:cs="仿宋"/>
                <w:color w:val="auto"/>
                <w:spacing w:val="0"/>
                <w:sz w:val="21"/>
                <w:szCs w:val="21"/>
                <w:highlight w:val="none"/>
                <w:lang w:val="en-US" w:eastAsia="zh-CN"/>
              </w:rPr>
              <w:t>告</w:t>
            </w:r>
            <w:r>
              <w:rPr>
                <w:rFonts w:hint="eastAsia" w:ascii="仿宋" w:hAnsi="仿宋" w:eastAsia="仿宋" w:cs="仿宋"/>
                <w:color w:val="auto"/>
                <w:spacing w:val="0"/>
                <w:sz w:val="21"/>
                <w:szCs w:val="21"/>
                <w:highlight w:val="none"/>
              </w:rPr>
              <w:t>是指上述指定年度整个会计年度财务报表（不要求必须是经审计的），复印件至少须包括资产负债表、收入费用表。</w:t>
            </w:r>
          </w:p>
          <w:p w14:paraId="2112459B">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eastAsia="zh-CN"/>
              </w:rPr>
              <w:t>④</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适用《民间非营利组织会计制度》的，</w:t>
            </w:r>
            <w:r>
              <w:rPr>
                <w:rFonts w:hint="eastAsia" w:ascii="仿宋" w:hAnsi="仿宋" w:eastAsia="仿宋" w:cs="仿宋"/>
                <w:color w:val="auto"/>
                <w:spacing w:val="0"/>
                <w:sz w:val="21"/>
                <w:szCs w:val="21"/>
                <w:highlight w:val="none"/>
                <w:lang w:val="en-US" w:eastAsia="zh-CN"/>
              </w:rPr>
              <w:t>财</w:t>
            </w:r>
            <w:r>
              <w:rPr>
                <w:rFonts w:hint="eastAsia" w:ascii="仿宋" w:hAnsi="仿宋" w:eastAsia="仿宋" w:cs="仿宋"/>
                <w:color w:val="auto"/>
                <w:spacing w:val="0"/>
                <w:sz w:val="21"/>
                <w:szCs w:val="21"/>
                <w:highlight w:val="none"/>
              </w:rPr>
              <w:t>务报</w:t>
            </w:r>
            <w:r>
              <w:rPr>
                <w:rFonts w:hint="eastAsia" w:ascii="仿宋" w:hAnsi="仿宋" w:eastAsia="仿宋" w:cs="仿宋"/>
                <w:color w:val="auto"/>
                <w:spacing w:val="0"/>
                <w:sz w:val="21"/>
                <w:szCs w:val="21"/>
                <w:highlight w:val="none"/>
                <w:lang w:val="en-US" w:eastAsia="zh-CN"/>
              </w:rPr>
              <w:t>告</w:t>
            </w:r>
            <w:r>
              <w:rPr>
                <w:rFonts w:hint="eastAsia" w:ascii="仿宋" w:hAnsi="仿宋" w:eastAsia="仿宋" w:cs="仿宋"/>
                <w:color w:val="auto"/>
                <w:spacing w:val="0"/>
                <w:sz w:val="21"/>
                <w:szCs w:val="21"/>
                <w:highlight w:val="none"/>
              </w:rPr>
              <w:t>是指上述指定年度整个会计年度财务报表（不要求必须是经审计的），复印件至少须包括资产负债表、业务活动表、现金流量表。</w:t>
            </w:r>
          </w:p>
          <w:p w14:paraId="3A60F8CF">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0"/>
                <w:sz w:val="21"/>
                <w:szCs w:val="21"/>
                <w:highlight w:val="none"/>
              </w:rPr>
              <w:t>⑤</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是上述四种情况以外情况的，按照其依法适用的会计制度、财务规则或会计准则提供 财务报表复印件（不要求必须是经审计的）。</w:t>
            </w:r>
          </w:p>
        </w:tc>
        <w:tc>
          <w:tcPr>
            <w:tcW w:w="1122" w:type="dxa"/>
            <w:vAlign w:val="top"/>
          </w:tcPr>
          <w:p w14:paraId="0B51FBD4">
            <w:pPr>
              <w:pStyle w:val="297"/>
              <w:keepNext w:val="0"/>
              <w:keepLines w:val="0"/>
              <w:pageBreakBefore w:val="0"/>
              <w:widowControl w:val="0"/>
              <w:shd w:val="clear"/>
              <w:kinsoku/>
              <w:wordWrap/>
              <w:overflowPunct/>
              <w:topLinePunct w:val="0"/>
              <w:autoSpaceDE/>
              <w:autoSpaceDN/>
              <w:bidi w:val="0"/>
              <w:adjustRightInd/>
              <w:snapToGrid/>
              <w:spacing w:line="240" w:lineRule="auto"/>
              <w:ind w:left="533" w:right="238" w:hanging="408"/>
              <w:jc w:val="both"/>
              <w:textAlignment w:val="auto"/>
              <w:rPr>
                <w:rFonts w:hint="eastAsia" w:ascii="仿宋" w:hAnsi="仿宋" w:eastAsia="仿宋" w:cs="仿宋"/>
                <w:color w:val="auto"/>
                <w:spacing w:val="0"/>
                <w:position w:val="-5"/>
                <w:sz w:val="21"/>
                <w:szCs w:val="21"/>
                <w:highlight w:val="none"/>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708" w:type="dxa"/>
            <w:vMerge w:val="continue"/>
            <w:vAlign w:val="top"/>
          </w:tcPr>
          <w:p w14:paraId="33D42F2D">
            <w:pPr>
              <w:keepNext w:val="0"/>
              <w:keepLines w:val="0"/>
              <w:pageBreakBefore w:val="0"/>
              <w:widowControl w:val="0"/>
              <w:shd w:val="clea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rPr>
            </w:pPr>
          </w:p>
        </w:tc>
        <w:tc>
          <w:tcPr>
            <w:tcW w:w="2228" w:type="dxa"/>
            <w:vMerge w:val="continue"/>
            <w:vAlign w:val="top"/>
          </w:tcPr>
          <w:p w14:paraId="5588181B">
            <w:pPr>
              <w:keepNext w:val="0"/>
              <w:keepLines w:val="0"/>
              <w:pageBreakBefore w:val="0"/>
              <w:widowControl w:val="0"/>
              <w:shd w:val="clea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rPr>
            </w:pPr>
          </w:p>
        </w:tc>
        <w:tc>
          <w:tcPr>
            <w:tcW w:w="4966" w:type="dxa"/>
            <w:vAlign w:val="top"/>
          </w:tcPr>
          <w:p w14:paraId="7E9156FF">
            <w:pPr>
              <w:pStyle w:val="297"/>
              <w:keepNext w:val="0"/>
              <w:keepLines w:val="0"/>
              <w:pageBreakBefore w:val="0"/>
              <w:widowControl w:val="0"/>
              <w:shd w:val="clear"/>
              <w:kinsoku/>
              <w:wordWrap/>
              <w:overflowPunct/>
              <w:topLinePunct w:val="0"/>
              <w:autoSpaceDE/>
              <w:autoSpaceDN/>
              <w:bidi w:val="0"/>
              <w:adjustRightInd/>
              <w:snapToGrid/>
              <w:spacing w:line="240" w:lineRule="auto"/>
              <w:ind w:left="113" w:right="311" w:firstLine="4"/>
              <w:textAlignment w:val="auto"/>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t>（2）提供资信证明原件或复印件</w:t>
            </w:r>
            <w:r>
              <w:rPr>
                <w:rFonts w:hint="eastAsia" w:ascii="仿宋" w:hAnsi="仿宋" w:eastAsia="仿宋" w:cs="仿宋"/>
                <w:color w:val="auto"/>
                <w:spacing w:val="-2"/>
                <w:sz w:val="21"/>
                <w:szCs w:val="21"/>
                <w:highlight w:val="none"/>
                <w:lang w:eastAsia="zh-CN"/>
              </w:rPr>
              <w:t>（</w:t>
            </w:r>
            <w:r>
              <w:rPr>
                <w:rFonts w:hint="eastAsia" w:ascii="方正仿宋_GB2312" w:hAnsi="方正仿宋_GB2312" w:eastAsia="方正仿宋_GB2312" w:cs="方正仿宋_GB2312"/>
                <w:b/>
                <w:bCs/>
                <w:spacing w:val="-2"/>
                <w:sz w:val="21"/>
                <w:szCs w:val="21"/>
              </w:rPr>
              <w:t>后附开户许可证或基本户</w:t>
            </w:r>
            <w:r>
              <w:rPr>
                <w:rFonts w:hint="eastAsia" w:ascii="方正仿宋_GB2312" w:hAnsi="方正仿宋_GB2312" w:eastAsia="方正仿宋_GB2312" w:cs="方正仿宋_GB2312"/>
                <w:b/>
                <w:bCs/>
                <w:spacing w:val="-2"/>
                <w:sz w:val="21"/>
                <w:szCs w:val="21"/>
                <w:lang w:val="en-US" w:eastAsia="zh-CN"/>
              </w:rPr>
              <w:t>信息</w:t>
            </w:r>
            <w:r>
              <w:rPr>
                <w:rFonts w:hint="eastAsia" w:ascii="仿宋" w:hAnsi="仿宋" w:eastAsia="仿宋" w:cs="仿宋"/>
                <w:color w:val="auto"/>
                <w:spacing w:val="-2"/>
                <w:sz w:val="21"/>
                <w:szCs w:val="21"/>
                <w:highlight w:val="none"/>
                <w:lang w:eastAsia="zh-CN"/>
              </w:rPr>
              <w:t>）</w:t>
            </w:r>
            <w:r>
              <w:rPr>
                <w:rFonts w:hint="eastAsia" w:ascii="仿宋" w:hAnsi="仿宋" w:eastAsia="仿宋" w:cs="仿宋"/>
                <w:color w:val="auto"/>
                <w:spacing w:val="-2"/>
                <w:sz w:val="21"/>
                <w:szCs w:val="21"/>
                <w:highlight w:val="none"/>
              </w:rPr>
              <w:t>，应满足以下要</w:t>
            </w:r>
            <w:r>
              <w:rPr>
                <w:rFonts w:hint="eastAsia" w:ascii="仿宋" w:hAnsi="仿宋" w:eastAsia="仿宋" w:cs="仿宋"/>
                <w:color w:val="auto"/>
                <w:spacing w:val="-17"/>
                <w:sz w:val="21"/>
                <w:szCs w:val="21"/>
                <w:highlight w:val="none"/>
              </w:rPr>
              <w:t>求：</w:t>
            </w:r>
          </w:p>
          <w:p w14:paraId="47959D52">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①</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rPr>
              <w:t>资信证明须为</w:t>
            </w:r>
            <w:r>
              <w:rPr>
                <w:rFonts w:hint="eastAsia" w:ascii="仿宋" w:hAnsi="仿宋" w:eastAsia="仿宋" w:cs="仿宋"/>
                <w:color w:val="auto"/>
                <w:spacing w:val="0"/>
                <w:sz w:val="21"/>
                <w:szCs w:val="21"/>
                <w:highlight w:val="none"/>
                <w:lang w:val="en-US" w:eastAsia="zh-CN"/>
              </w:rPr>
              <w:t>递交响应文件</w:t>
            </w:r>
            <w:r>
              <w:rPr>
                <w:rFonts w:hint="eastAsia" w:ascii="仿宋" w:hAnsi="仿宋" w:eastAsia="仿宋" w:cs="仿宋"/>
                <w:color w:val="auto"/>
                <w:spacing w:val="0"/>
                <w:sz w:val="21"/>
                <w:szCs w:val="21"/>
                <w:highlight w:val="none"/>
                <w:lang w:eastAsia="zh-CN"/>
              </w:rPr>
              <w:t>截止</w:t>
            </w:r>
            <w:r>
              <w:rPr>
                <w:rFonts w:hint="eastAsia" w:ascii="仿宋" w:hAnsi="仿宋" w:eastAsia="仿宋" w:cs="仿宋"/>
                <w:color w:val="auto"/>
                <w:spacing w:val="0"/>
                <w:sz w:val="21"/>
                <w:szCs w:val="21"/>
                <w:highlight w:val="none"/>
                <w:lang w:val="en-US" w:eastAsia="zh-CN"/>
              </w:rPr>
              <w:t>时间</w:t>
            </w:r>
            <w:r>
              <w:rPr>
                <w:rFonts w:hint="eastAsia" w:ascii="仿宋" w:hAnsi="仿宋" w:eastAsia="仿宋" w:cs="仿宋"/>
                <w:color w:val="auto"/>
                <w:spacing w:val="0"/>
                <w:sz w:val="21"/>
                <w:szCs w:val="21"/>
                <w:highlight w:val="none"/>
              </w:rPr>
              <w:t>前三个月内由</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lang w:val="en-US" w:eastAsia="zh-CN"/>
              </w:rPr>
              <w:t>基本账户</w:t>
            </w:r>
            <w:r>
              <w:rPr>
                <w:rFonts w:hint="eastAsia" w:ascii="仿宋" w:hAnsi="仿宋" w:eastAsia="仿宋" w:cs="仿宋"/>
                <w:color w:val="auto"/>
                <w:spacing w:val="0"/>
                <w:sz w:val="21"/>
                <w:szCs w:val="21"/>
                <w:highlight w:val="none"/>
              </w:rPr>
              <w:t>开户银行出具。</w:t>
            </w:r>
          </w:p>
          <w:p w14:paraId="379B3283">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②</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rPr>
              <w:t>无论开具银行是否标明“复印无效”，</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提供的复印件在本次投标中予以认可（即不因“复印无效”字样而认定资信证明复印件无效）。</w:t>
            </w:r>
          </w:p>
          <w:p w14:paraId="59B76027">
            <w:pPr>
              <w:pStyle w:val="297"/>
              <w:keepNext w:val="0"/>
              <w:keepLines w:val="0"/>
              <w:pageBreakBefore w:val="0"/>
              <w:widowControl w:val="0"/>
              <w:shd w:val="clear"/>
              <w:kinsoku/>
              <w:wordWrap/>
              <w:overflowPunct/>
              <w:topLinePunct w:val="0"/>
              <w:autoSpaceDE/>
              <w:autoSpaceDN/>
              <w:bidi w:val="0"/>
              <w:adjustRightInd/>
              <w:snapToGrid/>
              <w:spacing w:line="240" w:lineRule="auto"/>
              <w:ind w:left="131" w:leftChars="0" w:right="239" w:hanging="9" w:firstLineChars="0"/>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③</w:t>
            </w:r>
            <w:r>
              <w:rPr>
                <w:rFonts w:hint="eastAsia" w:ascii="仿宋" w:hAnsi="仿宋" w:eastAsia="仿宋" w:cs="仿宋"/>
                <w:color w:val="auto"/>
                <w:spacing w:val="0"/>
                <w:sz w:val="21"/>
                <w:szCs w:val="21"/>
                <w:highlight w:val="none"/>
                <w:lang w:val="en-US" w:eastAsia="zh-CN"/>
              </w:rPr>
              <w:t xml:space="preserve"> </w:t>
            </w:r>
            <w:r>
              <w:rPr>
                <w:rFonts w:hint="eastAsia" w:ascii="仿宋" w:hAnsi="仿宋" w:eastAsia="仿宋" w:cs="仿宋"/>
                <w:color w:val="auto"/>
                <w:spacing w:val="0"/>
                <w:sz w:val="21"/>
                <w:szCs w:val="21"/>
                <w:highlight w:val="none"/>
              </w:rPr>
              <w:t>银行出具的存款证明不能替代银行资信证明。</w:t>
            </w:r>
          </w:p>
        </w:tc>
        <w:tc>
          <w:tcPr>
            <w:tcW w:w="1122" w:type="dxa"/>
            <w:vAlign w:val="top"/>
          </w:tcPr>
          <w:p w14:paraId="5B4158E1">
            <w:pPr>
              <w:pStyle w:val="297"/>
              <w:keepNext w:val="0"/>
              <w:keepLines w:val="0"/>
              <w:pageBreakBefore w:val="0"/>
              <w:widowControl w:val="0"/>
              <w:shd w:val="clear"/>
              <w:kinsoku/>
              <w:wordWrap/>
              <w:overflowPunct/>
              <w:topLinePunct w:val="0"/>
              <w:autoSpaceDE/>
              <w:autoSpaceDN/>
              <w:bidi w:val="0"/>
              <w:adjustRightInd/>
              <w:snapToGrid/>
              <w:spacing w:line="240" w:lineRule="auto"/>
              <w:ind w:left="113" w:right="311" w:firstLine="4"/>
              <w:textAlignment w:val="auto"/>
              <w:rPr>
                <w:rFonts w:hint="eastAsia" w:ascii="仿宋" w:hAnsi="仿宋" w:eastAsia="仿宋" w:cs="仿宋"/>
                <w:color w:val="auto"/>
                <w:spacing w:val="-2"/>
                <w:sz w:val="21"/>
                <w:szCs w:val="21"/>
                <w:highlight w:val="none"/>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08" w:type="dxa"/>
            <w:vAlign w:val="center"/>
          </w:tcPr>
          <w:p w14:paraId="06D1A212">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rPr>
            </w:pPr>
          </w:p>
        </w:tc>
        <w:tc>
          <w:tcPr>
            <w:tcW w:w="2228" w:type="dxa"/>
            <w:vAlign w:val="center"/>
          </w:tcPr>
          <w:p w14:paraId="45DA1A49">
            <w:pPr>
              <w:pStyle w:val="297"/>
              <w:keepNext w:val="0"/>
              <w:keepLines w:val="0"/>
              <w:pageBreakBefore w:val="0"/>
              <w:widowControl w:val="0"/>
              <w:shd w:val="clear"/>
              <w:kinsoku/>
              <w:wordWrap/>
              <w:overflowPunct/>
              <w:topLinePunct w:val="0"/>
              <w:autoSpaceDE/>
              <w:autoSpaceDN/>
              <w:bidi w:val="0"/>
              <w:adjustRightInd/>
              <w:snapToGrid/>
              <w:spacing w:line="240" w:lineRule="auto"/>
              <w:ind w:right="279"/>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依法缴纳税收的相关材</w:t>
            </w:r>
            <w:r>
              <w:rPr>
                <w:rFonts w:hint="eastAsia" w:ascii="仿宋" w:hAnsi="仿宋" w:eastAsia="仿宋" w:cs="仿宋"/>
                <w:color w:val="auto"/>
                <w:sz w:val="21"/>
                <w:szCs w:val="21"/>
                <w:highlight w:val="none"/>
              </w:rPr>
              <w:t>料</w:t>
            </w:r>
          </w:p>
        </w:tc>
        <w:tc>
          <w:tcPr>
            <w:tcW w:w="4966" w:type="dxa"/>
            <w:vAlign w:val="top"/>
          </w:tcPr>
          <w:p w14:paraId="31A482C2">
            <w:pPr>
              <w:pStyle w:val="297"/>
              <w:keepNext w:val="0"/>
              <w:keepLines w:val="0"/>
              <w:pageBreakBefore w:val="0"/>
              <w:widowControl w:val="0"/>
              <w:shd w:val="clear"/>
              <w:kinsoku/>
              <w:wordWrap/>
              <w:overflowPunct/>
              <w:topLinePunct w:val="0"/>
              <w:autoSpaceDE/>
              <w:autoSpaceDN/>
              <w:bidi w:val="0"/>
              <w:adjustRightInd/>
              <w:snapToGrid/>
              <w:spacing w:line="240" w:lineRule="auto"/>
              <w:ind w:left="114" w:right="119" w:hanging="2"/>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应提供</w:t>
            </w:r>
            <w:r>
              <w:rPr>
                <w:rFonts w:hint="eastAsia" w:ascii="仿宋" w:hAnsi="仿宋" w:eastAsia="仿宋" w:cs="仿宋"/>
                <w:color w:val="auto"/>
                <w:sz w:val="21"/>
                <w:szCs w:val="21"/>
                <w:highlight w:val="none"/>
                <w:lang w:val="en-US" w:eastAsia="zh-CN"/>
              </w:rPr>
              <w:t>递交响应文件</w:t>
            </w:r>
            <w:r>
              <w:rPr>
                <w:rFonts w:hint="eastAsia" w:ascii="仿宋" w:hAnsi="仿宋" w:eastAsia="仿宋" w:cs="仿宋"/>
                <w:color w:val="auto"/>
                <w:sz w:val="21"/>
                <w:szCs w:val="21"/>
                <w:highlight w:val="none"/>
              </w:rPr>
              <w:t>截止时间前</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个月中任何</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个月缴税凭证，时间以税款所属时期为准（银行出具的缴税凭证或税务机关出具的证明的复印件，并加盖本单位公章）</w:t>
            </w:r>
            <w:r>
              <w:rPr>
                <w:rFonts w:hint="eastAsia" w:ascii="仿宋" w:hAnsi="仿宋" w:eastAsia="仿宋" w:cs="仿宋"/>
                <w:color w:val="auto"/>
                <w:spacing w:val="0"/>
                <w:sz w:val="21"/>
                <w:szCs w:val="21"/>
                <w:highlight w:val="none"/>
                <w:lang w:eastAsia="zh-CN"/>
              </w:rPr>
              <w:t>。</w:t>
            </w:r>
          </w:p>
          <w:p w14:paraId="4C7F3613">
            <w:pPr>
              <w:pStyle w:val="297"/>
              <w:keepNext w:val="0"/>
              <w:keepLines w:val="0"/>
              <w:pageBreakBefore w:val="0"/>
              <w:widowControl w:val="0"/>
              <w:shd w:val="clear"/>
              <w:kinsoku/>
              <w:wordWrap/>
              <w:overflowPunct/>
              <w:topLinePunct w:val="0"/>
              <w:autoSpaceDE/>
              <w:autoSpaceDN/>
              <w:bidi w:val="0"/>
              <w:adjustRightInd/>
              <w:snapToGrid/>
              <w:spacing w:line="240" w:lineRule="auto"/>
              <w:ind w:left="109" w:right="179"/>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2</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缴纳凭证复印件须清晰可辨，并能显示出</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名称和所缴纳税种种类，单位代扣代缴的个人所得税不能作为单位纳税的凭证</w:t>
            </w:r>
            <w:r>
              <w:rPr>
                <w:rFonts w:hint="eastAsia" w:ascii="仿宋" w:hAnsi="仿宋" w:eastAsia="仿宋" w:cs="仿宋"/>
                <w:color w:val="auto"/>
                <w:spacing w:val="0"/>
                <w:sz w:val="21"/>
                <w:szCs w:val="21"/>
                <w:highlight w:val="none"/>
                <w:lang w:eastAsia="zh-CN"/>
              </w:rPr>
              <w:t>。</w:t>
            </w:r>
          </w:p>
          <w:p w14:paraId="4C3C01BE">
            <w:pPr>
              <w:pStyle w:val="297"/>
              <w:keepNext w:val="0"/>
              <w:keepLines w:val="0"/>
              <w:pageBreakBefore w:val="0"/>
              <w:widowControl w:val="0"/>
              <w:shd w:val="clear"/>
              <w:kinsoku/>
              <w:wordWrap/>
              <w:overflowPunct/>
              <w:topLinePunct w:val="0"/>
              <w:autoSpaceDE/>
              <w:autoSpaceDN/>
              <w:bidi w:val="0"/>
              <w:adjustRightInd/>
              <w:snapToGrid/>
              <w:spacing w:line="240" w:lineRule="auto"/>
              <w:ind w:left="110" w:right="179" w:firstLine="2"/>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3</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依法免税或无须缴纳税收的</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，应提供相应文件证明。</w:t>
            </w:r>
          </w:p>
        </w:tc>
        <w:tc>
          <w:tcPr>
            <w:tcW w:w="1122" w:type="dxa"/>
            <w:vAlign w:val="top"/>
          </w:tcPr>
          <w:p w14:paraId="3788970C">
            <w:pPr>
              <w:pStyle w:val="297"/>
              <w:keepNext w:val="0"/>
              <w:keepLines w:val="0"/>
              <w:pageBreakBefore w:val="0"/>
              <w:widowControl w:val="0"/>
              <w:shd w:val="clear"/>
              <w:kinsoku/>
              <w:wordWrap/>
              <w:overflowPunct/>
              <w:topLinePunct w:val="0"/>
              <w:autoSpaceDE/>
              <w:autoSpaceDN/>
              <w:bidi w:val="0"/>
              <w:adjustRightInd/>
              <w:snapToGrid/>
              <w:spacing w:line="240" w:lineRule="auto"/>
              <w:ind w:left="110" w:right="179" w:firstLine="2"/>
              <w:textAlignment w:val="auto"/>
              <w:rPr>
                <w:rFonts w:hint="eastAsia" w:ascii="仿宋" w:hAnsi="仿宋" w:eastAsia="仿宋" w:cs="仿宋"/>
                <w:color w:val="auto"/>
                <w:spacing w:val="0"/>
                <w:sz w:val="21"/>
                <w:szCs w:val="21"/>
                <w:highlight w:val="none"/>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708" w:type="dxa"/>
            <w:vAlign w:val="center"/>
          </w:tcPr>
          <w:p w14:paraId="52404194">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rPr>
            </w:pPr>
          </w:p>
        </w:tc>
        <w:tc>
          <w:tcPr>
            <w:tcW w:w="2228" w:type="dxa"/>
            <w:vAlign w:val="center"/>
          </w:tcPr>
          <w:p w14:paraId="1F7D8866">
            <w:pPr>
              <w:pStyle w:val="297"/>
              <w:keepNext w:val="0"/>
              <w:keepLines w:val="0"/>
              <w:pageBreakBefore w:val="0"/>
              <w:widowControl w:val="0"/>
              <w:shd w:val="clear"/>
              <w:kinsoku/>
              <w:wordWrap/>
              <w:overflowPunct/>
              <w:topLinePunct w:val="0"/>
              <w:autoSpaceDE/>
              <w:autoSpaceDN/>
              <w:bidi w:val="0"/>
              <w:adjustRightInd/>
              <w:snapToGrid/>
              <w:spacing w:line="240" w:lineRule="auto"/>
              <w:ind w:right="279"/>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依法缴纳社会保障资金</w:t>
            </w:r>
            <w:r>
              <w:rPr>
                <w:rFonts w:hint="eastAsia" w:ascii="仿宋" w:hAnsi="仿宋" w:eastAsia="仿宋" w:cs="仿宋"/>
                <w:color w:val="auto"/>
                <w:spacing w:val="-5"/>
                <w:sz w:val="21"/>
                <w:szCs w:val="21"/>
                <w:highlight w:val="none"/>
              </w:rPr>
              <w:t>的相关材料</w:t>
            </w:r>
          </w:p>
        </w:tc>
        <w:tc>
          <w:tcPr>
            <w:tcW w:w="4966" w:type="dxa"/>
            <w:vAlign w:val="top"/>
          </w:tcPr>
          <w:p w14:paraId="287C05CD">
            <w:pPr>
              <w:pStyle w:val="297"/>
              <w:keepNext w:val="0"/>
              <w:keepLines w:val="0"/>
              <w:pageBreakBefore w:val="0"/>
              <w:widowControl w:val="0"/>
              <w:shd w:val="clear"/>
              <w:kinsoku/>
              <w:wordWrap/>
              <w:overflowPunct/>
              <w:topLinePunct w:val="0"/>
              <w:autoSpaceDE/>
              <w:autoSpaceDN/>
              <w:bidi w:val="0"/>
              <w:adjustRightInd/>
              <w:snapToGrid/>
              <w:spacing w:line="240" w:lineRule="auto"/>
              <w:ind w:left="109" w:right="119" w:firstLine="2"/>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应提供</w:t>
            </w:r>
            <w:r>
              <w:rPr>
                <w:rFonts w:hint="eastAsia" w:ascii="仿宋" w:hAnsi="仿宋" w:eastAsia="仿宋" w:cs="仿宋"/>
                <w:color w:val="auto"/>
                <w:sz w:val="21"/>
                <w:szCs w:val="21"/>
                <w:highlight w:val="none"/>
                <w:lang w:val="en-US" w:eastAsia="zh-CN"/>
              </w:rPr>
              <w:t>递交响应文件</w:t>
            </w:r>
            <w:r>
              <w:rPr>
                <w:rFonts w:hint="eastAsia" w:ascii="仿宋" w:hAnsi="仿宋" w:eastAsia="仿宋" w:cs="仿宋"/>
                <w:color w:val="auto"/>
                <w:sz w:val="21"/>
                <w:szCs w:val="21"/>
                <w:highlight w:val="none"/>
              </w:rPr>
              <w:t>截止时间</w:t>
            </w:r>
            <w:r>
              <w:rPr>
                <w:rFonts w:hint="eastAsia" w:ascii="仿宋" w:hAnsi="仿宋" w:eastAsia="仿宋" w:cs="仿宋"/>
                <w:color w:val="auto"/>
                <w:sz w:val="21"/>
                <w:szCs w:val="21"/>
                <w:highlight w:val="none"/>
                <w:lang w:val="en-US" w:eastAsia="zh-CN"/>
              </w:rPr>
              <w:t>前6</w:t>
            </w:r>
            <w:r>
              <w:rPr>
                <w:rFonts w:hint="eastAsia" w:ascii="仿宋" w:hAnsi="仿宋" w:eastAsia="仿宋" w:cs="仿宋"/>
                <w:color w:val="auto"/>
                <w:sz w:val="21"/>
                <w:szCs w:val="21"/>
                <w:highlight w:val="none"/>
              </w:rPr>
              <w:t>个月中至少</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个月的缴纳社会保险的凭据（专用收据或社会保险缴纳清单），并加盖本单位公章</w:t>
            </w:r>
            <w:r>
              <w:rPr>
                <w:rFonts w:hint="eastAsia" w:ascii="仿宋" w:hAnsi="仿宋" w:eastAsia="仿宋" w:cs="仿宋"/>
                <w:color w:val="auto"/>
                <w:sz w:val="21"/>
                <w:szCs w:val="21"/>
                <w:highlight w:val="none"/>
                <w:lang w:eastAsia="zh-CN"/>
              </w:rPr>
              <w:t>。</w:t>
            </w:r>
          </w:p>
          <w:p w14:paraId="2A1D600C">
            <w:pPr>
              <w:pStyle w:val="297"/>
              <w:keepNext w:val="0"/>
              <w:keepLines w:val="0"/>
              <w:pageBreakBefore w:val="0"/>
              <w:widowControl w:val="0"/>
              <w:shd w:val="clear"/>
              <w:kinsoku/>
              <w:wordWrap/>
              <w:overflowPunct/>
              <w:topLinePunct w:val="0"/>
              <w:autoSpaceDE/>
              <w:autoSpaceDN/>
              <w:bidi w:val="0"/>
              <w:adjustRightInd/>
              <w:snapToGrid/>
              <w:spacing w:line="240" w:lineRule="auto"/>
              <w:ind w:left="109" w:right="119" w:firstLine="2"/>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2</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凭证复印件须清晰可辨，并能显示出</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名称和所缴纳的社保的种类</w:t>
            </w:r>
            <w:r>
              <w:rPr>
                <w:rFonts w:hint="eastAsia" w:ascii="仿宋" w:hAnsi="仿宋" w:eastAsia="仿宋" w:cs="仿宋"/>
                <w:color w:val="auto"/>
                <w:spacing w:val="0"/>
                <w:sz w:val="21"/>
                <w:szCs w:val="21"/>
                <w:highlight w:val="none"/>
                <w:lang w:eastAsia="zh-CN"/>
              </w:rPr>
              <w:t>。</w:t>
            </w:r>
          </w:p>
          <w:p w14:paraId="7F65771E">
            <w:pPr>
              <w:pStyle w:val="297"/>
              <w:keepNext w:val="0"/>
              <w:keepLines w:val="0"/>
              <w:pageBreakBefore w:val="0"/>
              <w:widowControl w:val="0"/>
              <w:shd w:val="clear"/>
              <w:kinsoku/>
              <w:wordWrap/>
              <w:overflowPunct/>
              <w:topLinePunct w:val="0"/>
              <w:autoSpaceDE/>
              <w:autoSpaceDN/>
              <w:bidi w:val="0"/>
              <w:adjustRightInd/>
              <w:snapToGrid/>
              <w:spacing w:line="240" w:lineRule="auto"/>
              <w:ind w:left="113" w:right="179"/>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3</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依法不需要缴纳社会保障资金的，应提供相应证明文件</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并加盖本单位公章</w:t>
            </w:r>
            <w:r>
              <w:rPr>
                <w:rFonts w:hint="eastAsia" w:ascii="仿宋" w:hAnsi="仿宋" w:eastAsia="仿宋" w:cs="仿宋"/>
                <w:color w:val="auto"/>
                <w:spacing w:val="0"/>
                <w:sz w:val="21"/>
                <w:szCs w:val="21"/>
                <w:highlight w:val="none"/>
                <w:lang w:eastAsia="zh-CN"/>
              </w:rPr>
              <w:t>。</w:t>
            </w:r>
          </w:p>
        </w:tc>
        <w:tc>
          <w:tcPr>
            <w:tcW w:w="1122" w:type="dxa"/>
            <w:vAlign w:val="top"/>
          </w:tcPr>
          <w:p w14:paraId="4F057761">
            <w:pPr>
              <w:pStyle w:val="297"/>
              <w:keepNext w:val="0"/>
              <w:keepLines w:val="0"/>
              <w:pageBreakBefore w:val="0"/>
              <w:widowControl w:val="0"/>
              <w:shd w:val="clear"/>
              <w:kinsoku/>
              <w:wordWrap/>
              <w:overflowPunct/>
              <w:topLinePunct w:val="0"/>
              <w:autoSpaceDE/>
              <w:autoSpaceDN/>
              <w:bidi w:val="0"/>
              <w:adjustRightInd/>
              <w:snapToGrid/>
              <w:spacing w:line="240" w:lineRule="auto"/>
              <w:ind w:left="113" w:right="179"/>
              <w:textAlignment w:val="auto"/>
              <w:rPr>
                <w:rFonts w:hint="eastAsia" w:ascii="仿宋" w:hAnsi="仿宋" w:eastAsia="仿宋" w:cs="仿宋"/>
                <w:color w:val="auto"/>
                <w:spacing w:val="0"/>
                <w:sz w:val="21"/>
                <w:szCs w:val="21"/>
                <w:highlight w:val="none"/>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rPr>
            </w:pPr>
          </w:p>
        </w:tc>
        <w:tc>
          <w:tcPr>
            <w:tcW w:w="2228" w:type="dxa"/>
            <w:vAlign w:val="center"/>
          </w:tcPr>
          <w:p w14:paraId="0A111405">
            <w:pPr>
              <w:pStyle w:val="297"/>
              <w:keepNext w:val="0"/>
              <w:keepLines w:val="0"/>
              <w:pageBreakBefore w:val="0"/>
              <w:widowControl w:val="0"/>
              <w:shd w:val="clear"/>
              <w:kinsoku/>
              <w:wordWrap/>
              <w:overflowPunct/>
              <w:topLinePunct w:val="0"/>
              <w:autoSpaceDE/>
              <w:autoSpaceDN/>
              <w:bidi w:val="0"/>
              <w:adjustRightInd/>
              <w:snapToGrid/>
              <w:spacing w:line="240" w:lineRule="auto"/>
              <w:ind w:left="108" w:right="279" w:firstLine="4"/>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具备履行合同所必需的</w:t>
            </w:r>
            <w:r>
              <w:rPr>
                <w:rFonts w:hint="eastAsia" w:ascii="仿宋" w:hAnsi="仿宋" w:eastAsia="仿宋" w:cs="仿宋"/>
                <w:color w:val="auto"/>
                <w:spacing w:val="-1"/>
                <w:sz w:val="21"/>
                <w:szCs w:val="21"/>
                <w:highlight w:val="none"/>
              </w:rPr>
              <w:t>设备和专业技术能力的</w:t>
            </w:r>
            <w:r>
              <w:rPr>
                <w:rFonts w:hint="eastAsia" w:ascii="仿宋" w:hAnsi="仿宋" w:eastAsia="仿宋" w:cs="仿宋"/>
                <w:color w:val="auto"/>
                <w:spacing w:val="-2"/>
                <w:sz w:val="21"/>
                <w:szCs w:val="21"/>
                <w:highlight w:val="none"/>
              </w:rPr>
              <w:t>证明材料</w:t>
            </w:r>
          </w:p>
        </w:tc>
        <w:tc>
          <w:tcPr>
            <w:tcW w:w="4966" w:type="dxa"/>
            <w:vAlign w:val="center"/>
          </w:tcPr>
          <w:p w14:paraId="2EB419A0">
            <w:pPr>
              <w:pStyle w:val="297"/>
              <w:keepNext w:val="0"/>
              <w:keepLines w:val="0"/>
              <w:pageBreakBefore w:val="0"/>
              <w:widowControl w:val="0"/>
              <w:shd w:val="clear"/>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rPr>
              <w:t>按照</w:t>
            </w:r>
            <w:r>
              <w:rPr>
                <w:rFonts w:hint="eastAsia" w:ascii="仿宋" w:hAnsi="仿宋" w:eastAsia="仿宋" w:cs="仿宋"/>
                <w:color w:val="auto"/>
                <w:spacing w:val="0"/>
                <w:sz w:val="21"/>
                <w:szCs w:val="21"/>
                <w:highlight w:val="none"/>
                <w:lang w:val="en-US" w:eastAsia="zh-CN"/>
              </w:rPr>
              <w:t>资格证明文件附件6-5</w:t>
            </w:r>
            <w:r>
              <w:rPr>
                <w:rFonts w:hint="eastAsia" w:ascii="仿宋" w:hAnsi="仿宋" w:eastAsia="仿宋" w:cs="仿宋"/>
                <w:color w:val="auto"/>
                <w:spacing w:val="0"/>
                <w:sz w:val="21"/>
                <w:szCs w:val="21"/>
                <w:highlight w:val="none"/>
              </w:rPr>
              <w:t>格式作出相关承诺</w:t>
            </w:r>
            <w:r>
              <w:rPr>
                <w:rFonts w:hint="eastAsia" w:ascii="仿宋" w:hAnsi="仿宋" w:eastAsia="仿宋" w:cs="仿宋"/>
                <w:color w:val="auto"/>
                <w:spacing w:val="0"/>
                <w:sz w:val="21"/>
                <w:szCs w:val="21"/>
                <w:highlight w:val="none"/>
                <w:lang w:eastAsia="zh-CN"/>
              </w:rPr>
              <w:t>。</w:t>
            </w:r>
          </w:p>
        </w:tc>
        <w:tc>
          <w:tcPr>
            <w:tcW w:w="1122" w:type="dxa"/>
            <w:vAlign w:val="center"/>
          </w:tcPr>
          <w:p w14:paraId="36CCF81D">
            <w:pPr>
              <w:pStyle w:val="297"/>
              <w:keepNext w:val="0"/>
              <w:keepLines w:val="0"/>
              <w:pageBreakBefore w:val="0"/>
              <w:widowControl w:val="0"/>
              <w:shd w:val="clear"/>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color w:val="auto"/>
                <w:spacing w:val="0"/>
                <w:sz w:val="21"/>
                <w:szCs w:val="21"/>
                <w:highlight w:val="none"/>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rPr>
            </w:pPr>
          </w:p>
        </w:tc>
        <w:tc>
          <w:tcPr>
            <w:tcW w:w="2228" w:type="dxa"/>
            <w:vAlign w:val="center"/>
          </w:tcPr>
          <w:p w14:paraId="690393CF">
            <w:pPr>
              <w:pStyle w:val="297"/>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参加政府采购活动前3年内在经营活动中没有重大违法记录的书面</w:t>
            </w:r>
            <w:r>
              <w:rPr>
                <w:rFonts w:hint="eastAsia" w:ascii="仿宋" w:hAnsi="仿宋" w:eastAsia="仿宋" w:cs="仿宋"/>
                <w:color w:val="auto"/>
                <w:spacing w:val="-3"/>
                <w:sz w:val="21"/>
                <w:szCs w:val="21"/>
                <w:highlight w:val="none"/>
              </w:rPr>
              <w:t>声明</w:t>
            </w:r>
          </w:p>
        </w:tc>
        <w:tc>
          <w:tcPr>
            <w:tcW w:w="4966" w:type="dxa"/>
            <w:vAlign w:val="center"/>
          </w:tcPr>
          <w:p w14:paraId="4DAF9601">
            <w:pPr>
              <w:pStyle w:val="297"/>
              <w:keepNext w:val="0"/>
              <w:keepLines w:val="0"/>
              <w:pageBreakBefore w:val="0"/>
              <w:widowControl w:val="0"/>
              <w:shd w:val="clear"/>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按照</w:t>
            </w:r>
            <w:r>
              <w:rPr>
                <w:rFonts w:hint="eastAsia" w:ascii="仿宋" w:hAnsi="仿宋" w:eastAsia="仿宋" w:cs="仿宋"/>
                <w:color w:val="auto"/>
                <w:spacing w:val="0"/>
                <w:sz w:val="21"/>
                <w:szCs w:val="21"/>
                <w:highlight w:val="none"/>
                <w:lang w:val="en-US" w:eastAsia="zh-CN"/>
              </w:rPr>
              <w:t>资格证明文件附件6-6</w:t>
            </w:r>
            <w:r>
              <w:rPr>
                <w:rFonts w:hint="eastAsia" w:ascii="仿宋" w:hAnsi="仿宋" w:eastAsia="仿宋" w:cs="仿宋"/>
                <w:color w:val="auto"/>
                <w:spacing w:val="0"/>
                <w:sz w:val="21"/>
                <w:szCs w:val="21"/>
                <w:highlight w:val="none"/>
              </w:rPr>
              <w:t>格式作出相关承诺。</w:t>
            </w:r>
          </w:p>
        </w:tc>
        <w:tc>
          <w:tcPr>
            <w:tcW w:w="1122" w:type="dxa"/>
            <w:vAlign w:val="center"/>
          </w:tcPr>
          <w:p w14:paraId="72C17FD7">
            <w:pPr>
              <w:pStyle w:val="297"/>
              <w:keepNext w:val="0"/>
              <w:keepLines w:val="0"/>
              <w:pageBreakBefore w:val="0"/>
              <w:widowControl w:val="0"/>
              <w:shd w:val="clear"/>
              <w:kinsoku/>
              <w:wordWrap/>
              <w:overflowPunct/>
              <w:topLinePunct w:val="0"/>
              <w:autoSpaceDE/>
              <w:autoSpaceDN/>
              <w:bidi w:val="0"/>
              <w:adjustRightInd/>
              <w:snapToGrid/>
              <w:spacing w:line="240" w:lineRule="auto"/>
              <w:ind w:right="179"/>
              <w:jc w:val="both"/>
              <w:textAlignment w:val="auto"/>
              <w:rPr>
                <w:rFonts w:hint="eastAsia" w:ascii="仿宋" w:hAnsi="仿宋" w:eastAsia="仿宋" w:cs="仿宋"/>
                <w:color w:val="auto"/>
                <w:spacing w:val="0"/>
                <w:sz w:val="21"/>
                <w:szCs w:val="21"/>
                <w:highlight w:val="none"/>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4F857A0F">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z w:val="21"/>
                <w:szCs w:val="21"/>
                <w:highlight w:val="none"/>
              </w:rPr>
            </w:pPr>
          </w:p>
        </w:tc>
        <w:tc>
          <w:tcPr>
            <w:tcW w:w="2228" w:type="dxa"/>
            <w:vAlign w:val="center"/>
          </w:tcPr>
          <w:p w14:paraId="75A5AD4A">
            <w:pPr>
              <w:pStyle w:val="297"/>
              <w:keepNext w:val="0"/>
              <w:keepLines w:val="0"/>
              <w:pageBreakBefore w:val="0"/>
              <w:widowControl w:val="0"/>
              <w:shd w:val="clear"/>
              <w:kinsoku/>
              <w:wordWrap/>
              <w:overflowPunct/>
              <w:topLinePunct w:val="0"/>
              <w:autoSpaceDE/>
              <w:autoSpaceDN/>
              <w:bidi w:val="0"/>
              <w:adjustRightInd/>
              <w:snapToGrid/>
              <w:spacing w:line="240" w:lineRule="auto"/>
              <w:ind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信用信息</w:t>
            </w:r>
          </w:p>
        </w:tc>
        <w:tc>
          <w:tcPr>
            <w:tcW w:w="4966" w:type="dxa"/>
            <w:vAlign w:val="top"/>
          </w:tcPr>
          <w:p w14:paraId="3EDF3BFD">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供应商在递交投标文件截止时间前被“信用中国”网站（www.creditchina.gov.cn）和中国政府采购网（www.ccgp.gov.cn）上被列入失信被执行人、重大税收违法失信主体、政府采购严重违法失信行为信息记录名单的，不得参加投标；</w:t>
            </w:r>
          </w:p>
          <w:p w14:paraId="6AB6E286">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（以代理机构于</w:t>
            </w:r>
            <w:r>
              <w:rPr>
                <w:rFonts w:hint="eastAsia" w:ascii="仿宋" w:hAnsi="仿宋" w:eastAsia="仿宋" w:cs="仿宋"/>
                <w:color w:val="auto"/>
                <w:spacing w:val="0"/>
                <w:sz w:val="21"/>
                <w:szCs w:val="21"/>
                <w:highlight w:val="none"/>
                <w:lang w:val="en-US" w:eastAsia="zh-CN"/>
              </w:rPr>
              <w:t>开启响应文件</w:t>
            </w:r>
            <w:r>
              <w:rPr>
                <w:rFonts w:hint="eastAsia" w:ascii="仿宋" w:hAnsi="仿宋" w:eastAsia="仿宋" w:cs="仿宋"/>
                <w:color w:val="auto"/>
                <w:spacing w:val="0"/>
                <w:sz w:val="21"/>
                <w:szCs w:val="21"/>
                <w:highlight w:val="none"/>
              </w:rPr>
              <w:t>当天</w:t>
            </w:r>
            <w:r>
              <w:rPr>
                <w:rFonts w:hint="eastAsia" w:ascii="仿宋" w:hAnsi="仿宋" w:eastAsia="仿宋" w:cs="仿宋"/>
                <w:color w:val="auto"/>
                <w:spacing w:val="0"/>
                <w:sz w:val="21"/>
                <w:szCs w:val="21"/>
                <w:highlight w:val="none"/>
                <w:lang w:val="en-US" w:eastAsia="zh-CN"/>
              </w:rPr>
              <w:t>进行资格审查时</w:t>
            </w:r>
            <w:r>
              <w:rPr>
                <w:rFonts w:hint="eastAsia" w:ascii="仿宋" w:hAnsi="仿宋" w:eastAsia="仿宋" w:cs="仿宋"/>
                <w:color w:val="auto"/>
                <w:spacing w:val="0"/>
                <w:sz w:val="21"/>
                <w:szCs w:val="21"/>
                <w:highlight w:val="none"/>
              </w:rPr>
              <w:t>在“信用中国”网站（www.creditchina.gov.cn）及中国政府采购网(www.ccgp.gov.cn)查询结果为准）。</w:t>
            </w:r>
          </w:p>
        </w:tc>
        <w:tc>
          <w:tcPr>
            <w:tcW w:w="1122" w:type="dxa"/>
            <w:vAlign w:val="top"/>
          </w:tcPr>
          <w:p w14:paraId="4ED38C18">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vAlign w:val="center"/>
          </w:tcPr>
          <w:p w14:paraId="730B1987">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pacing w:val="-4"/>
                <w:sz w:val="21"/>
                <w:szCs w:val="21"/>
                <w:highlight w:val="none"/>
                <w:lang w:val="en-US" w:eastAsia="zh-CN"/>
              </w:rPr>
            </w:pPr>
          </w:p>
        </w:tc>
        <w:tc>
          <w:tcPr>
            <w:tcW w:w="2228" w:type="dxa"/>
            <w:vAlign w:val="center"/>
          </w:tcPr>
          <w:p w14:paraId="767336CF">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单位负责人为同一人或者存在直接控股、管理关系的不同供应商，不得参加同一合同项下的政府采购活动</w:t>
            </w:r>
          </w:p>
        </w:tc>
        <w:tc>
          <w:tcPr>
            <w:tcW w:w="4966" w:type="dxa"/>
            <w:vAlign w:val="center"/>
          </w:tcPr>
          <w:p w14:paraId="4952237A">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rPr>
              <w:t>按照</w:t>
            </w:r>
            <w:r>
              <w:rPr>
                <w:rFonts w:hint="eastAsia" w:ascii="仿宋" w:hAnsi="仿宋" w:eastAsia="仿宋" w:cs="仿宋"/>
                <w:color w:val="auto"/>
                <w:spacing w:val="0"/>
                <w:sz w:val="21"/>
                <w:szCs w:val="21"/>
                <w:highlight w:val="none"/>
                <w:lang w:val="en-US" w:eastAsia="zh-CN"/>
              </w:rPr>
              <w:t>资格证明文件附件6-7</w:t>
            </w:r>
            <w:r>
              <w:rPr>
                <w:rFonts w:hint="eastAsia" w:ascii="仿宋" w:hAnsi="仿宋" w:eastAsia="仿宋" w:cs="仿宋"/>
                <w:color w:val="auto"/>
                <w:spacing w:val="0"/>
                <w:sz w:val="21"/>
                <w:szCs w:val="21"/>
                <w:highlight w:val="none"/>
              </w:rPr>
              <w:t>格式</w:t>
            </w:r>
            <w:r>
              <w:rPr>
                <w:rFonts w:hint="eastAsia" w:ascii="仿宋" w:hAnsi="仿宋" w:eastAsia="仿宋" w:cs="仿宋"/>
                <w:color w:val="auto"/>
                <w:spacing w:val="0"/>
                <w:sz w:val="21"/>
                <w:szCs w:val="21"/>
                <w:highlight w:val="none"/>
                <w:lang w:val="en-US" w:eastAsia="zh-CN"/>
              </w:rPr>
              <w:t>做出说明</w:t>
            </w:r>
          </w:p>
        </w:tc>
        <w:tc>
          <w:tcPr>
            <w:tcW w:w="1122" w:type="dxa"/>
            <w:vAlign w:val="center"/>
          </w:tcPr>
          <w:p w14:paraId="7BD94306">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vAlign w:val="center"/>
          </w:tcPr>
          <w:p w14:paraId="7242E5F4">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pacing w:val="-4"/>
                <w:sz w:val="21"/>
                <w:szCs w:val="21"/>
                <w:highlight w:val="none"/>
                <w:lang w:val="en-US" w:eastAsia="zh-CN"/>
              </w:rPr>
            </w:pPr>
          </w:p>
        </w:tc>
        <w:tc>
          <w:tcPr>
            <w:tcW w:w="2228" w:type="dxa"/>
            <w:vAlign w:val="center"/>
          </w:tcPr>
          <w:p w14:paraId="14966483">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为本项目提供整体设计、规范编制或者项目管理、监理、检测等服务的供应商，不得再参加该采购项目的其他采购活动</w:t>
            </w:r>
          </w:p>
        </w:tc>
        <w:tc>
          <w:tcPr>
            <w:tcW w:w="4966" w:type="dxa"/>
            <w:vAlign w:val="center"/>
          </w:tcPr>
          <w:p w14:paraId="452A1011">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rPr>
            </w:pPr>
            <w:r>
              <w:rPr>
                <w:rFonts w:hint="eastAsia" w:ascii="仿宋" w:hAnsi="仿宋" w:eastAsia="仿宋" w:cs="仿宋"/>
                <w:color w:val="auto"/>
                <w:spacing w:val="0"/>
                <w:sz w:val="21"/>
                <w:szCs w:val="21"/>
                <w:highlight w:val="none"/>
              </w:rPr>
              <w:t>按照</w:t>
            </w:r>
            <w:r>
              <w:rPr>
                <w:rFonts w:hint="eastAsia" w:ascii="仿宋" w:hAnsi="仿宋" w:eastAsia="仿宋" w:cs="仿宋"/>
                <w:color w:val="auto"/>
                <w:spacing w:val="0"/>
                <w:sz w:val="21"/>
                <w:szCs w:val="21"/>
                <w:highlight w:val="none"/>
                <w:lang w:val="en-US" w:eastAsia="zh-CN"/>
              </w:rPr>
              <w:t>资格证明文件附件6-8</w:t>
            </w:r>
            <w:r>
              <w:rPr>
                <w:rFonts w:hint="eastAsia" w:ascii="仿宋" w:hAnsi="仿宋" w:eastAsia="仿宋" w:cs="仿宋"/>
                <w:color w:val="auto"/>
                <w:spacing w:val="0"/>
                <w:sz w:val="21"/>
                <w:szCs w:val="21"/>
                <w:highlight w:val="none"/>
              </w:rPr>
              <w:t>格式</w:t>
            </w:r>
            <w:r>
              <w:rPr>
                <w:rFonts w:hint="eastAsia" w:ascii="仿宋" w:hAnsi="仿宋" w:eastAsia="仿宋" w:cs="仿宋"/>
                <w:color w:val="auto"/>
                <w:spacing w:val="0"/>
                <w:sz w:val="21"/>
                <w:szCs w:val="21"/>
                <w:highlight w:val="none"/>
                <w:lang w:val="en-US" w:eastAsia="zh-CN"/>
              </w:rPr>
              <w:t>做出声明。供应商不属于</w:t>
            </w:r>
            <w:r>
              <w:rPr>
                <w:rFonts w:hint="eastAsia" w:ascii="仿宋" w:hAnsi="仿宋" w:eastAsia="仿宋" w:cs="仿宋"/>
                <w:color w:val="auto"/>
                <w:sz w:val="21"/>
                <w:szCs w:val="21"/>
                <w:highlight w:val="none"/>
                <w:lang w:val="en-US" w:eastAsia="zh-CN"/>
              </w:rPr>
              <w:t>为本项目提供整体设计、规范编制或者项目管理、监理、检测等服务的供应商。</w:t>
            </w:r>
          </w:p>
        </w:tc>
        <w:tc>
          <w:tcPr>
            <w:tcW w:w="1122" w:type="dxa"/>
            <w:vAlign w:val="center"/>
          </w:tcPr>
          <w:p w14:paraId="352E43F3">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p>
        </w:tc>
      </w:tr>
      <w:tr w14:paraId="49A2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1740705">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pacing w:val="-4"/>
                <w:sz w:val="21"/>
                <w:szCs w:val="21"/>
                <w:highlight w:val="none"/>
                <w:lang w:val="en-US" w:eastAsia="zh-CN"/>
              </w:rPr>
            </w:pPr>
          </w:p>
        </w:tc>
        <w:tc>
          <w:tcPr>
            <w:tcW w:w="2228" w:type="dxa"/>
            <w:vAlign w:val="center"/>
          </w:tcPr>
          <w:p w14:paraId="56D14C8E">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已向采购代理机构获取采购文件</w:t>
            </w:r>
          </w:p>
        </w:tc>
        <w:tc>
          <w:tcPr>
            <w:tcW w:w="4966" w:type="dxa"/>
            <w:vAlign w:val="center"/>
          </w:tcPr>
          <w:p w14:paraId="377837DB">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需向采购代理机构获取</w:t>
            </w:r>
            <w:r>
              <w:rPr>
                <w:rFonts w:hint="eastAsia" w:ascii="仿宋" w:hAnsi="仿宋" w:eastAsia="仿宋" w:cs="仿宋"/>
                <w:color w:val="auto"/>
                <w:spacing w:val="0"/>
                <w:sz w:val="21"/>
                <w:szCs w:val="21"/>
                <w:highlight w:val="none"/>
                <w:lang w:val="en-US" w:eastAsia="zh-CN"/>
              </w:rPr>
              <w:t>采购</w:t>
            </w:r>
            <w:r>
              <w:rPr>
                <w:rFonts w:hint="eastAsia" w:ascii="仿宋" w:hAnsi="仿宋" w:eastAsia="仿宋" w:cs="仿宋"/>
                <w:color w:val="auto"/>
                <w:spacing w:val="0"/>
                <w:sz w:val="21"/>
                <w:szCs w:val="21"/>
                <w:highlight w:val="none"/>
              </w:rPr>
              <w:t>文件，未向采购代理机构获取</w:t>
            </w:r>
            <w:r>
              <w:rPr>
                <w:rFonts w:hint="eastAsia" w:ascii="仿宋" w:hAnsi="仿宋" w:eastAsia="仿宋" w:cs="仿宋"/>
                <w:color w:val="auto"/>
                <w:spacing w:val="0"/>
                <w:sz w:val="21"/>
                <w:szCs w:val="21"/>
                <w:highlight w:val="none"/>
                <w:lang w:val="en-US" w:eastAsia="zh-CN"/>
              </w:rPr>
              <w:t>采购</w:t>
            </w:r>
            <w:r>
              <w:rPr>
                <w:rFonts w:hint="eastAsia" w:ascii="仿宋" w:hAnsi="仿宋" w:eastAsia="仿宋" w:cs="仿宋"/>
                <w:color w:val="auto"/>
                <w:spacing w:val="0"/>
                <w:sz w:val="21"/>
                <w:szCs w:val="21"/>
                <w:highlight w:val="none"/>
              </w:rPr>
              <w:t>文件的供应商均无资格参加</w:t>
            </w:r>
            <w:r>
              <w:rPr>
                <w:rFonts w:hint="eastAsia" w:ascii="仿宋" w:hAnsi="仿宋" w:eastAsia="仿宋" w:cs="仿宋"/>
                <w:color w:val="auto"/>
                <w:spacing w:val="0"/>
                <w:sz w:val="21"/>
                <w:szCs w:val="21"/>
                <w:highlight w:val="none"/>
                <w:lang w:val="en-US" w:eastAsia="zh-CN"/>
              </w:rPr>
              <w:t>磋商</w:t>
            </w:r>
            <w:r>
              <w:rPr>
                <w:rFonts w:hint="eastAsia" w:ascii="仿宋" w:hAnsi="仿宋" w:eastAsia="仿宋" w:cs="仿宋"/>
                <w:color w:val="auto"/>
                <w:spacing w:val="0"/>
                <w:sz w:val="21"/>
                <w:szCs w:val="21"/>
                <w:highlight w:val="none"/>
              </w:rPr>
              <w:t>。</w:t>
            </w:r>
          </w:p>
        </w:tc>
        <w:tc>
          <w:tcPr>
            <w:tcW w:w="1122" w:type="dxa"/>
            <w:vAlign w:val="center"/>
          </w:tcPr>
          <w:p w14:paraId="7B75991D">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rPr>
            </w:pPr>
          </w:p>
        </w:tc>
      </w:tr>
      <w:tr w14:paraId="0FC4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4B4CA222">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仿宋" w:hAnsi="仿宋" w:eastAsia="仿宋" w:cs="仿宋"/>
                <w:color w:val="auto"/>
                <w:spacing w:val="-4"/>
                <w:sz w:val="21"/>
                <w:szCs w:val="21"/>
                <w:highlight w:val="none"/>
                <w:lang w:val="en-US" w:eastAsia="zh-CN"/>
              </w:rPr>
            </w:pPr>
          </w:p>
        </w:tc>
        <w:tc>
          <w:tcPr>
            <w:tcW w:w="2228" w:type="dxa"/>
            <w:vAlign w:val="center"/>
          </w:tcPr>
          <w:p w14:paraId="483F64C3">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法定代表人/单位负责人身份证明书、授权委托书及授权代表在本单位缴纳养老保险证明</w:t>
            </w:r>
          </w:p>
        </w:tc>
        <w:tc>
          <w:tcPr>
            <w:tcW w:w="4966" w:type="dxa"/>
            <w:vAlign w:val="center"/>
          </w:tcPr>
          <w:p w14:paraId="27474C2A">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（1）法定代表人或单位负责人参加磋商的，应提供法定代表人或单位负责人身份证明；</w:t>
            </w:r>
          </w:p>
          <w:p w14:paraId="1DFCB5B4">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（2）授权代表参加磋商的，应提供法定代表人或单位负责人身份证明、</w:t>
            </w:r>
            <w:r>
              <w:rPr>
                <w:rFonts w:hint="eastAsia" w:ascii="仿宋" w:hAnsi="仿宋" w:eastAsia="仿宋" w:cs="仿宋"/>
                <w:color w:val="auto"/>
                <w:sz w:val="21"/>
                <w:szCs w:val="21"/>
                <w:highlight w:val="none"/>
                <w:lang w:val="en-US" w:eastAsia="zh-CN"/>
              </w:rPr>
              <w:t>授权委托书及授权代表在本单位缴纳养老保险证明。</w:t>
            </w:r>
          </w:p>
        </w:tc>
        <w:tc>
          <w:tcPr>
            <w:tcW w:w="1122" w:type="dxa"/>
            <w:vAlign w:val="center"/>
          </w:tcPr>
          <w:p w14:paraId="7108DD8B">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p>
        </w:tc>
      </w:tr>
      <w:tr w14:paraId="3F566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6885FA27">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eastAsia" w:ascii="仿宋" w:hAnsi="仿宋" w:eastAsia="仿宋" w:cs="仿宋"/>
                <w:color w:val="auto"/>
                <w:spacing w:val="-4"/>
                <w:sz w:val="21"/>
                <w:szCs w:val="21"/>
                <w:highlight w:val="none"/>
                <w:lang w:val="en-US" w:eastAsia="zh-CN"/>
              </w:rPr>
            </w:pPr>
          </w:p>
        </w:tc>
        <w:tc>
          <w:tcPr>
            <w:tcW w:w="2228" w:type="dxa"/>
            <w:vAlign w:val="center"/>
          </w:tcPr>
          <w:p w14:paraId="2E2A375A">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z w:val="21"/>
                <w:szCs w:val="21"/>
                <w:highlight w:val="none"/>
                <w:lang w:val="en-US" w:eastAsia="zh-CN"/>
              </w:rPr>
            </w:pPr>
            <w:r>
              <w:rPr>
                <w:rFonts w:hint="default" w:ascii="Times New Roman" w:hAnsi="Times New Roman" w:eastAsia="仿宋_GB2312" w:cs="Times New Roman"/>
                <w:spacing w:val="0"/>
                <w:sz w:val="21"/>
                <w:szCs w:val="21"/>
                <w:lang w:val="en-US" w:eastAsia="zh-CN"/>
              </w:rPr>
              <w:t>特定资格要求</w:t>
            </w:r>
          </w:p>
        </w:tc>
        <w:tc>
          <w:tcPr>
            <w:tcW w:w="4966" w:type="dxa"/>
            <w:vAlign w:val="center"/>
          </w:tcPr>
          <w:p w14:paraId="5C6970B2">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pacing w:val="0"/>
                <w:sz w:val="21"/>
                <w:szCs w:val="21"/>
                <w:highlight w:val="none"/>
                <w:lang w:val="en-US" w:eastAsia="zh-CN"/>
              </w:rPr>
            </w:pPr>
            <w:r>
              <w:rPr>
                <w:rFonts w:hint="default" w:ascii="Times New Roman" w:hAnsi="Times New Roman" w:eastAsia="仿宋_GB2312" w:cs="Times New Roman"/>
                <w:spacing w:val="0"/>
                <w:sz w:val="21"/>
                <w:szCs w:val="21"/>
                <w:lang w:val="en-US" w:eastAsia="zh-CN"/>
              </w:rPr>
              <w:t>供应商具备</w:t>
            </w:r>
            <w:r>
              <w:rPr>
                <w:rFonts w:hint="eastAsia" w:ascii="Times New Roman" w:hAnsi="Times New Roman" w:eastAsia="仿宋_GB2312" w:cs="Times New Roman"/>
                <w:spacing w:val="0"/>
                <w:sz w:val="21"/>
                <w:szCs w:val="21"/>
                <w:lang w:val="en-US" w:eastAsia="zh-CN"/>
              </w:rPr>
              <w:t>市政公用工程施工总承包二级</w:t>
            </w:r>
            <w:r>
              <w:rPr>
                <w:rFonts w:hint="default" w:ascii="Times New Roman" w:hAnsi="Times New Roman" w:eastAsia="仿宋_GB2312" w:cs="Times New Roman"/>
                <w:spacing w:val="0"/>
                <w:sz w:val="21"/>
                <w:szCs w:val="21"/>
                <w:lang w:val="en-US" w:eastAsia="zh-CN"/>
              </w:rPr>
              <w:t>及以上资质，同时提供有效期内的安全生产许可证。拟投入的项目经理须提供贰级（含贰级）以上建筑工程类注册建造师证书及安全生产考核合格证（B证），且无其他在建工程（提供无在建工程的承诺函）。</w:t>
            </w:r>
          </w:p>
        </w:tc>
        <w:tc>
          <w:tcPr>
            <w:tcW w:w="1122" w:type="dxa"/>
            <w:vAlign w:val="center"/>
          </w:tcPr>
          <w:p w14:paraId="6FB96DBC">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p>
        </w:tc>
      </w:tr>
      <w:tr w14:paraId="2E516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50142FE">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仿宋" w:hAnsi="仿宋" w:eastAsia="仿宋" w:cs="仿宋"/>
                <w:color w:val="auto"/>
                <w:spacing w:val="-4"/>
                <w:sz w:val="21"/>
                <w:szCs w:val="21"/>
                <w:highlight w:val="none"/>
                <w:lang w:val="en-US" w:eastAsia="zh-CN"/>
              </w:rPr>
            </w:pPr>
          </w:p>
        </w:tc>
        <w:tc>
          <w:tcPr>
            <w:tcW w:w="2228" w:type="dxa"/>
            <w:vAlign w:val="center"/>
          </w:tcPr>
          <w:p w14:paraId="197A7C45">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中小企业声明函</w:t>
            </w:r>
          </w:p>
        </w:tc>
        <w:tc>
          <w:tcPr>
            <w:tcW w:w="4966" w:type="dxa"/>
            <w:vAlign w:val="center"/>
          </w:tcPr>
          <w:p w14:paraId="4B780836">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本项目为专门面向小微企业的项目，供应商应提供中小企业声明函、残疾人福利性单位声明函或监狱企业证明函。格式及内容符合采购文件要求。</w:t>
            </w:r>
          </w:p>
        </w:tc>
        <w:tc>
          <w:tcPr>
            <w:tcW w:w="1122" w:type="dxa"/>
            <w:vAlign w:val="center"/>
          </w:tcPr>
          <w:p w14:paraId="1435D162">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right="237"/>
              <w:jc w:val="both"/>
              <w:textAlignment w:val="auto"/>
              <w:rPr>
                <w:rFonts w:hint="eastAsia" w:ascii="仿宋" w:hAnsi="仿宋" w:eastAsia="仿宋" w:cs="仿宋"/>
                <w:color w:val="auto"/>
                <w:spacing w:val="0"/>
                <w:sz w:val="21"/>
                <w:szCs w:val="21"/>
                <w:highlight w:val="none"/>
                <w:lang w:val="en-US" w:eastAsia="zh-CN"/>
              </w:rPr>
            </w:pPr>
          </w:p>
        </w:tc>
      </w:tr>
      <w:tr w14:paraId="4ED5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38145676">
            <w:pPr>
              <w:pStyle w:val="297"/>
              <w:keepNext w:val="0"/>
              <w:keepLines w:val="0"/>
              <w:pageBreakBefore w:val="0"/>
              <w:widowControl w:val="0"/>
              <w:numPr>
                <w:ilvl w:val="0"/>
                <w:numId w:val="12"/>
              </w:numPr>
              <w:shd w:val="clea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仿宋" w:hAnsi="仿宋" w:eastAsia="仿宋" w:cs="仿宋"/>
                <w:color w:val="auto"/>
                <w:spacing w:val="-4"/>
                <w:sz w:val="21"/>
                <w:szCs w:val="21"/>
                <w:highlight w:val="none"/>
                <w:lang w:val="en-US" w:eastAsia="zh-CN"/>
              </w:rPr>
            </w:pPr>
          </w:p>
        </w:tc>
        <w:tc>
          <w:tcPr>
            <w:tcW w:w="2228" w:type="dxa"/>
            <w:vAlign w:val="center"/>
          </w:tcPr>
          <w:p w14:paraId="5FFE420D">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法律、行政法规规定的其他条件</w:t>
            </w:r>
          </w:p>
        </w:tc>
        <w:tc>
          <w:tcPr>
            <w:tcW w:w="4966" w:type="dxa"/>
            <w:vAlign w:val="center"/>
          </w:tcPr>
          <w:p w14:paraId="1F3B7079">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z w:val="21"/>
                <w:szCs w:val="21"/>
                <w:highlight w:val="none"/>
                <w:lang w:val="en-US" w:eastAsia="zh-CN"/>
              </w:rPr>
              <w:t>不存在违反法律法规的情况</w:t>
            </w:r>
          </w:p>
        </w:tc>
        <w:tc>
          <w:tcPr>
            <w:tcW w:w="1122" w:type="dxa"/>
            <w:vAlign w:val="center"/>
          </w:tcPr>
          <w:p w14:paraId="16397849">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pacing w:val="0"/>
                <w:sz w:val="21"/>
                <w:szCs w:val="21"/>
                <w:highlight w:val="none"/>
                <w:lang w:val="en-US" w:eastAsia="zh-CN"/>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D99EEF8">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审查结论</w:t>
            </w:r>
          </w:p>
        </w:tc>
        <w:tc>
          <w:tcPr>
            <w:tcW w:w="6088" w:type="dxa"/>
            <w:gridSpan w:val="2"/>
            <w:vAlign w:val="center"/>
          </w:tcPr>
          <w:p w14:paraId="682739F0">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z w:val="21"/>
                <w:szCs w:val="21"/>
                <w:highlight w:val="none"/>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672CF09">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不通过原因说明</w:t>
            </w:r>
          </w:p>
        </w:tc>
        <w:tc>
          <w:tcPr>
            <w:tcW w:w="6088" w:type="dxa"/>
            <w:gridSpan w:val="2"/>
            <w:vAlign w:val="center"/>
          </w:tcPr>
          <w:p w14:paraId="2A2A93C3">
            <w:pPr>
              <w:pStyle w:val="297"/>
              <w:keepNext w:val="0"/>
              <w:keepLines w:val="0"/>
              <w:pageBreakBefore w:val="0"/>
              <w:widowControl w:val="0"/>
              <w:shd w:val="clear"/>
              <w:kinsoku/>
              <w:wordWrap/>
              <w:overflowPunct/>
              <w:topLinePunct w:val="0"/>
              <w:autoSpaceDE/>
              <w:autoSpaceDN/>
              <w:bidi w:val="0"/>
              <w:adjustRightInd/>
              <w:snapToGrid/>
              <w:spacing w:line="240" w:lineRule="auto"/>
              <w:ind w:left="111" w:leftChars="0" w:right="237" w:rightChars="0"/>
              <w:jc w:val="both"/>
              <w:textAlignment w:val="auto"/>
              <w:rPr>
                <w:rFonts w:hint="eastAsia" w:ascii="仿宋" w:hAnsi="仿宋" w:eastAsia="仿宋" w:cs="仿宋"/>
                <w:color w:val="auto"/>
                <w:spacing w:val="0"/>
                <w:sz w:val="21"/>
                <w:szCs w:val="21"/>
                <w:highlight w:val="none"/>
                <w:lang w:val="en-US" w:eastAsia="zh-CN"/>
              </w:rPr>
            </w:pPr>
          </w:p>
        </w:tc>
      </w:tr>
    </w:tbl>
    <w:p w14:paraId="07762EE3">
      <w:pPr>
        <w:shd w:val="clear"/>
        <w:bidi w:val="0"/>
        <w:spacing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6DC47169">
      <w:pPr>
        <w:shd w:val="clear"/>
        <w:bidi w:val="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1．采购人或采购代理机构对</w:t>
      </w:r>
      <w:r>
        <w:rPr>
          <w:rFonts w:hint="eastAsia" w:ascii="仿宋" w:hAnsi="仿宋" w:eastAsia="仿宋" w:cs="仿宋"/>
          <w:color w:val="auto"/>
          <w:highlight w:val="none"/>
          <w:lang w:val="en-US" w:eastAsia="zh-CN"/>
        </w:rPr>
        <w:t>供应商的响应文件</w:t>
      </w:r>
      <w:r>
        <w:rPr>
          <w:rFonts w:hint="eastAsia" w:ascii="仿宋" w:hAnsi="仿宋" w:eastAsia="仿宋" w:cs="仿宋"/>
          <w:color w:val="auto"/>
          <w:highlight w:val="none"/>
        </w:rPr>
        <w:t>是否满足要求逐条标注评审意见，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p>
    <w:p w14:paraId="4287DE35">
      <w:pPr>
        <w:shd w:val="clear"/>
        <w:bidi w:val="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不进入后续评审</w:t>
      </w:r>
      <w:r>
        <w:rPr>
          <w:rFonts w:hint="eastAsia" w:ascii="仿宋" w:hAnsi="仿宋" w:eastAsia="仿宋" w:cs="仿宋"/>
          <w:color w:val="auto"/>
          <w:highlight w:val="none"/>
        </w:rPr>
        <w:t>；</w:t>
      </w:r>
    </w:p>
    <w:p w14:paraId="5C87EA5C">
      <w:pPr>
        <w:shd w:val="clear"/>
        <w:bidi w:val="0"/>
        <w:spacing w:line="240" w:lineRule="auto"/>
        <w:rPr>
          <w:rFonts w:hint="eastAsia" w:ascii="仿宋" w:hAnsi="仿宋" w:eastAsia="仿宋" w:cs="仿宋"/>
          <w:b/>
          <w:color w:val="auto"/>
          <w:szCs w:val="30"/>
          <w:highlight w:val="none"/>
        </w:rPr>
      </w:pPr>
      <w:r>
        <w:rPr>
          <w:rFonts w:hint="eastAsia" w:ascii="仿宋" w:hAnsi="仿宋" w:eastAsia="仿宋" w:cs="仿宋"/>
          <w:color w:val="auto"/>
          <w:highlight w:val="none"/>
        </w:rPr>
        <w:t>3．对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r>
        <w:rPr>
          <w:rFonts w:hint="eastAsia" w:ascii="仿宋" w:hAnsi="仿宋" w:eastAsia="仿宋" w:cs="仿宋"/>
          <w:b w:val="0"/>
          <w:bCs/>
          <w:color w:val="auto"/>
          <w:szCs w:val="24"/>
          <w:highlight w:val="none"/>
        </w:rPr>
        <w:br w:type="page"/>
      </w:r>
    </w:p>
    <w:p w14:paraId="74195B4F">
      <w:pPr>
        <w:shd w:val="clea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30"/>
          <w:szCs w:val="30"/>
          <w:highlight w:val="none"/>
        </w:rPr>
        <w:t>附表二 符合性审查表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484"/>
        <w:gridCol w:w="5221"/>
        <w:gridCol w:w="1586"/>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F399A88">
            <w:pPr>
              <w:pStyle w:val="2"/>
              <w:shd w:val="clear"/>
              <w:tabs>
                <w:tab w:val="left" w:pos="567"/>
              </w:tabs>
              <w:spacing w:before="0" w:line="24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1512" w:type="dxa"/>
            <w:noWrap w:val="0"/>
            <w:vAlign w:val="center"/>
          </w:tcPr>
          <w:p w14:paraId="72220560">
            <w:pPr>
              <w:pStyle w:val="2"/>
              <w:shd w:val="clear"/>
              <w:tabs>
                <w:tab w:val="left" w:pos="567"/>
              </w:tabs>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审查</w:t>
            </w:r>
            <w:r>
              <w:rPr>
                <w:rFonts w:hint="eastAsia" w:ascii="仿宋" w:hAnsi="仿宋" w:eastAsia="仿宋" w:cs="仿宋"/>
                <w:b/>
                <w:bCs/>
                <w:color w:val="auto"/>
                <w:highlight w:val="none"/>
                <w:lang w:val="en-US" w:eastAsia="zh-CN"/>
              </w:rPr>
              <w:t>要素</w:t>
            </w:r>
          </w:p>
        </w:tc>
        <w:tc>
          <w:tcPr>
            <w:tcW w:w="5370" w:type="dxa"/>
            <w:noWrap w:val="0"/>
            <w:vAlign w:val="center"/>
          </w:tcPr>
          <w:p w14:paraId="6180ABC1">
            <w:pPr>
              <w:pStyle w:val="2"/>
              <w:shd w:val="clear"/>
              <w:tabs>
                <w:tab w:val="left" w:pos="567"/>
              </w:tabs>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审查标准</w:t>
            </w:r>
          </w:p>
        </w:tc>
        <w:tc>
          <w:tcPr>
            <w:tcW w:w="1623" w:type="dxa"/>
            <w:noWrap w:val="0"/>
            <w:vAlign w:val="center"/>
          </w:tcPr>
          <w:p w14:paraId="6F977F19">
            <w:pPr>
              <w:pStyle w:val="2"/>
              <w:shd w:val="clear"/>
              <w:tabs>
                <w:tab w:val="left" w:pos="567"/>
              </w:tabs>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highlight w:val="none"/>
              </w:rPr>
            </w:pPr>
          </w:p>
        </w:tc>
        <w:tc>
          <w:tcPr>
            <w:tcW w:w="1512" w:type="dxa"/>
            <w:noWrap w:val="0"/>
            <w:vAlign w:val="center"/>
          </w:tcPr>
          <w:p w14:paraId="36F14745">
            <w:pPr>
              <w:pStyle w:val="2"/>
              <w:shd w:val="clear"/>
              <w:tabs>
                <w:tab w:val="left" w:pos="567"/>
              </w:tabs>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响应文件</w:t>
            </w:r>
            <w:r>
              <w:rPr>
                <w:rFonts w:hint="eastAsia" w:ascii="仿宋" w:hAnsi="仿宋" w:eastAsia="仿宋" w:cs="仿宋"/>
                <w:color w:val="auto"/>
                <w:highlight w:val="none"/>
              </w:rPr>
              <w:t>签署、盖章</w:t>
            </w:r>
          </w:p>
        </w:tc>
        <w:tc>
          <w:tcPr>
            <w:tcW w:w="5370" w:type="dxa"/>
            <w:noWrap w:val="0"/>
            <w:vAlign w:val="center"/>
          </w:tcPr>
          <w:p w14:paraId="57FF0C66">
            <w:pPr>
              <w:pStyle w:val="2"/>
              <w:shd w:val="clear"/>
              <w:tabs>
                <w:tab w:val="left" w:pos="567"/>
              </w:tabs>
              <w:spacing w:line="24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文件按</w:t>
            </w:r>
            <w:r>
              <w:rPr>
                <w:rFonts w:hint="eastAsia" w:ascii="仿宋" w:hAnsi="仿宋" w:eastAsia="仿宋" w:cs="仿宋"/>
                <w:color w:val="auto"/>
                <w:highlight w:val="none"/>
                <w:lang w:val="en-US" w:eastAsia="zh-CN"/>
              </w:rPr>
              <w:t>采购</w:t>
            </w:r>
            <w:r>
              <w:rPr>
                <w:rFonts w:hint="eastAsia" w:ascii="仿宋" w:hAnsi="仿宋" w:eastAsia="仿宋" w:cs="仿宋"/>
                <w:color w:val="auto"/>
                <w:highlight w:val="none"/>
              </w:rPr>
              <w:t>文件要求签署、盖章</w:t>
            </w:r>
          </w:p>
        </w:tc>
        <w:tc>
          <w:tcPr>
            <w:tcW w:w="1623" w:type="dxa"/>
            <w:noWrap w:val="0"/>
            <w:vAlign w:val="center"/>
          </w:tcPr>
          <w:p w14:paraId="247766F3">
            <w:pPr>
              <w:pStyle w:val="2"/>
              <w:shd w:val="clear"/>
              <w:tabs>
                <w:tab w:val="left" w:pos="567"/>
              </w:tabs>
              <w:spacing w:line="240" w:lineRule="auto"/>
              <w:rPr>
                <w:rFonts w:hint="eastAsia" w:ascii="仿宋" w:hAnsi="仿宋" w:eastAsia="仿宋" w:cs="仿宋"/>
                <w:color w:val="auto"/>
                <w:highlight w:val="none"/>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kern w:val="2"/>
                <w:sz w:val="24"/>
                <w:szCs w:val="24"/>
                <w:highlight w:val="none"/>
                <w:lang w:val="en-US" w:eastAsia="zh-CN" w:bidi="ar-SA"/>
              </w:rPr>
            </w:pPr>
          </w:p>
        </w:tc>
        <w:tc>
          <w:tcPr>
            <w:tcW w:w="1512" w:type="dxa"/>
            <w:noWrap w:val="0"/>
            <w:vAlign w:val="center"/>
          </w:tcPr>
          <w:p w14:paraId="13AA783F">
            <w:pPr>
              <w:pStyle w:val="2"/>
              <w:shd w:val="clear"/>
              <w:tabs>
                <w:tab w:val="left" w:pos="567"/>
              </w:tabs>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响应文件有效期</w:t>
            </w:r>
          </w:p>
        </w:tc>
        <w:tc>
          <w:tcPr>
            <w:tcW w:w="5370" w:type="dxa"/>
            <w:noWrap w:val="0"/>
            <w:vAlign w:val="center"/>
          </w:tcPr>
          <w:p w14:paraId="505C6016">
            <w:pPr>
              <w:pStyle w:val="2"/>
              <w:shd w:val="clear"/>
              <w:tabs>
                <w:tab w:val="left" w:pos="567"/>
              </w:tabs>
              <w:spacing w:line="24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响应文件有效期</w:t>
            </w:r>
            <w:r>
              <w:rPr>
                <w:rFonts w:hint="eastAsia" w:ascii="仿宋" w:hAnsi="仿宋" w:eastAsia="仿宋" w:cs="仿宋"/>
                <w:color w:val="auto"/>
                <w:highlight w:val="none"/>
              </w:rPr>
              <w:t>有效期</w:t>
            </w:r>
            <w:r>
              <w:rPr>
                <w:rFonts w:hint="eastAsia" w:ascii="仿宋" w:hAnsi="仿宋" w:eastAsia="仿宋" w:cs="仿宋"/>
                <w:color w:val="auto"/>
                <w:highlight w:val="none"/>
                <w:lang w:val="en-US" w:eastAsia="zh-CN"/>
              </w:rPr>
              <w:t>满足采购</w:t>
            </w:r>
            <w:r>
              <w:rPr>
                <w:rFonts w:hint="eastAsia" w:ascii="仿宋" w:hAnsi="仿宋" w:eastAsia="仿宋" w:cs="仿宋"/>
                <w:color w:val="auto"/>
                <w:highlight w:val="none"/>
              </w:rPr>
              <w:t>文件要求</w:t>
            </w:r>
          </w:p>
        </w:tc>
        <w:tc>
          <w:tcPr>
            <w:tcW w:w="1623" w:type="dxa"/>
            <w:noWrap w:val="0"/>
            <w:vAlign w:val="center"/>
          </w:tcPr>
          <w:p w14:paraId="5A4636F4">
            <w:pPr>
              <w:pStyle w:val="2"/>
              <w:shd w:val="clear"/>
              <w:tabs>
                <w:tab w:val="left" w:pos="567"/>
              </w:tabs>
              <w:spacing w:line="240" w:lineRule="auto"/>
              <w:rPr>
                <w:rFonts w:hint="eastAsia" w:ascii="仿宋" w:hAnsi="仿宋" w:eastAsia="仿宋" w:cs="仿宋"/>
                <w:color w:val="auto"/>
                <w:highlight w:val="none"/>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kern w:val="2"/>
                <w:sz w:val="24"/>
                <w:szCs w:val="24"/>
                <w:highlight w:val="none"/>
                <w:lang w:val="en-US" w:eastAsia="zh-CN" w:bidi="ar-SA"/>
              </w:rPr>
            </w:pPr>
          </w:p>
        </w:tc>
        <w:tc>
          <w:tcPr>
            <w:tcW w:w="1512" w:type="dxa"/>
            <w:noWrap w:val="0"/>
            <w:vAlign w:val="center"/>
          </w:tcPr>
          <w:p w14:paraId="60C7E43E">
            <w:pPr>
              <w:pStyle w:val="2"/>
              <w:shd w:val="clear"/>
              <w:tabs>
                <w:tab w:val="left" w:pos="567"/>
              </w:tabs>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首次磋商</w:t>
            </w:r>
            <w:r>
              <w:rPr>
                <w:rFonts w:hint="eastAsia" w:ascii="仿宋" w:hAnsi="仿宋" w:eastAsia="仿宋" w:cs="仿宋"/>
                <w:color w:val="auto"/>
                <w:highlight w:val="none"/>
              </w:rPr>
              <w:t>报价</w:t>
            </w:r>
          </w:p>
        </w:tc>
        <w:tc>
          <w:tcPr>
            <w:tcW w:w="5370" w:type="dxa"/>
            <w:noWrap w:val="0"/>
            <w:vAlign w:val="center"/>
          </w:tcPr>
          <w:p w14:paraId="39890C7A">
            <w:pPr>
              <w:pStyle w:val="2"/>
              <w:shd w:val="clear"/>
              <w:tabs>
                <w:tab w:val="left" w:pos="567"/>
              </w:tabs>
              <w:spacing w:before="0" w:line="24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供应商首次磋商</w:t>
            </w:r>
            <w:r>
              <w:rPr>
                <w:rFonts w:hint="eastAsia" w:ascii="仿宋" w:hAnsi="仿宋" w:eastAsia="仿宋" w:cs="仿宋"/>
                <w:color w:val="auto"/>
                <w:highlight w:val="none"/>
              </w:rPr>
              <w:t>报价</w:t>
            </w:r>
            <w:r>
              <w:rPr>
                <w:rFonts w:hint="eastAsia" w:ascii="仿宋" w:hAnsi="仿宋" w:eastAsia="仿宋" w:cs="仿宋"/>
                <w:color w:val="auto"/>
                <w:highlight w:val="none"/>
                <w:lang w:val="en-US" w:eastAsia="zh-CN"/>
              </w:rPr>
              <w:t>没有</w:t>
            </w:r>
            <w:r>
              <w:rPr>
                <w:rFonts w:hint="eastAsia" w:ascii="仿宋" w:hAnsi="仿宋" w:eastAsia="仿宋" w:cs="仿宋"/>
                <w:color w:val="auto"/>
                <w:highlight w:val="none"/>
              </w:rPr>
              <w:t>超出采购预算或最高限价</w:t>
            </w:r>
          </w:p>
        </w:tc>
        <w:tc>
          <w:tcPr>
            <w:tcW w:w="1623" w:type="dxa"/>
            <w:noWrap w:val="0"/>
            <w:vAlign w:val="center"/>
          </w:tcPr>
          <w:p w14:paraId="089CE0B7">
            <w:pPr>
              <w:pStyle w:val="2"/>
              <w:shd w:val="clear"/>
              <w:tabs>
                <w:tab w:val="left" w:pos="567"/>
              </w:tabs>
              <w:spacing w:before="0" w:line="240" w:lineRule="auto"/>
              <w:rPr>
                <w:rFonts w:hint="eastAsia" w:ascii="仿宋" w:hAnsi="仿宋" w:eastAsia="仿宋" w:cs="仿宋"/>
                <w:color w:val="auto"/>
                <w:highlight w:val="none"/>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kern w:val="2"/>
                <w:sz w:val="24"/>
                <w:szCs w:val="24"/>
                <w:highlight w:val="none"/>
                <w:lang w:val="en-US" w:eastAsia="zh-CN" w:bidi="ar-SA"/>
              </w:rPr>
            </w:pPr>
          </w:p>
        </w:tc>
        <w:tc>
          <w:tcPr>
            <w:tcW w:w="1512" w:type="dxa"/>
            <w:noWrap w:val="0"/>
            <w:vAlign w:val="center"/>
          </w:tcPr>
          <w:p w14:paraId="7F777C75">
            <w:pPr>
              <w:pStyle w:val="2"/>
              <w:shd w:val="clear"/>
              <w:tabs>
                <w:tab w:val="left" w:pos="567"/>
              </w:tabs>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预防不正当竞争</w:t>
            </w:r>
          </w:p>
        </w:tc>
        <w:tc>
          <w:tcPr>
            <w:tcW w:w="5370" w:type="dxa"/>
            <w:noWrap w:val="0"/>
            <w:vAlign w:val="center"/>
          </w:tcPr>
          <w:p w14:paraId="729F9770">
            <w:pPr>
              <w:pStyle w:val="2"/>
              <w:shd w:val="clear"/>
              <w:tabs>
                <w:tab w:val="left" w:pos="567"/>
              </w:tabs>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的报价</w:t>
            </w:r>
            <w:r>
              <w:rPr>
                <w:rFonts w:hint="eastAsia" w:ascii="仿宋" w:hAnsi="仿宋" w:eastAsia="仿宋" w:cs="仿宋"/>
                <w:color w:val="auto"/>
                <w:highlight w:val="none"/>
                <w:lang w:val="en-US" w:eastAsia="zh-CN"/>
              </w:rPr>
              <w:t>不存在</w:t>
            </w:r>
            <w:r>
              <w:rPr>
                <w:rFonts w:hint="eastAsia" w:ascii="仿宋" w:hAnsi="仿宋" w:eastAsia="仿宋" w:cs="仿宋"/>
                <w:color w:val="auto"/>
                <w:highlight w:val="none"/>
              </w:rPr>
              <w:t>明显低于其他通过符合性审查投标人的报价，有可能影响产品质量或者不能诚信履约的，且</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不能证明其报价合理性的</w:t>
            </w:r>
            <w:r>
              <w:rPr>
                <w:rFonts w:hint="eastAsia" w:ascii="仿宋" w:hAnsi="仿宋" w:eastAsia="仿宋" w:cs="仿宋"/>
                <w:color w:val="auto"/>
                <w:highlight w:val="none"/>
                <w:lang w:val="en-US" w:eastAsia="zh-CN"/>
              </w:rPr>
              <w:t>情况</w:t>
            </w:r>
          </w:p>
        </w:tc>
        <w:tc>
          <w:tcPr>
            <w:tcW w:w="1623" w:type="dxa"/>
            <w:noWrap w:val="0"/>
            <w:vAlign w:val="center"/>
          </w:tcPr>
          <w:p w14:paraId="2E5FB07A">
            <w:pPr>
              <w:pStyle w:val="2"/>
              <w:shd w:val="clear"/>
              <w:tabs>
                <w:tab w:val="left" w:pos="567"/>
              </w:tabs>
              <w:spacing w:before="0" w:line="240" w:lineRule="auto"/>
              <w:rPr>
                <w:rFonts w:hint="eastAsia" w:ascii="仿宋" w:hAnsi="仿宋" w:eastAsia="仿宋" w:cs="仿宋"/>
                <w:color w:val="auto"/>
                <w:highlight w:val="none"/>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780" w:type="dxa"/>
            <w:noWrap w:val="0"/>
            <w:vAlign w:val="center"/>
          </w:tcPr>
          <w:p w14:paraId="6D11404E">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kern w:val="2"/>
                <w:sz w:val="24"/>
                <w:szCs w:val="24"/>
                <w:highlight w:val="none"/>
                <w:lang w:val="en-US" w:eastAsia="zh-CN" w:bidi="ar-SA"/>
              </w:rPr>
            </w:pPr>
          </w:p>
        </w:tc>
        <w:tc>
          <w:tcPr>
            <w:tcW w:w="1512" w:type="dxa"/>
            <w:noWrap w:val="0"/>
            <w:vAlign w:val="center"/>
          </w:tcPr>
          <w:p w14:paraId="3F37C7F9">
            <w:pPr>
              <w:pStyle w:val="2"/>
              <w:shd w:val="clear"/>
              <w:tabs>
                <w:tab w:val="left" w:pos="567"/>
              </w:tabs>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内容</w:t>
            </w:r>
          </w:p>
        </w:tc>
        <w:tc>
          <w:tcPr>
            <w:tcW w:w="5370" w:type="dxa"/>
            <w:noWrap w:val="0"/>
            <w:vAlign w:val="center"/>
          </w:tcPr>
          <w:p w14:paraId="5EDD4036">
            <w:pPr>
              <w:pStyle w:val="2"/>
              <w:shd w:val="clear"/>
              <w:tabs>
                <w:tab w:val="left" w:pos="567"/>
              </w:tabs>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内容</w:t>
            </w:r>
            <w:r>
              <w:rPr>
                <w:rFonts w:hint="eastAsia" w:ascii="仿宋" w:hAnsi="仿宋" w:eastAsia="仿宋" w:cs="仿宋"/>
                <w:color w:val="auto"/>
                <w:highlight w:val="none"/>
                <w:lang w:val="en-US" w:eastAsia="zh-CN"/>
              </w:rPr>
              <w:t>不存在</w:t>
            </w:r>
            <w:r>
              <w:rPr>
                <w:rFonts w:hint="eastAsia" w:ascii="仿宋" w:hAnsi="仿宋" w:eastAsia="仿宋" w:cs="仿宋"/>
                <w:color w:val="auto"/>
                <w:highlight w:val="none"/>
              </w:rPr>
              <w:t>漏项或数量与要求不符</w:t>
            </w:r>
            <w:r>
              <w:rPr>
                <w:rFonts w:hint="eastAsia" w:ascii="仿宋" w:hAnsi="仿宋" w:eastAsia="仿宋" w:cs="仿宋"/>
                <w:color w:val="auto"/>
                <w:highlight w:val="none"/>
                <w:lang w:val="en-US" w:eastAsia="zh-CN"/>
              </w:rPr>
              <w:t>合采购文件规定情形，响应</w:t>
            </w:r>
            <w:r>
              <w:rPr>
                <w:rFonts w:hint="eastAsia" w:ascii="仿宋" w:hAnsi="仿宋" w:eastAsia="仿宋" w:cs="仿宋"/>
                <w:color w:val="auto"/>
                <w:highlight w:val="none"/>
              </w:rPr>
              <w:t>内容</w:t>
            </w:r>
            <w:r>
              <w:rPr>
                <w:rFonts w:hint="eastAsia" w:ascii="仿宋" w:hAnsi="仿宋" w:eastAsia="仿宋" w:cs="仿宋"/>
                <w:color w:val="auto"/>
                <w:highlight w:val="none"/>
                <w:lang w:val="en-US" w:eastAsia="zh-CN"/>
              </w:rPr>
              <w:t>满足采购</w:t>
            </w:r>
            <w:r>
              <w:rPr>
                <w:rFonts w:hint="eastAsia" w:ascii="仿宋" w:hAnsi="仿宋" w:eastAsia="仿宋" w:cs="仿宋"/>
                <w:color w:val="auto"/>
                <w:highlight w:val="none"/>
              </w:rPr>
              <w:t>文件的商务</w:t>
            </w:r>
            <w:r>
              <w:rPr>
                <w:rFonts w:hint="eastAsia" w:ascii="仿宋" w:hAnsi="仿宋" w:eastAsia="仿宋" w:cs="仿宋"/>
                <w:color w:val="auto"/>
                <w:highlight w:val="none"/>
                <w:lang w:val="en-US" w:eastAsia="zh-CN"/>
              </w:rPr>
              <w:t>要求</w:t>
            </w:r>
            <w:r>
              <w:rPr>
                <w:rFonts w:hint="eastAsia" w:ascii="仿宋" w:hAnsi="仿宋" w:eastAsia="仿宋" w:cs="仿宋"/>
                <w:color w:val="auto"/>
                <w:highlight w:val="none"/>
              </w:rPr>
              <w:t>、技术实质性要求</w:t>
            </w:r>
          </w:p>
        </w:tc>
        <w:tc>
          <w:tcPr>
            <w:tcW w:w="1623" w:type="dxa"/>
            <w:noWrap w:val="0"/>
            <w:vAlign w:val="center"/>
          </w:tcPr>
          <w:p w14:paraId="443339FC">
            <w:pPr>
              <w:pStyle w:val="2"/>
              <w:shd w:val="clear"/>
              <w:tabs>
                <w:tab w:val="left" w:pos="567"/>
              </w:tabs>
              <w:spacing w:before="0" w:line="240" w:lineRule="auto"/>
              <w:rPr>
                <w:rFonts w:hint="eastAsia" w:ascii="仿宋" w:hAnsi="仿宋" w:eastAsia="仿宋" w:cs="仿宋"/>
                <w:color w:val="auto"/>
                <w:highlight w:val="none"/>
              </w:rPr>
            </w:pPr>
          </w:p>
        </w:tc>
      </w:tr>
      <w:tr w14:paraId="71BE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AD97733">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highlight w:val="none"/>
                <w:lang w:val="en-US" w:eastAsia="zh-CN"/>
              </w:rPr>
            </w:pPr>
          </w:p>
        </w:tc>
        <w:tc>
          <w:tcPr>
            <w:tcW w:w="1512" w:type="dxa"/>
            <w:noWrap w:val="0"/>
            <w:vAlign w:val="center"/>
          </w:tcPr>
          <w:p w14:paraId="0EA245D3">
            <w:pPr>
              <w:pStyle w:val="2"/>
              <w:shd w:val="clear"/>
              <w:tabs>
                <w:tab w:val="left" w:pos="567"/>
              </w:tabs>
              <w:spacing w:before="0"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项目经理</w:t>
            </w:r>
          </w:p>
        </w:tc>
        <w:tc>
          <w:tcPr>
            <w:tcW w:w="5370" w:type="dxa"/>
            <w:noWrap w:val="0"/>
            <w:vAlign w:val="center"/>
          </w:tcPr>
          <w:p w14:paraId="10E66A06">
            <w:pPr>
              <w:pStyle w:val="2"/>
              <w:shd w:val="clear"/>
              <w:tabs>
                <w:tab w:val="left" w:pos="567"/>
              </w:tabs>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提供近三个月内的本单位社保缴纳证明</w:t>
            </w:r>
          </w:p>
        </w:tc>
        <w:tc>
          <w:tcPr>
            <w:tcW w:w="1623" w:type="dxa"/>
            <w:noWrap w:val="0"/>
            <w:vAlign w:val="center"/>
          </w:tcPr>
          <w:p w14:paraId="454B2E21">
            <w:pPr>
              <w:pStyle w:val="2"/>
              <w:shd w:val="clear"/>
              <w:tabs>
                <w:tab w:val="left" w:pos="567"/>
              </w:tabs>
              <w:spacing w:before="0" w:line="240" w:lineRule="auto"/>
              <w:rPr>
                <w:rFonts w:hint="eastAsia" w:ascii="仿宋" w:hAnsi="仿宋" w:eastAsia="仿宋" w:cs="仿宋"/>
                <w:color w:val="auto"/>
                <w:highlight w:val="none"/>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highlight w:val="none"/>
                <w:lang w:val="en-US" w:eastAsia="zh-CN"/>
              </w:rPr>
            </w:pPr>
          </w:p>
        </w:tc>
        <w:tc>
          <w:tcPr>
            <w:tcW w:w="1512" w:type="dxa"/>
            <w:noWrap w:val="0"/>
            <w:vAlign w:val="center"/>
          </w:tcPr>
          <w:p w14:paraId="42E04C69">
            <w:pPr>
              <w:pStyle w:val="2"/>
              <w:shd w:val="clear"/>
              <w:tabs>
                <w:tab w:val="left" w:pos="567"/>
              </w:tabs>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附加条件</w:t>
            </w:r>
          </w:p>
        </w:tc>
        <w:tc>
          <w:tcPr>
            <w:tcW w:w="5370" w:type="dxa"/>
            <w:noWrap w:val="0"/>
            <w:vAlign w:val="center"/>
          </w:tcPr>
          <w:p w14:paraId="47F04670">
            <w:pPr>
              <w:pStyle w:val="2"/>
              <w:shd w:val="clear"/>
              <w:tabs>
                <w:tab w:val="left" w:pos="567"/>
              </w:tabs>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响应文件不含有采购人不能接受的附加条件</w:t>
            </w:r>
          </w:p>
        </w:tc>
        <w:tc>
          <w:tcPr>
            <w:tcW w:w="1623" w:type="dxa"/>
            <w:noWrap w:val="0"/>
            <w:vAlign w:val="center"/>
          </w:tcPr>
          <w:p w14:paraId="4BF0EFCD">
            <w:pPr>
              <w:pStyle w:val="2"/>
              <w:shd w:val="clear"/>
              <w:tabs>
                <w:tab w:val="left" w:pos="567"/>
              </w:tabs>
              <w:spacing w:before="0" w:line="240" w:lineRule="auto"/>
              <w:rPr>
                <w:rFonts w:hint="eastAsia" w:ascii="仿宋" w:hAnsi="仿宋" w:eastAsia="仿宋" w:cs="仿宋"/>
                <w:color w:val="auto"/>
                <w:highlight w:val="none"/>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kern w:val="2"/>
                <w:sz w:val="21"/>
                <w:szCs w:val="24"/>
                <w:highlight w:val="none"/>
                <w:lang w:val="en-US" w:eastAsia="zh-CN" w:bidi="ar-SA"/>
              </w:rPr>
            </w:pPr>
          </w:p>
        </w:tc>
        <w:tc>
          <w:tcPr>
            <w:tcW w:w="1512" w:type="dxa"/>
            <w:shd w:val="clear" w:color="auto" w:fill="auto"/>
            <w:noWrap w:val="0"/>
            <w:vAlign w:val="center"/>
          </w:tcPr>
          <w:p w14:paraId="7C826444">
            <w:pPr>
              <w:pStyle w:val="2"/>
              <w:shd w:val="clear"/>
              <w:tabs>
                <w:tab w:val="left" w:pos="567"/>
              </w:tabs>
              <w:spacing w:before="0" w:line="240" w:lineRule="auto"/>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highlight w:val="none"/>
                <w:lang w:val="en-US" w:eastAsia="zh-CN"/>
              </w:rPr>
              <w:t>公平竞争</w:t>
            </w:r>
          </w:p>
        </w:tc>
        <w:tc>
          <w:tcPr>
            <w:tcW w:w="5370" w:type="dxa"/>
            <w:shd w:val="clear" w:color="auto" w:fill="auto"/>
            <w:noWrap w:val="0"/>
            <w:vAlign w:val="center"/>
          </w:tcPr>
          <w:p w14:paraId="41838431">
            <w:pPr>
              <w:pStyle w:val="2"/>
              <w:shd w:val="clear"/>
              <w:tabs>
                <w:tab w:val="left" w:pos="567"/>
              </w:tabs>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rPr>
              <w:t>遵循公平竞争的原则，没有弄虚作假、恶意串通或妨碍其他投标人的竞争行为，损害采购人或者其他投标人的合法权益。</w:t>
            </w:r>
          </w:p>
          <w:p w14:paraId="53A5BB2F">
            <w:pPr>
              <w:pStyle w:val="2"/>
              <w:shd w:val="clear"/>
              <w:tabs>
                <w:tab w:val="left" w:pos="567"/>
              </w:tabs>
              <w:spacing w:before="0" w:line="240" w:lineRule="auto"/>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rPr>
              <w:t>弄虚作假、串通投标的情形见附注</w:t>
            </w:r>
            <w:r>
              <w:rPr>
                <w:rFonts w:hint="eastAsia" w:ascii="仿宋" w:hAnsi="仿宋" w:eastAsia="仿宋" w:cs="仿宋"/>
                <w:color w:val="auto"/>
                <w:highlight w:val="none"/>
                <w:lang w:eastAsia="zh-CN"/>
              </w:rPr>
              <w:t>）</w:t>
            </w:r>
          </w:p>
        </w:tc>
        <w:tc>
          <w:tcPr>
            <w:tcW w:w="1623" w:type="dxa"/>
            <w:noWrap w:val="0"/>
            <w:vAlign w:val="center"/>
          </w:tcPr>
          <w:p w14:paraId="5B48FD73">
            <w:pPr>
              <w:pStyle w:val="2"/>
              <w:shd w:val="clear"/>
              <w:tabs>
                <w:tab w:val="left" w:pos="567"/>
              </w:tabs>
              <w:spacing w:before="0" w:line="240" w:lineRule="auto"/>
              <w:rPr>
                <w:rFonts w:hint="eastAsia" w:ascii="仿宋" w:hAnsi="仿宋" w:eastAsia="仿宋" w:cs="仿宋"/>
                <w:color w:val="auto"/>
                <w:highlight w:val="none"/>
              </w:rPr>
            </w:pPr>
          </w:p>
        </w:tc>
      </w:tr>
      <w:tr w14:paraId="57FD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09FA0231">
            <w:pPr>
              <w:pStyle w:val="2"/>
              <w:numPr>
                <w:ilvl w:val="0"/>
                <w:numId w:val="13"/>
              </w:numPr>
              <w:shd w:val="clear"/>
              <w:tabs>
                <w:tab w:val="left" w:pos="567"/>
              </w:tabs>
              <w:spacing w:before="0" w:line="240" w:lineRule="auto"/>
              <w:ind w:left="425" w:leftChars="0" w:hanging="425" w:firstLineChars="0"/>
              <w:jc w:val="center"/>
              <w:rPr>
                <w:rFonts w:hint="eastAsia" w:ascii="仿宋" w:hAnsi="仿宋" w:eastAsia="仿宋" w:cs="仿宋"/>
                <w:color w:val="auto"/>
                <w:highlight w:val="none"/>
                <w:lang w:val="en-US" w:eastAsia="zh-CN"/>
              </w:rPr>
            </w:pPr>
          </w:p>
        </w:tc>
        <w:tc>
          <w:tcPr>
            <w:tcW w:w="1512" w:type="dxa"/>
            <w:noWrap w:val="0"/>
            <w:vAlign w:val="center"/>
          </w:tcPr>
          <w:p w14:paraId="1AC9C1BC">
            <w:pPr>
              <w:pStyle w:val="2"/>
              <w:shd w:val="clear"/>
              <w:tabs>
                <w:tab w:val="left" w:pos="567"/>
              </w:tabs>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其它</w:t>
            </w:r>
          </w:p>
        </w:tc>
        <w:tc>
          <w:tcPr>
            <w:tcW w:w="5370" w:type="dxa"/>
            <w:noWrap w:val="0"/>
            <w:vAlign w:val="center"/>
          </w:tcPr>
          <w:p w14:paraId="4C95503A">
            <w:pPr>
              <w:pStyle w:val="2"/>
              <w:shd w:val="clear"/>
              <w:tabs>
                <w:tab w:val="left" w:pos="567"/>
              </w:tabs>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不</w:t>
            </w:r>
            <w:r>
              <w:rPr>
                <w:rFonts w:hint="eastAsia" w:ascii="仿宋" w:hAnsi="仿宋" w:eastAsia="仿宋" w:cs="仿宋"/>
                <w:color w:val="auto"/>
                <w:highlight w:val="none"/>
              </w:rPr>
              <w:t>存在其它不符合法律法规或</w:t>
            </w:r>
            <w:r>
              <w:rPr>
                <w:rFonts w:hint="eastAsia" w:ascii="仿宋" w:hAnsi="仿宋" w:eastAsia="仿宋" w:cs="仿宋"/>
                <w:color w:val="auto"/>
                <w:highlight w:val="none"/>
                <w:lang w:val="en-US" w:eastAsia="zh-CN"/>
              </w:rPr>
              <w:t>采购</w:t>
            </w:r>
            <w:r>
              <w:rPr>
                <w:rFonts w:hint="eastAsia" w:ascii="仿宋" w:hAnsi="仿宋" w:eastAsia="仿宋" w:cs="仿宋"/>
                <w:color w:val="auto"/>
                <w:highlight w:val="none"/>
              </w:rPr>
              <w:t>文件规定的</w:t>
            </w: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无效条款</w:t>
            </w:r>
            <w:r>
              <w:rPr>
                <w:rFonts w:hint="eastAsia" w:ascii="仿宋" w:hAnsi="仿宋" w:eastAsia="仿宋" w:cs="仿宋"/>
                <w:color w:val="auto"/>
                <w:highlight w:val="none"/>
                <w:lang w:eastAsia="zh-CN"/>
              </w:rPr>
              <w:t>的</w:t>
            </w:r>
            <w:r>
              <w:rPr>
                <w:rFonts w:hint="eastAsia" w:ascii="仿宋" w:hAnsi="仿宋" w:eastAsia="仿宋" w:cs="仿宋"/>
                <w:color w:val="auto"/>
                <w:highlight w:val="none"/>
                <w:lang w:val="en-US" w:eastAsia="zh-CN"/>
              </w:rPr>
              <w:t>情形</w:t>
            </w:r>
          </w:p>
        </w:tc>
        <w:tc>
          <w:tcPr>
            <w:tcW w:w="1623" w:type="dxa"/>
            <w:noWrap w:val="0"/>
            <w:vAlign w:val="center"/>
          </w:tcPr>
          <w:p w14:paraId="47C96FE9">
            <w:pPr>
              <w:pStyle w:val="2"/>
              <w:shd w:val="clear"/>
              <w:tabs>
                <w:tab w:val="left" w:pos="567"/>
              </w:tabs>
              <w:spacing w:before="0" w:line="240" w:lineRule="auto"/>
              <w:rPr>
                <w:rFonts w:hint="eastAsia" w:ascii="仿宋" w:hAnsi="仿宋" w:eastAsia="仿宋" w:cs="仿宋"/>
                <w:color w:val="auto"/>
                <w:highlight w:val="none"/>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
              <w:shd w:val="clear"/>
              <w:tabs>
                <w:tab w:val="left" w:pos="567"/>
              </w:tabs>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审查结论</w:t>
            </w:r>
          </w:p>
        </w:tc>
        <w:tc>
          <w:tcPr>
            <w:tcW w:w="6993" w:type="dxa"/>
            <w:gridSpan w:val="2"/>
            <w:noWrap w:val="0"/>
            <w:vAlign w:val="center"/>
          </w:tcPr>
          <w:p w14:paraId="31BD246F">
            <w:pPr>
              <w:pStyle w:val="2"/>
              <w:shd w:val="clear"/>
              <w:tabs>
                <w:tab w:val="left" w:pos="567"/>
              </w:tabs>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
              <w:shd w:val="clear"/>
              <w:tabs>
                <w:tab w:val="left" w:pos="567"/>
              </w:tabs>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不通过原因说明</w:t>
            </w:r>
          </w:p>
        </w:tc>
        <w:tc>
          <w:tcPr>
            <w:tcW w:w="6993" w:type="dxa"/>
            <w:gridSpan w:val="2"/>
            <w:noWrap w:val="0"/>
            <w:vAlign w:val="center"/>
          </w:tcPr>
          <w:p w14:paraId="3210DD4A">
            <w:pPr>
              <w:pStyle w:val="2"/>
              <w:shd w:val="clear"/>
              <w:tabs>
                <w:tab w:val="left" w:pos="567"/>
              </w:tabs>
              <w:spacing w:before="0" w:line="240" w:lineRule="auto"/>
              <w:rPr>
                <w:rFonts w:hint="eastAsia" w:ascii="仿宋" w:hAnsi="仿宋" w:eastAsia="仿宋" w:cs="仿宋"/>
                <w:color w:val="auto"/>
                <w:highlight w:val="none"/>
              </w:rPr>
            </w:pPr>
          </w:p>
        </w:tc>
      </w:tr>
    </w:tbl>
    <w:p w14:paraId="2695907C">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p>
    <w:p w14:paraId="33849080">
      <w:pPr>
        <w:pStyle w:val="2"/>
        <w:shd w:val="clear"/>
        <w:tabs>
          <w:tab w:val="left" w:pos="567"/>
        </w:tabs>
        <w:bidi w:val="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注：</w:t>
      </w:r>
    </w:p>
    <w:p w14:paraId="2DE9089C">
      <w:pPr>
        <w:pStyle w:val="2"/>
        <w:shd w:val="clear"/>
        <w:tabs>
          <w:tab w:val="left" w:pos="567"/>
        </w:tabs>
        <w:bidi w:val="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color w:val="auto"/>
          <w:highlight w:val="none"/>
        </w:rPr>
        <w:t>对投标</w:t>
      </w:r>
      <w:r>
        <w:rPr>
          <w:rFonts w:hint="eastAsia" w:ascii="仿宋" w:hAnsi="仿宋" w:eastAsia="仿宋" w:cs="仿宋"/>
          <w:color w:val="auto"/>
          <w:highlight w:val="none"/>
          <w:lang w:val="en-US" w:eastAsia="zh-CN"/>
        </w:rPr>
        <w:t>文件</w:t>
      </w:r>
      <w:r>
        <w:rPr>
          <w:rFonts w:hint="eastAsia" w:ascii="仿宋" w:hAnsi="仿宋" w:eastAsia="仿宋" w:cs="仿宋"/>
          <w:color w:val="auto"/>
          <w:highlight w:val="none"/>
        </w:rPr>
        <w:t>是否满足要求逐条标注</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，不进入后续评审</w:t>
      </w:r>
      <w:r>
        <w:rPr>
          <w:rFonts w:hint="eastAsia" w:ascii="仿宋" w:hAnsi="仿宋" w:eastAsia="仿宋" w:cs="仿宋"/>
          <w:color w:val="auto"/>
          <w:highlight w:val="none"/>
        </w:rPr>
        <w:t>；对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p>
    <w:p w14:paraId="6CA979E1">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2、有下列情形之一的，视为供应商相互串通：</w:t>
      </w:r>
    </w:p>
    <w:p w14:paraId="69C5EDCA">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（1）不同供应商的响应文件由同一单位或者个人编制；</w:t>
      </w:r>
    </w:p>
    <w:p w14:paraId="07A2A7EF">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（2）不同供应商委托同一单位或者个人办理参与磋商事宜；</w:t>
      </w:r>
    </w:p>
    <w:p w14:paraId="504C2AC6">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（3）不同供应商的响应文件载明的项目管理成员或者联系人员为同一人；</w:t>
      </w:r>
    </w:p>
    <w:p w14:paraId="1A229486">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（4）不同供应商的响应文件异常一致或者报价呈规律性差异；</w:t>
      </w:r>
    </w:p>
    <w:p w14:paraId="696C4793">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（5）不同供应商的响应文件相互混装；</w:t>
      </w:r>
    </w:p>
    <w:p w14:paraId="2A38FAB0">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3、有下列情形之一的，属于提供虚假材料谋取成交的行为：</w:t>
      </w:r>
    </w:p>
    <w:p w14:paraId="095237AD">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（1）使用伪造、变造的许可证件；</w:t>
      </w:r>
    </w:p>
    <w:p w14:paraId="58B2808D">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（2）提供虚假的财务状况或者业绩；</w:t>
      </w:r>
    </w:p>
    <w:p w14:paraId="3ED46F85">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（3）提供虚假的项目负责人或者主要技术人员简历、劳动关系证明；</w:t>
      </w:r>
    </w:p>
    <w:p w14:paraId="0F2B0388">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（4）提供虚假的信用状况；</w:t>
      </w:r>
    </w:p>
    <w:p w14:paraId="25DBD3DE">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（5）其他弄虚作假的行为。</w:t>
      </w:r>
    </w:p>
    <w:p w14:paraId="0AFDA97E">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4、</w:t>
      </w:r>
      <w:r>
        <w:rPr>
          <w:rFonts w:hint="eastAsia" w:ascii="仿宋" w:hAnsi="仿宋" w:eastAsia="仿宋" w:cs="仿宋"/>
          <w:bCs/>
          <w:color w:val="auto"/>
          <w:szCs w:val="21"/>
          <w:highlight w:val="none"/>
        </w:rPr>
        <w:t>如</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为提供服务所伴随的货物为政府强制采购的产品，</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所投产品应属于品目清单的强制采购部分。</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应提供有效期内的认证证书或相关证明，否则其</w:t>
      </w:r>
      <w:r>
        <w:rPr>
          <w:rFonts w:hint="eastAsia" w:ascii="仿宋" w:hAnsi="仿宋" w:eastAsia="仿宋" w:cs="仿宋"/>
          <w:bCs/>
          <w:color w:val="auto"/>
          <w:szCs w:val="21"/>
          <w:highlight w:val="none"/>
          <w:lang w:val="en-US" w:eastAsia="zh-CN"/>
        </w:rPr>
        <w:t>响应文件</w:t>
      </w:r>
      <w:r>
        <w:rPr>
          <w:rFonts w:hint="eastAsia" w:ascii="仿宋" w:hAnsi="仿宋" w:eastAsia="仿宋" w:cs="仿宋"/>
          <w:bCs/>
          <w:color w:val="auto"/>
          <w:szCs w:val="21"/>
          <w:highlight w:val="none"/>
        </w:rPr>
        <w:t>将被认定为无效。</w:t>
      </w:r>
    </w:p>
    <w:p w14:paraId="3E5B3FA9">
      <w:pPr>
        <w:shd w:val="clear"/>
        <w:tabs>
          <w:tab w:val="left" w:pos="1260"/>
          <w:tab w:val="left" w:pos="1620"/>
        </w:tabs>
        <w:adjustRightInd w:val="0"/>
        <w:spacing w:line="360" w:lineRule="auto"/>
        <w:jc w:val="left"/>
        <w:textAlignment w:val="baseline"/>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5、</w:t>
      </w:r>
      <w:r>
        <w:rPr>
          <w:rFonts w:hint="eastAsia" w:ascii="仿宋" w:hAnsi="仿宋" w:eastAsia="仿宋" w:cs="仿宋"/>
          <w:bCs/>
          <w:color w:val="auto"/>
          <w:szCs w:val="21"/>
          <w:highlight w:val="none"/>
        </w:rPr>
        <w:t>如</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为提供服务所伴随的货物属于网络关键设备和网络安全专用产品的，</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所投产品应为经具备资格的机构安全认证合格或者安全检测符合要求的产品。</w:t>
      </w:r>
      <w:r>
        <w:rPr>
          <w:rFonts w:hint="eastAsia" w:ascii="仿宋" w:hAnsi="仿宋" w:eastAsia="仿宋" w:cs="仿宋"/>
          <w:bCs/>
          <w:color w:val="auto"/>
          <w:szCs w:val="21"/>
          <w:highlight w:val="none"/>
          <w:lang w:val="en-US" w:eastAsia="zh-CN"/>
        </w:rPr>
        <w:t>供应商</w:t>
      </w:r>
      <w:r>
        <w:rPr>
          <w:rFonts w:hint="eastAsia" w:ascii="仿宋" w:hAnsi="仿宋" w:eastAsia="仿宋" w:cs="仿宋"/>
          <w:bCs/>
          <w:color w:val="auto"/>
          <w:szCs w:val="21"/>
          <w:highlight w:val="none"/>
        </w:rPr>
        <w:t>应提供相关证明，否则其</w:t>
      </w:r>
      <w:r>
        <w:rPr>
          <w:rFonts w:hint="eastAsia" w:ascii="仿宋" w:hAnsi="仿宋" w:eastAsia="仿宋" w:cs="仿宋"/>
          <w:bCs/>
          <w:color w:val="auto"/>
          <w:szCs w:val="21"/>
          <w:highlight w:val="none"/>
          <w:lang w:val="en-US" w:eastAsia="zh-CN"/>
        </w:rPr>
        <w:t>响应文件</w:t>
      </w:r>
      <w:r>
        <w:rPr>
          <w:rFonts w:hint="eastAsia" w:ascii="仿宋" w:hAnsi="仿宋" w:eastAsia="仿宋" w:cs="仿宋"/>
          <w:bCs/>
          <w:color w:val="auto"/>
          <w:szCs w:val="21"/>
          <w:highlight w:val="none"/>
        </w:rPr>
        <w:t>将被认定为无效。</w:t>
      </w:r>
    </w:p>
    <w:p w14:paraId="4F8C033B">
      <w:pPr>
        <w:shd w:val="clea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p>
    <w:p w14:paraId="5EE3E3CC">
      <w:pPr>
        <w:shd w:val="clea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br w:type="page"/>
      </w:r>
    </w:p>
    <w:p w14:paraId="4F6E60E2">
      <w:pPr>
        <w:shd w:val="clear"/>
        <w:jc w:val="center"/>
        <w:rPr>
          <w:rFonts w:hint="default" w:ascii="仿宋" w:hAnsi="仿宋" w:eastAsia="仿宋" w:cs="仿宋"/>
          <w:b/>
          <w:color w:val="000000" w:themeColor="text1"/>
          <w:sz w:val="30"/>
          <w:szCs w:val="30"/>
          <w:highlight w:val="none"/>
          <w:lang w:val="en-US" w:eastAsia="zh-CN"/>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附表三 评审</w:t>
      </w:r>
      <w:r>
        <w:rPr>
          <w:rFonts w:hint="eastAsia" w:ascii="仿宋" w:hAnsi="仿宋" w:eastAsia="仿宋" w:cs="仿宋"/>
          <w:b/>
          <w:color w:val="000000" w:themeColor="text1"/>
          <w:sz w:val="30"/>
          <w:szCs w:val="30"/>
          <w:highlight w:val="none"/>
          <w:lang w:val="en-US" w:eastAsia="zh-CN"/>
          <w14:textFill>
            <w14:solidFill>
              <w14:schemeClr w14:val="tx1"/>
            </w14:solidFill>
          </w14:textFill>
        </w:rPr>
        <w:t>标准</w:t>
      </w:r>
    </w:p>
    <w:tbl>
      <w:tblPr>
        <w:tblStyle w:val="51"/>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568"/>
        <w:gridCol w:w="468"/>
        <w:gridCol w:w="6806"/>
      </w:tblGrid>
      <w:tr w14:paraId="05B3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145" w:type="pct"/>
            <w:gridSpan w:val="2"/>
            <w:tcBorders>
              <w:top w:val="single" w:color="auto" w:sz="4" w:space="0"/>
              <w:left w:val="single" w:color="auto" w:sz="4" w:space="0"/>
              <w:bottom w:val="single" w:color="auto" w:sz="4" w:space="0"/>
              <w:right w:val="single" w:color="auto" w:sz="4" w:space="0"/>
            </w:tcBorders>
            <w:noWrap w:val="0"/>
            <w:vAlign w:val="center"/>
          </w:tcPr>
          <w:p w14:paraId="4A92F701">
            <w:pPr>
              <w:shd w:val="clea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评标要素</w:t>
            </w:r>
          </w:p>
        </w:tc>
        <w:tc>
          <w:tcPr>
            <w:tcW w:w="248" w:type="pct"/>
            <w:tcBorders>
              <w:top w:val="single" w:color="auto" w:sz="4" w:space="0"/>
              <w:left w:val="single" w:color="auto" w:sz="4" w:space="0"/>
              <w:right w:val="single" w:color="auto" w:sz="4" w:space="0"/>
            </w:tcBorders>
            <w:noWrap w:val="0"/>
            <w:vAlign w:val="center"/>
          </w:tcPr>
          <w:p w14:paraId="1E0B327D">
            <w:pPr>
              <w:shd w:val="clear"/>
              <w:adjustRightInd w:val="0"/>
              <w:snapToGrid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分值</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16F49364">
            <w:pPr>
              <w:shd w:val="clea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评标标准</w:t>
            </w:r>
          </w:p>
        </w:tc>
      </w:tr>
      <w:tr w14:paraId="38AC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45" w:type="pct"/>
            <w:gridSpan w:val="2"/>
            <w:tcBorders>
              <w:top w:val="single" w:color="auto" w:sz="4" w:space="0"/>
              <w:left w:val="single" w:color="auto" w:sz="4" w:space="0"/>
              <w:bottom w:val="single" w:color="auto" w:sz="4" w:space="0"/>
              <w:right w:val="single" w:color="auto" w:sz="4" w:space="0"/>
            </w:tcBorders>
            <w:noWrap w:val="0"/>
            <w:vAlign w:val="center"/>
          </w:tcPr>
          <w:p w14:paraId="577BEAF0">
            <w:pPr>
              <w:shd w:val="clear"/>
              <w:adjustRightInd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价格</w:t>
            </w:r>
          </w:p>
        </w:tc>
        <w:tc>
          <w:tcPr>
            <w:tcW w:w="248" w:type="pct"/>
            <w:tcBorders>
              <w:top w:val="single" w:color="auto" w:sz="4" w:space="0"/>
              <w:left w:val="single" w:color="auto" w:sz="4" w:space="0"/>
              <w:bottom w:val="single" w:color="auto" w:sz="4" w:space="0"/>
              <w:right w:val="single" w:color="auto" w:sz="4" w:space="0"/>
            </w:tcBorders>
            <w:noWrap w:val="0"/>
            <w:vAlign w:val="center"/>
          </w:tcPr>
          <w:p w14:paraId="1739D543">
            <w:pPr>
              <w:shd w:val="clear"/>
              <w:adjustRightInd w:val="0"/>
              <w:snapToGrid w:val="0"/>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30</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7AC5F81F">
            <w:pPr>
              <w:shd w:val="clear"/>
              <w:adjustRightInd w:val="0"/>
              <w:snapToGrid w:val="0"/>
              <w:spacing w:line="360" w:lineRule="auto"/>
              <w:jc w:val="left"/>
              <w:rPr>
                <w:rFonts w:hint="default" w:ascii="仿宋" w:hAnsi="仿宋" w:eastAsia="仿宋" w:cs="仿宋"/>
                <w:color w:val="auto"/>
                <w:sz w:val="24"/>
                <w:highlight w:val="none"/>
                <w:u w:val="single"/>
                <w:lang w:val="en-US"/>
              </w:rPr>
            </w:pP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文件要求</w:t>
            </w:r>
            <w:r>
              <w:rPr>
                <w:rFonts w:hint="eastAsia" w:ascii="仿宋" w:hAnsi="仿宋" w:eastAsia="仿宋" w:cs="仿宋"/>
                <w:color w:val="auto"/>
                <w:sz w:val="24"/>
                <w:highlight w:val="none"/>
                <w:lang w:val="en-US" w:eastAsia="zh-CN"/>
              </w:rPr>
              <w:t>且</w:t>
            </w:r>
            <w:r>
              <w:rPr>
                <w:rFonts w:hint="eastAsia" w:ascii="仿宋" w:hAnsi="仿宋" w:eastAsia="仿宋" w:cs="仿宋"/>
                <w:color w:val="auto"/>
                <w:sz w:val="24"/>
                <w:highlight w:val="none"/>
              </w:rPr>
              <w:t>有效响应文件的</w:t>
            </w:r>
            <w:r>
              <w:rPr>
                <w:rFonts w:hint="eastAsia" w:ascii="仿宋" w:hAnsi="仿宋" w:eastAsia="仿宋" w:cs="仿宋"/>
                <w:color w:val="auto"/>
                <w:sz w:val="24"/>
                <w:highlight w:val="none"/>
                <w:lang w:val="en-US" w:eastAsia="zh-CN"/>
              </w:rPr>
              <w:t>最后</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最低报价为评审基准价，其价格分为满分。其他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的价格分统一按照下列公式计算：投标报价得分=（评标基准价/</w:t>
            </w:r>
            <w:r>
              <w:rPr>
                <w:rFonts w:hint="eastAsia" w:ascii="仿宋" w:hAnsi="仿宋" w:eastAsia="仿宋" w:cs="仿宋"/>
                <w:color w:val="auto"/>
                <w:sz w:val="24"/>
                <w:highlight w:val="none"/>
                <w:lang w:val="en-US" w:eastAsia="zh-CN"/>
              </w:rPr>
              <w:t>最后</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en-US" w:eastAsia="zh-CN"/>
              </w:rPr>
              <w:t>30</w:t>
            </w:r>
          </w:p>
        </w:tc>
      </w:tr>
      <w:tr w14:paraId="50FC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restart"/>
            <w:tcBorders>
              <w:top w:val="single" w:color="auto" w:sz="4" w:space="0"/>
              <w:left w:val="single" w:color="auto" w:sz="4" w:space="0"/>
              <w:right w:val="single" w:color="auto" w:sz="4" w:space="0"/>
            </w:tcBorders>
            <w:shd w:val="clear" w:color="auto" w:fill="auto"/>
            <w:noWrap w:val="0"/>
            <w:vAlign w:val="center"/>
          </w:tcPr>
          <w:p w14:paraId="501A8D16">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施工组织设计</w:t>
            </w: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B07E3C">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1.施工方案总体说明</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7C8341">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85C87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进行赋分，施工方案总体说明全面合理得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045D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43B45109">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8808B5">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2.确保工程质量的技术组织措施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93ACDB">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6B4A4B">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进行赋分，工程质量的技术组织措施全面合理得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5C9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C9E3768">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B3C115E">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3.确保安全生产的技术组织措施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B2855C">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228EA0">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进行赋分，安全生产的技术组织措施全面合理得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496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59E3A13">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F22FB4">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4.确保文明施工的技术组织措施及环境保护</w:t>
            </w:r>
            <w:r>
              <w:rPr>
                <w:rFonts w:hint="eastAsia" w:ascii="仿宋" w:hAnsi="仿宋" w:eastAsia="仿宋" w:cs="仿宋"/>
                <w:color w:val="auto"/>
                <w:sz w:val="24"/>
                <w:szCs w:val="24"/>
                <w:highlight w:val="none"/>
                <w:lang w:val="en-US" w:eastAsia="zh-CN"/>
              </w:rPr>
              <w:t>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15162C">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38D95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进行赋分，文明施工的技术组织措施及环境保护措全面合理得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483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DD996BC">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ECF89A">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5.项目经理部组成人员</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ED59A7">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6D341A">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进行赋分，项目经理部组成人员全面合理得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500C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7260D4C5">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110906">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6.施工机械配备和材料投入计划</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7034A8">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07C45D">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进行赋分，施工机械配备和材料投入计划全面合理得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8AA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6949D974">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76189F">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7.施工进度表或施工网络图</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6C2F52">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A7562E">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进行赋分，施工进度表或施工网络图全面合理得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43F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0F6CA83D">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C3C03B">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8.劳动力安排计划及劳务分包情况表</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888DB6">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4D0436">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进行赋分，劳动力安排计划及劳务分包情况表全面合理得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73E7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22A1E967">
            <w:pPr>
              <w:pStyle w:val="8"/>
              <w:shd w:val="clear" w:color="auto"/>
              <w:spacing w:line="288" w:lineRule="auto"/>
              <w:ind w:firstLine="0" w:firstLineChars="0"/>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8D1D4C">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9.施工总平面布置图</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85870B">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3FA641">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进行赋分，施工总平面布置图全面合理得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473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bottom w:val="single" w:color="auto" w:sz="4" w:space="0"/>
              <w:right w:val="single" w:color="auto" w:sz="4" w:space="0"/>
            </w:tcBorders>
            <w:shd w:val="clear" w:color="auto" w:fill="auto"/>
            <w:noWrap w:val="0"/>
            <w:vAlign w:val="center"/>
          </w:tcPr>
          <w:p w14:paraId="314CD269">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869656">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10.新技术、新产品、新工艺、新材料应用</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2F7CB8">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52DB5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进行赋分，新技术、新产品、新工艺、新材料应用全面合理得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C6A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45"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DDCDD17">
            <w:pPr>
              <w:shd w:val="clear" w:color="auto"/>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业绩</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276FC4">
            <w:pPr>
              <w:shd w:val="clear" w:color="auto"/>
              <w:adjustRightInd w:val="0"/>
              <w:snapToGrid w:val="0"/>
              <w:spacing w:line="40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203B8D">
            <w:pPr>
              <w:shd w:val="clear" w:color="auto"/>
              <w:autoSpaceDE w:val="0"/>
              <w:autoSpaceDN w:val="0"/>
              <w:adjustRightInd w:val="0"/>
              <w:snapToGrid w:val="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年</w:t>
            </w:r>
            <w:r>
              <w:rPr>
                <w:rFonts w:hint="eastAsia" w:ascii="仿宋" w:hAnsi="仿宋" w:eastAsia="仿宋" w:cs="仿宋"/>
                <w:color w:val="auto"/>
                <w:sz w:val="24"/>
                <w:szCs w:val="24"/>
                <w:highlight w:val="none"/>
              </w:rPr>
              <w:t>1月1日</w:t>
            </w:r>
            <w:r>
              <w:rPr>
                <w:rFonts w:hint="eastAsia" w:ascii="仿宋" w:hAnsi="仿宋" w:eastAsia="仿宋" w:cs="仿宋"/>
                <w:color w:val="auto"/>
                <w:sz w:val="24"/>
                <w:szCs w:val="24"/>
                <w:highlight w:val="none"/>
                <w:lang w:val="zh-CN"/>
              </w:rPr>
              <w:t>至</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截止时间（以合同签订时间为准）</w:t>
            </w:r>
            <w:r>
              <w:rPr>
                <w:rFonts w:hint="eastAsia" w:ascii="仿宋" w:hAnsi="仿宋" w:eastAsia="仿宋" w:cs="仿宋"/>
                <w:color w:val="auto"/>
                <w:sz w:val="24"/>
                <w:szCs w:val="24"/>
                <w:highlight w:val="none"/>
                <w:lang w:val="en-US" w:eastAsia="zh-CN"/>
              </w:rPr>
              <w:t>类似项目</w:t>
            </w:r>
            <w:r>
              <w:rPr>
                <w:rFonts w:hint="eastAsia" w:ascii="仿宋" w:hAnsi="仿宋" w:eastAsia="仿宋" w:cs="仿宋"/>
                <w:color w:val="auto"/>
                <w:sz w:val="24"/>
                <w:szCs w:val="24"/>
                <w:highlight w:val="none"/>
                <w:lang w:val="zh-CN"/>
              </w:rPr>
              <w:t>业绩，每提供一个业绩得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分，满分</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w:t>
            </w:r>
          </w:p>
          <w:p w14:paraId="31B9BCFA">
            <w:pPr>
              <w:shd w:val="clear" w:color="auto"/>
              <w:autoSpaceDE w:val="0"/>
              <w:autoSpaceDN w:val="0"/>
              <w:adjustRightInd w:val="0"/>
              <w:snapToGrid w:val="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b/>
                <w:color w:val="auto"/>
                <w:sz w:val="24"/>
                <w:szCs w:val="24"/>
                <w:highlight w:val="none"/>
                <w:lang w:val="zh-CN"/>
              </w:rPr>
              <w:t>评审依据：</w:t>
            </w:r>
            <w:r>
              <w:rPr>
                <w:rFonts w:hint="eastAsia" w:ascii="仿宋" w:hAnsi="仿宋" w:eastAsia="仿宋" w:cs="仿宋"/>
                <w:color w:val="auto"/>
                <w:sz w:val="24"/>
                <w:szCs w:val="24"/>
                <w:highlight w:val="none"/>
                <w:lang w:val="zh-CN"/>
              </w:rPr>
              <w:t>以加盖公章的业绩合同复印件为准，合同至少需包含合同首页、产品页、签章页。</w:t>
            </w:r>
          </w:p>
        </w:tc>
      </w:tr>
      <w:tr w14:paraId="067E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1393" w:type="pct"/>
            <w:gridSpan w:val="3"/>
            <w:tcBorders>
              <w:top w:val="single" w:color="auto" w:sz="4" w:space="0"/>
              <w:left w:val="single" w:color="auto" w:sz="4" w:space="0"/>
              <w:bottom w:val="single" w:color="auto" w:sz="4" w:space="0"/>
              <w:right w:val="single" w:color="auto" w:sz="4" w:space="0"/>
            </w:tcBorders>
            <w:noWrap w:val="0"/>
            <w:vAlign w:val="center"/>
          </w:tcPr>
          <w:p w14:paraId="0CDF5C41">
            <w:pPr>
              <w:shd w:val="clear"/>
              <w:adjustRightInd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2035C533">
            <w:pPr>
              <w:shd w:val="clear"/>
              <w:adjustRightInd w:val="0"/>
              <w:snapToGrid w:val="0"/>
              <w:spacing w:line="276"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100分</w:t>
            </w:r>
          </w:p>
        </w:tc>
      </w:tr>
    </w:tbl>
    <w:p w14:paraId="5D9ECF7F">
      <w:pPr>
        <w:pStyle w:val="47"/>
        <w:shd w:val="clear"/>
        <w:spacing w:line="360" w:lineRule="auto"/>
        <w:outlineLvl w:val="9"/>
        <w:rPr>
          <w:rStyle w:val="204"/>
          <w:rFonts w:hint="eastAsia" w:ascii="仿宋" w:hAnsi="仿宋" w:eastAsia="仿宋" w:cs="仿宋"/>
          <w:color w:val="auto"/>
          <w:sz w:val="36"/>
          <w:szCs w:val="36"/>
          <w:highlight w:val="none"/>
        </w:rPr>
      </w:pPr>
    </w:p>
    <w:p w14:paraId="057E34E7">
      <w:pPr>
        <w:pStyle w:val="47"/>
        <w:shd w:val="clear"/>
        <w:spacing w:line="360" w:lineRule="auto"/>
        <w:outlineLvl w:val="0"/>
        <w:rPr>
          <w:rFonts w:hint="eastAsia"/>
          <w:color w:val="auto"/>
          <w:highlight w:val="none"/>
        </w:rPr>
      </w:pPr>
      <w:bookmarkStart w:id="437" w:name="_Toc19378"/>
      <w:bookmarkStart w:id="438" w:name="_Toc14002"/>
      <w:r>
        <w:rPr>
          <w:rStyle w:val="204"/>
          <w:rFonts w:hint="eastAsia" w:ascii="仿宋" w:hAnsi="仿宋" w:eastAsia="仿宋" w:cs="仿宋"/>
          <w:color w:val="auto"/>
          <w:sz w:val="36"/>
          <w:szCs w:val="36"/>
          <w:highlight w:val="none"/>
        </w:rPr>
        <w:t xml:space="preserve">第四章  </w:t>
      </w:r>
      <w:bookmarkEnd w:id="20"/>
      <w:bookmarkEnd w:id="416"/>
      <w:bookmarkEnd w:id="417"/>
      <w:bookmarkStart w:id="439" w:name="_Toc177817344"/>
      <w:bookmarkStart w:id="440" w:name="_Toc499711087"/>
      <w:bookmarkStart w:id="441" w:name="_Toc492955459"/>
      <w:bookmarkStart w:id="442" w:name="_Toc176882552"/>
      <w:bookmarkStart w:id="443" w:name="_Toc230013638"/>
      <w:bookmarkStart w:id="444" w:name="_Toc249515482"/>
      <w:bookmarkStart w:id="445" w:name="_Toc184043058"/>
      <w:bookmarkStart w:id="446" w:name="_Toc230099803"/>
      <w:bookmarkStart w:id="447" w:name="_Toc70687202"/>
      <w:bookmarkStart w:id="448" w:name="_Toc230583552"/>
      <w:bookmarkStart w:id="449" w:name="_Toc503063458"/>
      <w:bookmarkStart w:id="450" w:name="_Toc500747010"/>
      <w:bookmarkStart w:id="451" w:name="_Toc415499897"/>
      <w:bookmarkStart w:id="452" w:name="_Toc177189245"/>
      <w:bookmarkStart w:id="453" w:name="_Toc249525250"/>
      <w:bookmarkStart w:id="454" w:name="_Toc28450"/>
      <w:bookmarkStart w:id="455" w:name="_Toc232176282"/>
      <w:bookmarkStart w:id="456" w:name="_Toc500747233"/>
      <w:bookmarkStart w:id="457" w:name="_Toc499711928"/>
      <w:bookmarkStart w:id="458" w:name="_Toc177995483"/>
      <w:bookmarkStart w:id="459" w:name="_Toc496324623"/>
      <w:bookmarkStart w:id="460" w:name="_Toc232395222"/>
      <w:bookmarkStart w:id="461" w:name="_Toc53722865"/>
      <w:bookmarkStart w:id="462" w:name="_Toc500747106"/>
      <w:bookmarkStart w:id="463" w:name="_Toc256342152"/>
      <w:bookmarkStart w:id="464" w:name="_Toc249515369"/>
      <w:r>
        <w:rPr>
          <w:rStyle w:val="204"/>
          <w:rFonts w:hint="eastAsia" w:ascii="仿宋" w:hAnsi="仿宋" w:eastAsia="仿宋" w:cs="仿宋"/>
          <w:color w:val="auto"/>
          <w:sz w:val="36"/>
          <w:szCs w:val="36"/>
          <w:highlight w:val="none"/>
        </w:rPr>
        <w:t>拟签订的合同文本</w:t>
      </w:r>
      <w:bookmarkEnd w:id="437"/>
      <w:bookmarkEnd w:id="438"/>
    </w:p>
    <w:p w14:paraId="75F45F67">
      <w:pPr>
        <w:pStyle w:val="71"/>
        <w:shd w:val="clear"/>
        <w:ind w:left="0" w:leftChars="0" w:firstLine="0" w:firstLineChars="0"/>
        <w:rPr>
          <w:rFonts w:hint="eastAsia" w:ascii="仿宋" w:hAnsi="仿宋" w:eastAsia="仿宋" w:cs="仿宋"/>
          <w:color w:val="auto"/>
          <w:highlight w:val="none"/>
        </w:rPr>
      </w:pPr>
    </w:p>
    <w:p w14:paraId="7B540587">
      <w:pPr>
        <w:snapToGrid w:val="0"/>
        <w:spacing w:line="540" w:lineRule="exact"/>
        <w:jc w:val="center"/>
        <w:rPr>
          <w:rFonts w:hint="eastAsia" w:ascii="仿宋" w:hAnsi="仿宋" w:eastAsia="仿宋" w:cs="仿宋"/>
          <w:color w:val="000000" w:themeColor="text1"/>
          <w:sz w:val="44"/>
          <w:szCs w:val="44"/>
          <w14:textFill>
            <w14:solidFill>
              <w14:schemeClr w14:val="tx1"/>
            </w14:solidFill>
          </w14:textFill>
        </w:rPr>
      </w:pPr>
      <w:bookmarkStart w:id="465" w:name="_Toc58504448"/>
      <w:bookmarkStart w:id="466" w:name="_Toc21172"/>
      <w:bookmarkStart w:id="467" w:name="_Toc4392"/>
      <w:r>
        <w:rPr>
          <w:rFonts w:hint="eastAsia" w:ascii="仿宋" w:hAnsi="仿宋" w:eastAsia="仿宋" w:cs="仿宋"/>
          <w:color w:val="000000" w:themeColor="text1"/>
          <w:sz w:val="44"/>
          <w:szCs w:val="44"/>
          <w14:textFill>
            <w14:solidFill>
              <w14:schemeClr w14:val="tx1"/>
            </w14:solidFill>
          </w14:textFill>
        </w:rPr>
        <w:t>安康市妇幼保健院</w:t>
      </w:r>
    </w:p>
    <w:p w14:paraId="4F1871B1">
      <w:pPr>
        <w:snapToGrid w:val="0"/>
        <w:spacing w:line="540" w:lineRule="exact"/>
        <w:jc w:val="center"/>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sz w:val="44"/>
          <w:szCs w:val="44"/>
          <w:u w:val="single"/>
        </w:rPr>
        <w:t>西侧空地规划项目</w:t>
      </w:r>
      <w:r>
        <w:rPr>
          <w:rFonts w:hint="eastAsia" w:ascii="仿宋" w:hAnsi="仿宋" w:eastAsia="仿宋" w:cs="仿宋"/>
          <w:color w:val="000000" w:themeColor="text1"/>
          <w:sz w:val="44"/>
          <w:szCs w:val="44"/>
          <w14:textFill>
            <w14:solidFill>
              <w14:schemeClr w14:val="tx1"/>
            </w14:solidFill>
          </w14:textFill>
        </w:rPr>
        <w:t>施工合同</w:t>
      </w:r>
    </w:p>
    <w:p w14:paraId="7464FE49">
      <w:pPr>
        <w:spacing w:line="540" w:lineRule="exact"/>
        <w:rPr>
          <w:rFonts w:hint="eastAsia" w:ascii="仿宋" w:hAnsi="仿宋" w:eastAsia="仿宋" w:cs="仿宋"/>
          <w:b/>
          <w:bCs/>
          <w:color w:val="000000" w:themeColor="text1"/>
          <w:sz w:val="30"/>
          <w:szCs w:val="30"/>
          <w14:textFill>
            <w14:solidFill>
              <w14:schemeClr w14:val="tx1"/>
            </w14:solidFill>
          </w14:textFill>
        </w:rPr>
      </w:pPr>
    </w:p>
    <w:p w14:paraId="476ADD20">
      <w:pPr>
        <w:spacing w:line="540" w:lineRule="exact"/>
        <w:rPr>
          <w:rFonts w:hint="eastAsia" w:ascii="仿宋" w:hAnsi="仿宋" w:eastAsia="仿宋" w:cs="仿宋"/>
          <w:kern w:val="0"/>
          <w:sz w:val="30"/>
          <w:szCs w:val="30"/>
          <w:u w:val="single"/>
          <w:lang w:bidi="ar"/>
        </w:rPr>
      </w:pPr>
      <w:r>
        <w:rPr>
          <w:rFonts w:hint="eastAsia" w:ascii="仿宋" w:hAnsi="仿宋" w:eastAsia="仿宋" w:cs="仿宋"/>
          <w:b/>
          <w:bCs/>
          <w:color w:val="000000" w:themeColor="text1"/>
          <w:sz w:val="30"/>
          <w:szCs w:val="30"/>
          <w14:textFill>
            <w14:solidFill>
              <w14:schemeClr w14:val="tx1"/>
            </w14:solidFill>
          </w14:textFill>
        </w:rPr>
        <w:t>发包人（甲方）</w:t>
      </w:r>
      <w:r>
        <w:rPr>
          <w:rFonts w:hint="eastAsia" w:ascii="仿宋" w:hAnsi="仿宋" w:eastAsia="仿宋" w:cs="仿宋"/>
          <w:kern w:val="0"/>
          <w:sz w:val="30"/>
          <w:szCs w:val="30"/>
          <w:lang w:bidi="ar"/>
        </w:rPr>
        <w:t>：</w:t>
      </w:r>
      <w:r>
        <w:rPr>
          <w:rFonts w:hint="eastAsia" w:ascii="仿宋" w:hAnsi="仿宋" w:eastAsia="仿宋" w:cs="仿宋"/>
          <w:kern w:val="0"/>
          <w:sz w:val="30"/>
          <w:szCs w:val="30"/>
          <w:u w:val="single"/>
          <w:lang w:bidi="ar"/>
        </w:rPr>
        <w:t xml:space="preserve">安康市妇幼保健院        </w:t>
      </w:r>
    </w:p>
    <w:p w14:paraId="5B7CC6E0">
      <w:pPr>
        <w:tabs>
          <w:tab w:val="left" w:pos="735"/>
        </w:tabs>
        <w:autoSpaceDE w:val="0"/>
        <w:autoSpaceDN w:val="0"/>
        <w:adjustRightInd w:val="0"/>
        <w:snapToGrid w:val="0"/>
        <w:spacing w:line="540" w:lineRule="exact"/>
        <w:rPr>
          <w:rFonts w:hint="eastAsia" w:ascii="仿宋" w:hAnsi="仿宋" w:eastAsia="仿宋" w:cs="仿宋"/>
          <w:bCs/>
          <w:sz w:val="30"/>
          <w:szCs w:val="30"/>
          <w:u w:val="single"/>
          <w:lang w:val="zh-CN"/>
        </w:rPr>
      </w:pPr>
      <w:r>
        <w:rPr>
          <w:rFonts w:hint="eastAsia" w:ascii="仿宋" w:hAnsi="仿宋" w:eastAsia="仿宋" w:cs="仿宋"/>
          <w:b/>
          <w:bCs/>
          <w:color w:val="000000" w:themeColor="text1"/>
          <w:sz w:val="30"/>
          <w:szCs w:val="30"/>
          <w14:textFill>
            <w14:solidFill>
              <w14:schemeClr w14:val="tx1"/>
            </w14:solidFill>
          </w14:textFill>
        </w:rPr>
        <w:t>承包人（乙方）</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4C20642D">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根据《中华人民共和国建筑法》、《中华人民共和国民法典》、《中华人民共和国政府采购法》、国务院《建设工程质量管理条例》、国务院《建设工程安全生产管理条例》等国家、地方部门有关法律法规和中标供应商投标文件，甲乙双方签订本合同。</w:t>
      </w:r>
    </w:p>
    <w:p w14:paraId="7B2C5767">
      <w:pPr>
        <w:snapToGrid w:val="0"/>
        <w:spacing w:line="540" w:lineRule="exact"/>
        <w:ind w:firstLine="480"/>
        <w:rPr>
          <w:rFonts w:hint="eastAsia" w:ascii="仿宋" w:hAnsi="仿宋" w:eastAsia="仿宋" w:cs="仿宋"/>
          <w:b/>
          <w:color w:val="000000" w:themeColor="text1"/>
          <w:sz w:val="30"/>
          <w:szCs w:val="30"/>
          <w:u w:val="single"/>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 第一条  工程概况；</w:t>
      </w:r>
    </w:p>
    <w:p w14:paraId="5DAA20FE">
      <w:pPr>
        <w:tabs>
          <w:tab w:val="left" w:pos="5670"/>
        </w:tabs>
        <w:autoSpaceDE w:val="0"/>
        <w:autoSpaceDN w:val="0"/>
        <w:adjustRightInd w:val="0"/>
        <w:snapToGrid w:val="0"/>
        <w:spacing w:line="540" w:lineRule="exact"/>
        <w:ind w:firstLine="600" w:firstLineChars="200"/>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1.工程名称：</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343FC752">
      <w:pPr>
        <w:tabs>
          <w:tab w:val="left" w:pos="5670"/>
        </w:tabs>
        <w:autoSpaceDE w:val="0"/>
        <w:autoSpaceDN w:val="0"/>
        <w:adjustRightInd w:val="0"/>
        <w:snapToGrid w:val="0"/>
        <w:spacing w:line="540" w:lineRule="exact"/>
        <w:ind w:firstLine="600" w:firstLineChars="200"/>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2.工程地点：</w:t>
      </w:r>
      <w:r>
        <w:rPr>
          <w:rFonts w:hint="eastAsia" w:ascii="仿宋" w:hAnsi="仿宋" w:eastAsia="仿宋" w:cs="仿宋"/>
          <w:sz w:val="30"/>
          <w:szCs w:val="30"/>
          <w:u w:val="single"/>
        </w:rPr>
        <w:t xml:space="preserve"> </w:t>
      </w:r>
      <w:r>
        <w:rPr>
          <w:rFonts w:hint="eastAsia" w:ascii="仿宋" w:hAnsi="仿宋" w:eastAsia="仿宋" w:cs="仿宋"/>
          <w:color w:val="000000" w:themeColor="text1"/>
          <w:sz w:val="30"/>
          <w:szCs w:val="30"/>
          <w:u w:val="single"/>
          <w14:textFill>
            <w14:solidFill>
              <w14:schemeClr w14:val="tx1"/>
            </w14:solidFill>
          </w14:textFill>
        </w:rPr>
        <w:t>安康市汉滨区高新区汉江路28号</w:t>
      </w:r>
    </w:p>
    <w:p w14:paraId="3AF11E7E">
      <w:pPr>
        <w:tabs>
          <w:tab w:val="left" w:pos="5670"/>
        </w:tabs>
        <w:autoSpaceDE w:val="0"/>
        <w:autoSpaceDN w:val="0"/>
        <w:adjustRightInd w:val="0"/>
        <w:snapToGrid w:val="0"/>
        <w:spacing w:line="540" w:lineRule="exact"/>
        <w:ind w:firstLine="2400" w:firstLineChars="8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（具体地点以工程约定及甲方指定为准）</w:t>
      </w:r>
    </w:p>
    <w:p w14:paraId="671469A0">
      <w:pPr>
        <w:snapToGrid w:val="0"/>
        <w:spacing w:line="540" w:lineRule="exact"/>
        <w:ind w:firstLine="600" w:firstLineChars="200"/>
        <w:rPr>
          <w:rFonts w:hint="eastAsia" w:ascii="仿宋" w:hAnsi="仿宋" w:eastAsia="仿宋" w:cs="仿宋"/>
          <w:sz w:val="30"/>
          <w:szCs w:val="30"/>
          <w:u w:val="single"/>
        </w:rPr>
      </w:pPr>
      <w:r>
        <w:rPr>
          <w:rFonts w:hint="eastAsia" w:ascii="仿宋" w:hAnsi="仿宋" w:eastAsia="仿宋" w:cs="仿宋"/>
          <w:color w:val="000000" w:themeColor="text1"/>
          <w:sz w:val="30"/>
          <w:szCs w:val="30"/>
          <w14:textFill>
            <w14:solidFill>
              <w14:schemeClr w14:val="tx1"/>
            </w14:solidFill>
          </w14:textFill>
        </w:rPr>
        <w:t>3.承包内容：</w:t>
      </w:r>
      <w:r>
        <w:rPr>
          <w:rFonts w:hint="eastAsia" w:ascii="仿宋" w:hAnsi="仿宋" w:eastAsia="仿宋" w:cs="仿宋"/>
          <w:sz w:val="30"/>
          <w:szCs w:val="30"/>
          <w:u w:val="single"/>
        </w:rPr>
        <w:t xml:space="preserve">工程清单内全部内容。   </w:t>
      </w:r>
    </w:p>
    <w:p w14:paraId="51CB0E25">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4.承包方式：</w:t>
      </w:r>
      <w:r>
        <w:rPr>
          <w:rFonts w:hint="eastAsia" w:ascii="仿宋" w:hAnsi="仿宋" w:eastAsia="仿宋" w:cs="仿宋"/>
          <w:color w:val="000000" w:themeColor="text1"/>
          <w:sz w:val="30"/>
          <w:szCs w:val="30"/>
          <w:u w:val="single"/>
          <w14:textFill>
            <w14:solidFill>
              <w14:schemeClr w14:val="tx1"/>
            </w14:solidFill>
          </w14:textFill>
        </w:rPr>
        <w:t xml:space="preserve">               </w:t>
      </w:r>
      <w:r>
        <w:rPr>
          <w:rFonts w:hint="eastAsia" w:ascii="仿宋" w:hAnsi="仿宋" w:eastAsia="仿宋" w:cs="仿宋"/>
          <w:color w:val="000000" w:themeColor="text1"/>
          <w:sz w:val="30"/>
          <w:szCs w:val="30"/>
          <w14:textFill>
            <w14:solidFill>
              <w14:schemeClr w14:val="tx1"/>
            </w14:solidFill>
          </w14:textFill>
        </w:rPr>
        <w:t>。</w:t>
      </w:r>
    </w:p>
    <w:p w14:paraId="1433A80E">
      <w:pPr>
        <w:snapToGrid w:val="0"/>
        <w:spacing w:line="54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开工日期：</w:t>
      </w:r>
      <w:r>
        <w:rPr>
          <w:rFonts w:hint="eastAsia" w:ascii="仿宋" w:hAnsi="仿宋" w:eastAsia="仿宋" w:cs="仿宋"/>
          <w:sz w:val="30"/>
          <w:szCs w:val="30"/>
          <w:u w:val="single"/>
        </w:rPr>
        <w:t xml:space="preserve">   </w:t>
      </w:r>
      <w:r>
        <w:rPr>
          <w:rFonts w:hint="eastAsia" w:ascii="仿宋" w:hAnsi="仿宋" w:eastAsia="仿宋" w:cs="仿宋"/>
          <w:sz w:val="30"/>
          <w:szCs w:val="30"/>
        </w:rPr>
        <w:t>年</w:t>
      </w:r>
      <w:r>
        <w:rPr>
          <w:rFonts w:hint="eastAsia" w:ascii="仿宋" w:hAnsi="仿宋" w:eastAsia="仿宋" w:cs="仿宋"/>
          <w:sz w:val="30"/>
          <w:szCs w:val="30"/>
          <w:u w:val="single"/>
        </w:rPr>
        <w:t xml:space="preserve">   </w:t>
      </w:r>
      <w:r>
        <w:rPr>
          <w:rFonts w:hint="eastAsia" w:ascii="仿宋" w:hAnsi="仿宋" w:eastAsia="仿宋" w:cs="仿宋"/>
          <w:sz w:val="30"/>
          <w:szCs w:val="30"/>
        </w:rPr>
        <w:t>月</w:t>
      </w:r>
      <w:r>
        <w:rPr>
          <w:rFonts w:hint="eastAsia" w:ascii="仿宋" w:hAnsi="仿宋" w:eastAsia="仿宋" w:cs="仿宋"/>
          <w:sz w:val="30"/>
          <w:szCs w:val="30"/>
          <w:u w:val="single"/>
        </w:rPr>
        <w:t xml:space="preserve">   </w:t>
      </w:r>
      <w:r>
        <w:rPr>
          <w:rFonts w:hint="eastAsia" w:ascii="仿宋" w:hAnsi="仿宋" w:eastAsia="仿宋" w:cs="仿宋"/>
          <w:sz w:val="30"/>
          <w:szCs w:val="30"/>
        </w:rPr>
        <w:t>日，计划完工日期：</w:t>
      </w:r>
      <w:r>
        <w:rPr>
          <w:rFonts w:hint="eastAsia" w:ascii="仿宋" w:hAnsi="仿宋" w:eastAsia="仿宋" w:cs="仿宋"/>
          <w:sz w:val="30"/>
          <w:szCs w:val="30"/>
          <w:u w:val="single"/>
        </w:rPr>
        <w:t xml:space="preserve">   </w:t>
      </w:r>
      <w:r>
        <w:rPr>
          <w:rFonts w:hint="eastAsia" w:ascii="仿宋" w:hAnsi="仿宋" w:eastAsia="仿宋" w:cs="仿宋"/>
          <w:sz w:val="30"/>
          <w:szCs w:val="30"/>
        </w:rPr>
        <w:t>年</w:t>
      </w:r>
      <w:r>
        <w:rPr>
          <w:rFonts w:hint="eastAsia" w:ascii="仿宋" w:hAnsi="仿宋" w:eastAsia="仿宋" w:cs="仿宋"/>
          <w:sz w:val="30"/>
          <w:szCs w:val="30"/>
          <w:u w:val="single"/>
        </w:rPr>
        <w:t xml:space="preserve">   </w:t>
      </w:r>
      <w:r>
        <w:rPr>
          <w:rFonts w:hint="eastAsia" w:ascii="仿宋" w:hAnsi="仿宋" w:eastAsia="仿宋" w:cs="仿宋"/>
          <w:sz w:val="30"/>
          <w:szCs w:val="30"/>
        </w:rPr>
        <w:t>月</w:t>
      </w:r>
      <w:r>
        <w:rPr>
          <w:rFonts w:hint="eastAsia" w:ascii="仿宋" w:hAnsi="仿宋" w:eastAsia="仿宋" w:cs="仿宋"/>
          <w:sz w:val="30"/>
          <w:szCs w:val="30"/>
          <w:u w:val="single"/>
        </w:rPr>
        <w:t xml:space="preserve">   </w:t>
      </w:r>
      <w:r>
        <w:rPr>
          <w:rFonts w:hint="eastAsia" w:ascii="仿宋" w:hAnsi="仿宋" w:eastAsia="仿宋" w:cs="仿宋"/>
          <w:sz w:val="30"/>
          <w:szCs w:val="30"/>
        </w:rPr>
        <w:t>日。甲方有权提前【</w:t>
      </w:r>
      <w:r>
        <w:rPr>
          <w:rFonts w:hint="eastAsia" w:ascii="仿宋" w:hAnsi="仿宋" w:eastAsia="仿宋" w:cs="仿宋"/>
          <w:sz w:val="30"/>
          <w:szCs w:val="30"/>
          <w:lang w:val="en-US" w:eastAsia="zh-CN"/>
        </w:rPr>
        <w:t>7</w:t>
      </w:r>
      <w:r>
        <w:rPr>
          <w:rFonts w:hint="eastAsia" w:ascii="仿宋" w:hAnsi="仿宋" w:eastAsia="仿宋" w:cs="仿宋"/>
          <w:sz w:val="30"/>
          <w:szCs w:val="30"/>
        </w:rPr>
        <w:t>】日通知乙方后更改开工日期，完工日期相应顺延。</w:t>
      </w:r>
    </w:p>
    <w:p w14:paraId="359CBB6F">
      <w:pPr>
        <w:spacing w:line="540" w:lineRule="exact"/>
        <w:ind w:firstLine="600" w:firstLineChars="200"/>
        <w:rPr>
          <w:rFonts w:hint="eastAsia" w:ascii="仿宋" w:hAnsi="仿宋" w:eastAsia="仿宋" w:cs="仿宋"/>
          <w:sz w:val="30"/>
          <w:szCs w:val="30"/>
        </w:rPr>
      </w:pPr>
      <w:r>
        <w:rPr>
          <w:rFonts w:hint="eastAsia" w:ascii="仿宋" w:hAnsi="仿宋" w:eastAsia="仿宋" w:cs="仿宋"/>
          <w:color w:val="000000" w:themeColor="text1"/>
          <w:sz w:val="30"/>
          <w:szCs w:val="30"/>
          <w14:textFill>
            <w14:solidFill>
              <w14:schemeClr w14:val="tx1"/>
            </w14:solidFill>
          </w14:textFill>
        </w:rPr>
        <w:t>6.工程质量、安全要求：</w:t>
      </w:r>
      <w:r>
        <w:rPr>
          <w:rFonts w:hint="eastAsia" w:ascii="仿宋" w:hAnsi="仿宋" w:eastAsia="仿宋" w:cs="仿宋"/>
          <w:sz w:val="30"/>
          <w:szCs w:val="30"/>
        </w:rPr>
        <w:t>符合《建筑装修工程质量验收规范》、《建筑安装工程质量验收规范》等国家的相关技术规范及甲方招标文件要求、乙方投标承诺。各项标准/约定如不一致的，以其中更高的标准为准。</w:t>
      </w:r>
    </w:p>
    <w:p w14:paraId="72ED218C">
      <w:pPr>
        <w:pStyle w:val="45"/>
        <w:spacing w:beforeAutospacing="0" w:afterAutospacing="0" w:line="540" w:lineRule="exact"/>
        <w:ind w:firstLine="600" w:firstLineChars="200"/>
        <w:rPr>
          <w:rFonts w:hint="eastAsia" w:ascii="仿宋" w:hAnsi="仿宋" w:eastAsia="仿宋" w:cs="仿宋"/>
          <w:sz w:val="30"/>
          <w:szCs w:val="30"/>
          <w:u w:val="single"/>
        </w:rPr>
      </w:pPr>
      <w:r>
        <w:rPr>
          <w:rFonts w:hint="eastAsia" w:ascii="仿宋" w:hAnsi="仿宋" w:eastAsia="仿宋" w:cs="仿宋"/>
          <w:color w:val="000000" w:themeColor="text1"/>
          <w:sz w:val="30"/>
          <w:szCs w:val="30"/>
          <w14:textFill>
            <w14:solidFill>
              <w14:schemeClr w14:val="tx1"/>
            </w14:solidFill>
          </w14:textFill>
        </w:rPr>
        <w:t>7.合同总价款（人民币）大写：</w:t>
      </w:r>
      <w:r>
        <w:rPr>
          <w:rFonts w:hint="eastAsia" w:ascii="仿宋" w:hAnsi="仿宋" w:eastAsia="仿宋" w:cs="仿宋"/>
          <w:color w:val="000000" w:themeColor="text1"/>
          <w:sz w:val="30"/>
          <w:szCs w:val="30"/>
          <w:u w:val="single"/>
          <w14:textFill>
            <w14:solidFill>
              <w14:schemeClr w14:val="tx1"/>
            </w14:solidFill>
          </w14:textFill>
        </w:rPr>
        <w:t xml:space="preserve">                           </w:t>
      </w:r>
      <w:r>
        <w:rPr>
          <w:rFonts w:hint="eastAsia" w:ascii="仿宋" w:hAnsi="仿宋" w:eastAsia="仿宋" w:cs="仿宋"/>
          <w:sz w:val="30"/>
          <w:szCs w:val="30"/>
          <w:u w:val="single"/>
        </w:rPr>
        <w:t xml:space="preserve"> </w:t>
      </w:r>
    </w:p>
    <w:p w14:paraId="21439252">
      <w:pPr>
        <w:spacing w:line="540" w:lineRule="exact"/>
        <w:rPr>
          <w:rFonts w:hint="eastAsia" w:ascii="仿宋" w:hAnsi="仿宋" w:eastAsia="仿宋" w:cs="仿宋"/>
          <w:kern w:val="0"/>
          <w:sz w:val="30"/>
          <w:szCs w:val="30"/>
          <w:u w:val="single"/>
          <w:lang w:bidi="ar"/>
        </w:rPr>
      </w:pPr>
      <w:r>
        <w:rPr>
          <w:rFonts w:hint="eastAsia" w:ascii="仿宋" w:hAnsi="仿宋" w:eastAsia="仿宋" w:cs="仿宋"/>
          <w:color w:val="000000" w:themeColor="text1"/>
          <w:sz w:val="30"/>
          <w:szCs w:val="30"/>
          <w14:textFill>
            <w14:solidFill>
              <w14:schemeClr w14:val="tx1"/>
            </w14:solidFill>
          </w14:textFill>
        </w:rPr>
        <w:t>小写：</w:t>
      </w:r>
      <w:r>
        <w:rPr>
          <w:rFonts w:hint="eastAsia" w:ascii="仿宋" w:hAnsi="仿宋" w:eastAsia="仿宋" w:cs="仿宋"/>
          <w:color w:val="000000" w:themeColor="text1"/>
          <w:sz w:val="30"/>
          <w:szCs w:val="30"/>
          <w:u w:val="single"/>
          <w14:textFill>
            <w14:solidFill>
              <w14:schemeClr w14:val="tx1"/>
            </w14:solidFill>
          </w14:textFill>
        </w:rPr>
        <w:t xml:space="preserve">        </w:t>
      </w:r>
      <w:r>
        <w:rPr>
          <w:rFonts w:hint="eastAsia" w:ascii="仿宋" w:hAnsi="仿宋" w:eastAsia="仿宋" w:cs="仿宋"/>
          <w:kern w:val="0"/>
          <w:sz w:val="30"/>
          <w:szCs w:val="30"/>
          <w:u w:val="single"/>
          <w:lang w:bidi="ar"/>
        </w:rPr>
        <w:t>元。</w:t>
      </w:r>
      <w:r>
        <w:rPr>
          <w:rFonts w:hint="eastAsia" w:ascii="仿宋" w:hAnsi="仿宋" w:eastAsia="仿宋" w:cs="仿宋"/>
          <w:kern w:val="0"/>
          <w:sz w:val="30"/>
          <w:szCs w:val="30"/>
          <w:lang w:bidi="ar"/>
        </w:rPr>
        <w:t>以上价格已包含人工、全部税款等乙方妥善履行本合同项下义务所需的任何费用，除本合同另有约定外，甲方无需就本合同履行向乙方或第三方支付其他任何费用。</w:t>
      </w:r>
    </w:p>
    <w:p w14:paraId="4B32F86E">
      <w:pPr>
        <w:pStyle w:val="2"/>
        <w:numPr>
          <w:ilvl w:val="0"/>
          <w:numId w:val="14"/>
        </w:numPr>
        <w:spacing w:line="540" w:lineRule="exact"/>
        <w:rPr>
          <w:rFonts w:hint="eastAsia" w:ascii="仿宋" w:hAnsi="仿宋" w:eastAsia="仿宋" w:cs="仿宋"/>
          <w:b/>
          <w:color w:val="000000" w:themeColor="text1"/>
          <w:kern w:val="2"/>
          <w:sz w:val="30"/>
          <w:szCs w:val="30"/>
          <w14:textFill>
            <w14:solidFill>
              <w14:schemeClr w14:val="tx1"/>
            </w14:solidFill>
          </w14:textFill>
        </w:rPr>
      </w:pPr>
      <w:r>
        <w:rPr>
          <w:rFonts w:hint="eastAsia" w:ascii="仿宋" w:hAnsi="仿宋" w:eastAsia="仿宋" w:cs="仿宋"/>
          <w:b/>
          <w:color w:val="000000" w:themeColor="text1"/>
          <w:kern w:val="2"/>
          <w:sz w:val="30"/>
          <w:szCs w:val="30"/>
          <w14:textFill>
            <w14:solidFill>
              <w14:schemeClr w14:val="tx1"/>
            </w14:solidFill>
          </w14:textFill>
        </w:rPr>
        <w:t xml:space="preserve"> 双方承诺</w:t>
      </w:r>
    </w:p>
    <w:p w14:paraId="559CF9A7">
      <w:pPr>
        <w:spacing w:line="54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1.甲方承诺按合同约定提供施工条件、支付工程款项。</w:t>
      </w:r>
    </w:p>
    <w:p w14:paraId="67CA2974">
      <w:pPr>
        <w:spacing w:line="54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2.乙方承诺具备合法施工资质，严格遵守安全、质量、工期要求，履行合同全部义务，承担施工安全全部责任。</w:t>
      </w:r>
    </w:p>
    <w:p w14:paraId="735AB7D5">
      <w:pPr>
        <w:snapToGrid w:val="0"/>
        <w:spacing w:line="540" w:lineRule="exact"/>
        <w:ind w:firstLine="48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第三条  甲方权利和义务</w:t>
      </w:r>
    </w:p>
    <w:p w14:paraId="4B5169AE">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1.开工前向乙方提供施工所需的图纸资料、确认过的施工方案，完成技术交底，提供施工所需的水、电、气接入点，并说明注意事项。</w:t>
      </w:r>
    </w:p>
    <w:p w14:paraId="52E7B427">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2.负责协调科室配合施工，办理施工审批、动火、高空等作业审批，提供材料堆放场地。</w:t>
      </w:r>
    </w:p>
    <w:p w14:paraId="2EABF09C">
      <w:pPr>
        <w:pStyle w:val="2"/>
        <w:spacing w:line="540" w:lineRule="exact"/>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   3.按合同约定支付工程进度款项，组织工程验收。</w:t>
      </w:r>
    </w:p>
    <w:p w14:paraId="2D806D80">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4.指派</w:t>
      </w:r>
      <w:r>
        <w:rPr>
          <w:rFonts w:hint="eastAsia" w:ascii="仿宋" w:hAnsi="仿宋" w:eastAsia="仿宋" w:cs="仿宋"/>
          <w:color w:val="000000" w:themeColor="text1"/>
          <w:sz w:val="30"/>
          <w:szCs w:val="30"/>
          <w:u w:val="single"/>
          <w14:textFill>
            <w14:solidFill>
              <w14:schemeClr w14:val="tx1"/>
            </w14:solidFill>
          </w14:textFill>
        </w:rPr>
        <w:t xml:space="preserve">       </w:t>
      </w:r>
      <w:r>
        <w:rPr>
          <w:rFonts w:hint="eastAsia" w:ascii="仿宋" w:hAnsi="仿宋" w:eastAsia="仿宋" w:cs="仿宋"/>
          <w:color w:val="000000" w:themeColor="text1"/>
          <w:sz w:val="30"/>
          <w:szCs w:val="30"/>
          <w14:textFill>
            <w14:solidFill>
              <w14:schemeClr w14:val="tx1"/>
            </w14:solidFill>
          </w14:textFill>
        </w:rPr>
        <w:t>现场负责人，负责对施工安全、质量、进度进行检查等事宜。发现隐患或违规行为，有权要求乙方限期整改，未按期整改或情节有重的</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甲方有权解除合同或追究相关责任。</w:t>
      </w:r>
    </w:p>
    <w:p w14:paraId="1905DA07">
      <w:pPr>
        <w:snapToGrid w:val="0"/>
        <w:spacing w:line="540" w:lineRule="exact"/>
        <w:ind w:firstLine="48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第四条 乙方权利和义务</w:t>
      </w:r>
    </w:p>
    <w:p w14:paraId="60F5E413">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1.指定项目负责人为【    】（身份证号码：【 】），负责项目进度、质量、安全生产、文明施工的监管，项目负责人行为视为乙方行为。除不可抗力造成外，乙方未经甲方同意不得擅自变更项目负责人。</w:t>
      </w:r>
    </w:p>
    <w:p w14:paraId="5999F65C">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2.严格按照施工图纸、规范及甲方要求组织施工，确保工程质量与施工安全，接受甲方及监理单位的监督检查。</w:t>
      </w:r>
    </w:p>
    <w:p w14:paraId="58F870B9">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3.制定施工方案（包含安全施工方案）并交甲方审核直至得到甲方认可，对危险性较大的分部分项工程（如高空作业、电气焊、消防改造）编制专项安全技术措施并组织专家论证，并严格执行动火、动焊、高空等作业审批制度。以上制定方案、组织论证均应在本合同签署之日起【</w:t>
      </w:r>
      <w:r>
        <w:rPr>
          <w:rFonts w:hint="eastAsia" w:ascii="仿宋" w:hAnsi="仿宋" w:eastAsia="仿宋" w:cs="仿宋"/>
          <w:color w:val="000000" w:themeColor="text1"/>
          <w:sz w:val="30"/>
          <w:szCs w:val="30"/>
          <w:lang w:val="en-US" w:eastAsia="zh-CN"/>
          <w14:textFill>
            <w14:solidFill>
              <w14:schemeClr w14:val="tx1"/>
            </w14:solidFill>
          </w14:textFill>
        </w:rPr>
        <w:t>7</w:t>
      </w:r>
      <w:r>
        <w:rPr>
          <w:rFonts w:hint="eastAsia" w:ascii="仿宋" w:hAnsi="仿宋" w:eastAsia="仿宋" w:cs="仿宋"/>
          <w:color w:val="000000" w:themeColor="text1"/>
          <w:sz w:val="30"/>
          <w:szCs w:val="30"/>
          <w14:textFill>
            <w14:solidFill>
              <w14:schemeClr w14:val="tx1"/>
            </w14:solidFill>
          </w14:textFill>
        </w:rPr>
        <w:t>】日内完成。</w:t>
      </w:r>
    </w:p>
    <w:p w14:paraId="0E617C0F">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4. 乙方应对乙方及乙方人员（“乙方人员”泛指乙方雇佣人员、乙方代理人员等乙方委派、组织、委托、介绍到项目地址履行乙方相关工作或为乙方服务的全部人员，下同）的行为负责，乙方及乙方人员在履行本协议所涉项目/工程工作中（包括来往途中）所造成、受到的任何伤害、损失、安全责任均由乙方承担并负责处理。如因此造成第三方及/或甲方任何损失（包括但不限于被索赔、被处罚、被要求/判令承担连带责任/补充责任的损失及相关诉讼费、律师费、鉴定费、差旅费等费用，下同）均由乙方赔偿。</w:t>
      </w:r>
    </w:p>
    <w:p w14:paraId="1D1906E4">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5.配备专职安全员（持有效上岗证），对所有施工人员进行入场安全教育培训、安全技术交底，特种作业人员必须持证上岗。</w:t>
      </w:r>
    </w:p>
    <w:p w14:paraId="275ED641">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6.为施工人员购买工伤保险及人身意外伤害保险，提供合格的安全防护用品。未购买或购买额度不足导致的损失，均由乙方自行承担。</w:t>
      </w:r>
    </w:p>
    <w:p w14:paraId="263344D7">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7.严格遵守医院作息制度，控制施工噪音、粉尘、异味，避免影响医院正常诊疗秩序，施工垃圾做到日产日清，工完场清 。</w:t>
      </w:r>
    </w:p>
    <w:p w14:paraId="33F7B9E5">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8.负责施工期间的现场治安保卫，妥善保管施工材料、设备，承担材料、设备丢失、损坏责任。</w:t>
      </w:r>
    </w:p>
    <w:p w14:paraId="19874C60">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9.乙方应确保乙方所提供的设备、施工材料、服务及成果等均符合国家规定、行业标准及双方约定要求（包括品牌、规格），不得违反法律法规要求或侵害甲方、第三方合法权益，否则因此导致的各方任何损失均由乙方承担。</w:t>
      </w:r>
    </w:p>
    <w:p w14:paraId="68FD9CFA">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10.施工作业过程中，乙方应在作业处及周边合理设置安全警示标识并服从甲方管理人员在现场的合理管理。</w:t>
      </w:r>
    </w:p>
    <w:p w14:paraId="36D9B700">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11.作业过程中，乙方应加强管理，严禁人员酒后作业、带病作业、应有资质而无资质作业。各施工作业场所内，凡有坠落可能的任何甲方物料，乙方都要告知甲方并妥善处理，乙方亦应保管并处理好乙方物料工具，以防坠落等任何安全隐患的发生。</w:t>
      </w:r>
    </w:p>
    <w:p w14:paraId="1CB02EE8">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12. 对于甲方支付的任何款项（甲方明确必须专款专用的除外），乙方须优先用于支付乙方人员的劳动报酬、缴纳社会保险。合同履行过程中，乙方不得拖欠人员工资，否则由此给甲方造成的一切损失均由乙方承担；乙方拖欠员工工资的，甲方有权中止向乙方支付任何应付款项并给予先行垫付工资，垫付后乙方应在甲方要求的期限内归还垫付款并支付垫付款【</w:t>
      </w:r>
      <w:r>
        <w:rPr>
          <w:rFonts w:hint="eastAsia" w:ascii="仿宋" w:hAnsi="仿宋" w:eastAsia="仿宋" w:cs="仿宋"/>
          <w:color w:val="000000" w:themeColor="text1"/>
          <w:sz w:val="30"/>
          <w:szCs w:val="30"/>
          <w:lang w:val="en-US" w:eastAsia="zh-CN"/>
          <w14:textFill>
            <w14:solidFill>
              <w14:schemeClr w14:val="tx1"/>
            </w14:solidFill>
          </w14:textFill>
        </w:rPr>
        <w:t>3</w:t>
      </w:r>
      <w:r>
        <w:rPr>
          <w:rFonts w:hint="eastAsia" w:ascii="仿宋" w:hAnsi="仿宋" w:eastAsia="仿宋" w:cs="仿宋"/>
          <w:color w:val="000000" w:themeColor="text1"/>
          <w:sz w:val="30"/>
          <w:szCs w:val="30"/>
          <w14:textFill>
            <w14:solidFill>
              <w14:schemeClr w14:val="tx1"/>
            </w14:solidFill>
          </w14:textFill>
        </w:rPr>
        <w:t>】%的违约金（甲方亦有权直接从应付乙方的任何费用中抵扣该款项）。</w:t>
      </w:r>
    </w:p>
    <w:p w14:paraId="7899C07A">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13.乙方与乙方人员产生任何争议，由乙方自行妥善解决并承担费用，如因此造成甲方任何损失均由乙方赔偿。</w:t>
      </w:r>
    </w:p>
    <w:p w14:paraId="43B3D975">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14.未经甲方书面同意，乙方不得将本合同或项目任何部分转让或分包给第三方。</w:t>
      </w:r>
    </w:p>
    <w:p w14:paraId="0D429EE0">
      <w:pPr>
        <w:snapToGrid w:val="0"/>
        <w:spacing w:line="540" w:lineRule="exact"/>
        <w:ind w:firstLine="602" w:firstLineChars="20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第五条 工期管理</w:t>
      </w:r>
    </w:p>
    <w:p w14:paraId="6ADEC68D">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 1.因甲方原因（如未按时提供施工条件、设计变更）导致工期延误的，工期相应顺延。</w:t>
      </w:r>
    </w:p>
    <w:p w14:paraId="491A7EA0">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2.因乙方原因导致工期延误的，每延误一日，按合同总价款的</w:t>
      </w:r>
      <w:r>
        <w:rPr>
          <w:rFonts w:hint="eastAsia" w:ascii="仿宋" w:hAnsi="仿宋" w:eastAsia="仿宋" w:cs="仿宋"/>
          <w:color w:val="000000" w:themeColor="text1"/>
          <w:sz w:val="30"/>
          <w:szCs w:val="30"/>
          <w:lang w:val="en-US" w:eastAsia="zh-CN"/>
          <w14:textFill>
            <w14:solidFill>
              <w14:schemeClr w14:val="tx1"/>
            </w14:solidFill>
          </w14:textFill>
        </w:rPr>
        <w:t>3</w:t>
      </w:r>
      <w:r>
        <w:rPr>
          <w:rFonts w:hint="eastAsia" w:ascii="仿宋" w:hAnsi="仿宋" w:eastAsia="仿宋" w:cs="仿宋"/>
          <w:color w:val="000000" w:themeColor="text1"/>
          <w:sz w:val="30"/>
          <w:szCs w:val="30"/>
          <w14:textFill>
            <w14:solidFill>
              <w14:schemeClr w14:val="tx1"/>
            </w14:solidFill>
          </w14:textFill>
        </w:rPr>
        <w:t>‰向甲方支付违约金；延误超过</w:t>
      </w:r>
      <w:r>
        <w:rPr>
          <w:rFonts w:hint="eastAsia" w:ascii="仿宋" w:hAnsi="仿宋" w:eastAsia="仿宋" w:cs="仿宋"/>
          <w:color w:val="000000" w:themeColor="text1"/>
          <w:sz w:val="30"/>
          <w:szCs w:val="30"/>
          <w:lang w:val="en-US" w:eastAsia="zh-CN"/>
          <w14:textFill>
            <w14:solidFill>
              <w14:schemeClr w14:val="tx1"/>
            </w14:solidFill>
          </w14:textFill>
        </w:rPr>
        <w:t>30</w:t>
      </w:r>
      <w:r>
        <w:rPr>
          <w:rFonts w:hint="eastAsia" w:ascii="仿宋" w:hAnsi="仿宋" w:eastAsia="仿宋" w:cs="仿宋"/>
          <w:color w:val="000000" w:themeColor="text1"/>
          <w:sz w:val="30"/>
          <w:szCs w:val="30"/>
          <w14:textFill>
            <w14:solidFill>
              <w14:schemeClr w14:val="tx1"/>
            </w14:solidFill>
          </w14:textFill>
        </w:rPr>
        <w:t>日的，甲方有权解除合同，乙方承担违约金（按前述约定标准）及全部违约责任 。</w:t>
      </w:r>
    </w:p>
    <w:p w14:paraId="3014276F">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3.遇不可抗力（地震、洪水、重大疫情等），双方协商调整工期。</w:t>
      </w:r>
    </w:p>
    <w:p w14:paraId="6563CE4C">
      <w:pPr>
        <w:spacing w:line="540" w:lineRule="exact"/>
        <w:ind w:firstLine="602" w:firstLineChars="20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 xml:space="preserve"> 第六条 质量与验收</w:t>
      </w:r>
    </w:p>
    <w:p w14:paraId="61106BB6">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 1.材料进场须经甲方及监理单位验收合格后方可使用，隐蔽工程须经甲方验收签字后方可覆盖，否则甲方有权要求乙方拆挖以供查验，拆挖、重新覆盖等所致的费用增加、工期延误（如有）均由乙方自行承担。</w:t>
      </w:r>
    </w:p>
    <w:p w14:paraId="5B69DF04">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2.工程完工后，乙方提交竣工验收申请及完整竣工资料，甲方收到审核无误后组织相关部门在</w:t>
      </w:r>
      <w:r>
        <w:rPr>
          <w:rFonts w:hint="eastAsia" w:ascii="仿宋" w:hAnsi="仿宋" w:eastAsia="仿宋" w:cs="仿宋"/>
          <w:color w:val="000000" w:themeColor="text1"/>
          <w:sz w:val="30"/>
          <w:szCs w:val="30"/>
          <w:lang w:val="en-US" w:eastAsia="zh-CN"/>
          <w14:textFill>
            <w14:solidFill>
              <w14:schemeClr w14:val="tx1"/>
            </w14:solidFill>
          </w14:textFill>
        </w:rPr>
        <w:t>15</w:t>
      </w:r>
      <w:r>
        <w:rPr>
          <w:rFonts w:hint="eastAsia" w:ascii="仿宋" w:hAnsi="仿宋" w:eastAsia="仿宋" w:cs="仿宋"/>
          <w:color w:val="000000" w:themeColor="text1"/>
          <w:sz w:val="30"/>
          <w:szCs w:val="30"/>
          <w14:textFill>
            <w14:solidFill>
              <w14:schemeClr w14:val="tx1"/>
            </w14:solidFill>
          </w14:textFill>
        </w:rPr>
        <w:t>日内组织验收。</w:t>
      </w:r>
    </w:p>
    <w:p w14:paraId="71130E01">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3.验收合格的，签署《工程竣工验收单》；验收不合格的，乙方限期整改，整改费用由乙方承担，工期不予顺延。</w:t>
      </w:r>
    </w:p>
    <w:p w14:paraId="59E8261F">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4.甲方的验收仅是对施工成果外观、基础功能的初步查验，不因此免除乙方应对本合同所涉工程所应承担的质量责任。</w:t>
      </w:r>
    </w:p>
    <w:p w14:paraId="22D3FB47">
      <w:pPr>
        <w:snapToGrid w:val="0"/>
        <w:spacing w:line="54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5.质保期：装修工程</w:t>
      </w:r>
      <w:r>
        <w:rPr>
          <w:rFonts w:hint="eastAsia" w:ascii="仿宋" w:hAnsi="仿宋" w:eastAsia="仿宋" w:cs="仿宋"/>
          <w:color w:val="000000" w:themeColor="text1"/>
          <w:sz w:val="30"/>
          <w:szCs w:val="30"/>
          <w:highlight w:val="non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年，防水工程</w:t>
      </w: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年，消防、电气等专项工程按国家规定执行，质保期自竣工验收合格之日起计算 。质保期内乙方应积极履行质保责任，质保期内出现故障后，乙方保证在接到甲方通知后【</w:t>
      </w:r>
      <w:r>
        <w:rPr>
          <w:rFonts w:hint="eastAsia" w:ascii="仿宋" w:hAnsi="仿宋" w:eastAsia="仿宋" w:cs="仿宋"/>
          <w:color w:val="000000" w:themeColor="text1"/>
          <w:sz w:val="30"/>
          <w:szCs w:val="30"/>
          <w:highlight w:val="none"/>
          <w:lang w:val="en-US" w:eastAsia="zh-CN"/>
          <w14:textFill>
            <w14:solidFill>
              <w14:schemeClr w14:val="tx1"/>
            </w14:solidFill>
          </w14:textFill>
        </w:rPr>
        <w:t>24</w:t>
      </w:r>
      <w:r>
        <w:rPr>
          <w:rFonts w:hint="eastAsia" w:ascii="仿宋" w:hAnsi="仿宋" w:eastAsia="仿宋" w:cs="仿宋"/>
          <w:color w:val="000000" w:themeColor="text1"/>
          <w:sz w:val="30"/>
          <w:szCs w:val="30"/>
          <w:highlight w:val="none"/>
          <w14:textFill>
            <w14:solidFill>
              <w14:schemeClr w14:val="tx1"/>
            </w14:solidFill>
          </w14:textFill>
        </w:rPr>
        <w:t>】小时内到场维修、排除相关故障恢复正常运行/使用。乙方违背前述约定的，甲方有权委托第三方维修，产生的费用由乙方全部承担，同时甲方有权按照实际维修费用的【</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】%加收违约金。</w:t>
      </w:r>
    </w:p>
    <w:p w14:paraId="1E069E02">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 </w:t>
      </w:r>
      <w:r>
        <w:rPr>
          <w:rFonts w:hint="eastAsia" w:ascii="仿宋" w:hAnsi="仿宋" w:eastAsia="仿宋" w:cs="仿宋"/>
          <w:b/>
          <w:bCs/>
          <w:color w:val="000000" w:themeColor="text1"/>
          <w:sz w:val="30"/>
          <w:szCs w:val="30"/>
          <w14:textFill>
            <w14:solidFill>
              <w14:schemeClr w14:val="tx1"/>
            </w14:solidFill>
          </w14:textFill>
        </w:rPr>
        <w:t>第七条 价款支付</w:t>
      </w:r>
    </w:p>
    <w:p w14:paraId="60472EE1">
      <w:pPr>
        <w:snapToGrid w:val="0"/>
        <w:spacing w:line="540" w:lineRule="exact"/>
        <w:ind w:firstLine="48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1.预付款：合同签订后</w:t>
      </w:r>
      <w:r>
        <w:rPr>
          <w:rFonts w:hint="eastAsia" w:ascii="仿宋" w:hAnsi="仿宋" w:eastAsia="仿宋" w:cs="仿宋"/>
          <w:color w:val="000000" w:themeColor="text1"/>
          <w:sz w:val="30"/>
          <w:szCs w:val="30"/>
          <w:highlight w:val="none"/>
          <w:lang w:val="en-US" w:eastAsia="zh-CN"/>
          <w14:textFill>
            <w14:solidFill>
              <w14:schemeClr w14:val="tx1"/>
            </w14:solidFill>
          </w14:textFill>
        </w:rPr>
        <w:t>15</w:t>
      </w:r>
      <w:r>
        <w:rPr>
          <w:rFonts w:hint="eastAsia" w:ascii="仿宋" w:hAnsi="仿宋" w:eastAsia="仿宋" w:cs="仿宋"/>
          <w:color w:val="000000" w:themeColor="text1"/>
          <w:sz w:val="30"/>
          <w:szCs w:val="30"/>
          <w:highlight w:val="none"/>
          <w14:textFill>
            <w14:solidFill>
              <w14:schemeClr w14:val="tx1"/>
            </w14:solidFill>
          </w14:textFill>
        </w:rPr>
        <w:t>日内，甲方向乙方支付合同总价款的</w:t>
      </w:r>
      <w:r>
        <w:rPr>
          <w:rFonts w:hint="eastAsia" w:ascii="仿宋" w:hAnsi="仿宋" w:eastAsia="仿宋" w:cs="仿宋"/>
          <w:color w:val="000000" w:themeColor="text1"/>
          <w:sz w:val="30"/>
          <w:szCs w:val="30"/>
          <w:highlight w:val="none"/>
          <w:lang w:val="en-US" w:eastAsia="zh-CN"/>
          <w14:textFill>
            <w14:solidFill>
              <w14:schemeClr w14:val="tx1"/>
            </w14:solidFill>
          </w14:textFill>
        </w:rPr>
        <w:t>20</w:t>
      </w:r>
      <w:r>
        <w:rPr>
          <w:rFonts w:hint="eastAsia" w:ascii="仿宋" w:hAnsi="仿宋" w:eastAsia="仿宋" w:cs="仿宋"/>
          <w:color w:val="000000" w:themeColor="text1"/>
          <w:sz w:val="30"/>
          <w:szCs w:val="30"/>
          <w:highlight w:val="none"/>
          <w14:textFill>
            <w14:solidFill>
              <w14:schemeClr w14:val="tx1"/>
            </w14:solidFill>
          </w14:textFill>
        </w:rPr>
        <w:t>%作为预付款。</w:t>
      </w:r>
    </w:p>
    <w:p w14:paraId="5A51B99B">
      <w:pPr>
        <w:snapToGrid w:val="0"/>
        <w:spacing w:line="540" w:lineRule="exact"/>
        <w:ind w:firstLine="48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2.进度款：工程</w:t>
      </w:r>
      <w:r>
        <w:rPr>
          <w:rFonts w:hint="eastAsia" w:ascii="仿宋" w:hAnsi="仿宋" w:eastAsia="仿宋" w:cs="仿宋"/>
          <w:color w:val="000000" w:themeColor="text1"/>
          <w:sz w:val="30"/>
          <w:szCs w:val="30"/>
          <w:highlight w:val="none"/>
          <w:lang w:eastAsia="zh-CN"/>
          <w14:textFill>
            <w14:solidFill>
              <w14:schemeClr w14:val="tx1"/>
            </w14:solidFill>
          </w14:textFill>
        </w:rPr>
        <w:t>完工后</w:t>
      </w:r>
      <w:r>
        <w:rPr>
          <w:rFonts w:hint="eastAsia" w:ascii="仿宋" w:hAnsi="仿宋" w:eastAsia="仿宋" w:cs="仿宋"/>
          <w:color w:val="000000" w:themeColor="text1"/>
          <w:sz w:val="30"/>
          <w:szCs w:val="30"/>
          <w:highlight w:val="none"/>
          <w14:textFill>
            <w14:solidFill>
              <w14:schemeClr w14:val="tx1"/>
            </w14:solidFill>
          </w14:textFill>
        </w:rPr>
        <w:t>，甲方支付至合同总价款的</w:t>
      </w:r>
      <w:r>
        <w:rPr>
          <w:rFonts w:hint="eastAsia" w:ascii="仿宋" w:hAnsi="仿宋" w:eastAsia="仿宋" w:cs="仿宋"/>
          <w:color w:val="000000" w:themeColor="text1"/>
          <w:sz w:val="30"/>
          <w:szCs w:val="30"/>
          <w:highlight w:val="none"/>
          <w:lang w:val="en-US" w:eastAsia="zh-CN"/>
          <w14:textFill>
            <w14:solidFill>
              <w14:schemeClr w14:val="tx1"/>
            </w14:solidFill>
          </w14:textFill>
        </w:rPr>
        <w:t>80</w:t>
      </w:r>
      <w:r>
        <w:rPr>
          <w:rFonts w:hint="eastAsia" w:ascii="仿宋" w:hAnsi="仿宋" w:eastAsia="仿宋" w:cs="仿宋"/>
          <w:color w:val="000000" w:themeColor="text1"/>
          <w:sz w:val="30"/>
          <w:szCs w:val="30"/>
          <w:highlight w:val="none"/>
          <w14:textFill>
            <w14:solidFill>
              <w14:schemeClr w14:val="tx1"/>
            </w14:solidFill>
          </w14:textFill>
        </w:rPr>
        <w:t>%。</w:t>
      </w:r>
    </w:p>
    <w:p w14:paraId="64CD8DE6">
      <w:pPr>
        <w:snapToGrid w:val="0"/>
        <w:spacing w:line="540" w:lineRule="exact"/>
        <w:ind w:firstLine="48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3.竣工款：工程竣工验收合格、结算审核完成后</w:t>
      </w:r>
      <w:r>
        <w:rPr>
          <w:rFonts w:hint="eastAsia" w:ascii="仿宋" w:hAnsi="仿宋" w:eastAsia="仿宋" w:cs="仿宋"/>
          <w:color w:val="000000" w:themeColor="text1"/>
          <w:sz w:val="30"/>
          <w:szCs w:val="30"/>
          <w:highlight w:val="none"/>
          <w:lang w:val="en-US" w:eastAsia="zh-CN"/>
          <w14:textFill>
            <w14:solidFill>
              <w14:schemeClr w14:val="tx1"/>
            </w14:solidFill>
          </w14:textFill>
        </w:rPr>
        <w:t>15</w:t>
      </w:r>
      <w:r>
        <w:rPr>
          <w:rFonts w:hint="eastAsia" w:ascii="仿宋" w:hAnsi="仿宋" w:eastAsia="仿宋" w:cs="仿宋"/>
          <w:color w:val="000000" w:themeColor="text1"/>
          <w:sz w:val="30"/>
          <w:szCs w:val="30"/>
          <w:highlight w:val="none"/>
          <w14:textFill>
            <w14:solidFill>
              <w14:schemeClr w14:val="tx1"/>
            </w14:solidFill>
          </w14:textFill>
        </w:rPr>
        <w:t>日内，甲方支付至结算总价款的</w:t>
      </w:r>
      <w:r>
        <w:rPr>
          <w:rFonts w:hint="eastAsia" w:ascii="仿宋" w:hAnsi="仿宋" w:eastAsia="仿宋" w:cs="仿宋"/>
          <w:color w:val="000000" w:themeColor="text1"/>
          <w:sz w:val="30"/>
          <w:szCs w:val="30"/>
          <w:highlight w:val="none"/>
          <w:lang w:val="en-US" w:eastAsia="zh-CN"/>
          <w14:textFill>
            <w14:solidFill>
              <w14:schemeClr w14:val="tx1"/>
            </w14:solidFill>
          </w14:textFill>
        </w:rPr>
        <w:t>97</w:t>
      </w:r>
      <w:r>
        <w:rPr>
          <w:rFonts w:hint="eastAsia" w:ascii="仿宋" w:hAnsi="仿宋" w:eastAsia="仿宋" w:cs="仿宋"/>
          <w:color w:val="000000" w:themeColor="text1"/>
          <w:sz w:val="30"/>
          <w:szCs w:val="30"/>
          <w:highlight w:val="none"/>
          <w14:textFill>
            <w14:solidFill>
              <w14:schemeClr w14:val="tx1"/>
            </w14:solidFill>
          </w14:textFill>
        </w:rPr>
        <w:t>%。</w:t>
      </w:r>
    </w:p>
    <w:p w14:paraId="50A9D084">
      <w:pPr>
        <w:snapToGrid w:val="0"/>
        <w:spacing w:line="540" w:lineRule="exact"/>
        <w:ind w:firstLine="48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4.剩余</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%质保期满无质量问题后</w:t>
      </w:r>
      <w:r>
        <w:rPr>
          <w:rFonts w:hint="eastAsia" w:ascii="仿宋" w:hAnsi="仿宋" w:eastAsia="仿宋" w:cs="仿宋"/>
          <w:color w:val="000000" w:themeColor="text1"/>
          <w:sz w:val="30"/>
          <w:szCs w:val="30"/>
          <w:highlight w:val="none"/>
          <w:lang w:val="en-US" w:eastAsia="zh-CN"/>
          <w14:textFill>
            <w14:solidFill>
              <w14:schemeClr w14:val="tx1"/>
            </w14:solidFill>
          </w14:textFill>
        </w:rPr>
        <w:t>15</w:t>
      </w:r>
      <w:r>
        <w:rPr>
          <w:rFonts w:hint="eastAsia" w:ascii="仿宋" w:hAnsi="仿宋" w:eastAsia="仿宋" w:cs="仿宋"/>
          <w:color w:val="000000" w:themeColor="text1"/>
          <w:sz w:val="30"/>
          <w:szCs w:val="30"/>
          <w:highlight w:val="none"/>
          <w14:textFill>
            <w14:solidFill>
              <w14:schemeClr w14:val="tx1"/>
            </w14:solidFill>
          </w14:textFill>
        </w:rPr>
        <w:t>日内无息返还。</w:t>
      </w:r>
    </w:p>
    <w:p w14:paraId="74124ADB">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5.付款前乙方须按照甲方要求提供合法合规的发票，否则甲方有权延迟付款。</w:t>
      </w:r>
    </w:p>
    <w:p w14:paraId="2545348F">
      <w:pPr>
        <w:spacing w:line="540" w:lineRule="exact"/>
        <w:ind w:firstLine="602" w:firstLineChars="20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第八条 违约责任</w:t>
      </w:r>
    </w:p>
    <w:p w14:paraId="2F891BE5">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如果乙方违背本合同任何条款，且自甲方对该等违约发出通知后在甲方给予的改正期限内没有纠正或取得甲方谅解的，则甲方有权解除本合同，乙方应向甲方支付本合同总费用【</w:t>
      </w:r>
      <w:r>
        <w:rPr>
          <w:rFonts w:hint="eastAsia" w:ascii="仿宋" w:hAnsi="仿宋" w:eastAsia="仿宋" w:cs="仿宋"/>
          <w:color w:val="000000" w:themeColor="text1"/>
          <w:sz w:val="30"/>
          <w:szCs w:val="30"/>
          <w:lang w:val="en-US" w:eastAsia="zh-CN"/>
          <w14:textFill>
            <w14:solidFill>
              <w14:schemeClr w14:val="tx1"/>
            </w14:solidFill>
          </w14:textFill>
        </w:rPr>
        <w:t>3</w:t>
      </w:r>
      <w:r>
        <w:rPr>
          <w:rFonts w:hint="eastAsia" w:ascii="仿宋" w:hAnsi="仿宋" w:eastAsia="仿宋" w:cs="仿宋"/>
          <w:color w:val="000000" w:themeColor="text1"/>
          <w:sz w:val="30"/>
          <w:szCs w:val="30"/>
          <w14:textFill>
            <w14:solidFill>
              <w14:schemeClr w14:val="tx1"/>
            </w14:solidFill>
          </w14:textFill>
        </w:rPr>
        <w:t>】%的违约金并承担由此给甲方造成的一切损失。</w:t>
      </w:r>
    </w:p>
    <w:p w14:paraId="03060F2E">
      <w:pPr>
        <w:snapToGrid w:val="0"/>
        <w:spacing w:line="540" w:lineRule="exact"/>
        <w:ind w:firstLine="48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本合同所涉的甲方损失均包括但不限于直接损失、被索赔、被处罚、被罚款、被要求承担连带责任等损失及甲方因此支出的诉讼费、鉴定费、律师费（无论是否是否提请诉讼或仲裁程序）、差旅费等费用。</w:t>
      </w:r>
    </w:p>
    <w:p w14:paraId="51FEC14F">
      <w:pPr>
        <w:spacing w:line="540" w:lineRule="exact"/>
        <w:ind w:firstLine="602" w:firstLineChars="20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第九条 争议解决</w:t>
      </w:r>
    </w:p>
    <w:p w14:paraId="4DE3D782">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因履行本合同引起有关的争议，甲乙双方应首先通过友好协商解决，如果协商不能解决，可向甲方所在地人民法院诉讼。</w:t>
      </w:r>
    </w:p>
    <w:p w14:paraId="16FFB71D">
      <w:pPr>
        <w:snapToGrid w:val="0"/>
        <w:spacing w:line="540" w:lineRule="exact"/>
        <w:ind w:firstLine="602" w:firstLineChars="200"/>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color w:val="000000" w:themeColor="text1"/>
          <w:sz w:val="30"/>
          <w:szCs w:val="30"/>
          <w14:textFill>
            <w14:solidFill>
              <w14:schemeClr w14:val="tx1"/>
            </w14:solidFill>
          </w14:textFill>
        </w:rPr>
        <w:t>第十条　</w:t>
      </w:r>
    </w:p>
    <w:p w14:paraId="366D8D8A">
      <w:pPr>
        <w:snapToGrid w:val="0"/>
        <w:spacing w:line="54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本合同一式五份，甲方四份，乙方一份。</w:t>
      </w:r>
    </w:p>
    <w:p w14:paraId="017B05D5">
      <w:pPr>
        <w:pStyle w:val="45"/>
        <w:spacing w:before="100" w:after="100" w:line="540" w:lineRule="exact"/>
        <w:ind w:left="6440" w:hanging="6440" w:hangingChars="2300"/>
        <w:rPr>
          <w:rFonts w:hint="eastAsia" w:ascii="ˎ̥" w:hAnsi="ˎ̥"/>
          <w:sz w:val="28"/>
          <w:szCs w:val="28"/>
        </w:rPr>
      </w:pPr>
    </w:p>
    <w:p w14:paraId="7BDC2EE5">
      <w:pPr>
        <w:pStyle w:val="45"/>
        <w:spacing w:before="100" w:after="100" w:line="540" w:lineRule="exact"/>
        <w:ind w:left="6440" w:hanging="6440" w:hangingChars="2300"/>
        <w:rPr>
          <w:rFonts w:hint="eastAsia" w:ascii="仿宋" w:hAnsi="仿宋" w:eastAsia="仿宋" w:cs="仿宋"/>
          <w:sz w:val="28"/>
          <w:szCs w:val="28"/>
        </w:rPr>
      </w:pPr>
      <w:r>
        <w:rPr>
          <w:rFonts w:hint="eastAsia" w:ascii="仿宋" w:hAnsi="仿宋" w:eastAsia="仿宋" w:cs="仿宋"/>
          <w:sz w:val="28"/>
          <w:szCs w:val="28"/>
        </w:rPr>
        <w:t>甲      方：安康市妇幼保健院         乙      方：</w:t>
      </w:r>
    </w:p>
    <w:p w14:paraId="4BE2CDED">
      <w:pPr>
        <w:pStyle w:val="45"/>
        <w:spacing w:before="100" w:after="100" w:line="540" w:lineRule="exact"/>
        <w:rPr>
          <w:rFonts w:hint="eastAsia" w:ascii="仿宋" w:hAnsi="仿宋" w:eastAsia="仿宋" w:cs="仿宋"/>
          <w:sz w:val="28"/>
          <w:szCs w:val="28"/>
        </w:rPr>
      </w:pPr>
      <w:r>
        <w:rPr>
          <w:rFonts w:hint="eastAsia" w:ascii="仿宋" w:hAnsi="仿宋" w:eastAsia="仿宋" w:cs="仿宋"/>
          <w:sz w:val="28"/>
          <w:szCs w:val="28"/>
        </w:rPr>
        <w:t>法定代表人或                         法定代表人或</w:t>
      </w:r>
    </w:p>
    <w:p w14:paraId="302F9C5E">
      <w:pPr>
        <w:pStyle w:val="45"/>
        <w:spacing w:before="100" w:after="100" w:line="540" w:lineRule="exact"/>
        <w:rPr>
          <w:rFonts w:hint="eastAsia" w:ascii="仿宋" w:hAnsi="仿宋" w:eastAsia="仿宋" w:cs="仿宋"/>
          <w:sz w:val="28"/>
          <w:szCs w:val="28"/>
        </w:rPr>
      </w:pPr>
      <w:r>
        <w:rPr>
          <w:rFonts w:hint="eastAsia" w:ascii="仿宋" w:hAnsi="仿宋" w:eastAsia="仿宋" w:cs="仿宋"/>
          <w:sz w:val="28"/>
          <w:szCs w:val="28"/>
        </w:rPr>
        <w:t>授权委托人：                         委托代理人：</w:t>
      </w:r>
    </w:p>
    <w:p w14:paraId="329B2F49">
      <w:pPr>
        <w:pStyle w:val="45"/>
        <w:spacing w:before="100" w:after="100" w:line="540" w:lineRule="exact"/>
        <w:rPr>
          <w:rFonts w:hint="eastAsia" w:ascii="仿宋" w:hAnsi="仿宋" w:eastAsia="仿宋" w:cs="仿宋"/>
          <w:sz w:val="28"/>
          <w:szCs w:val="28"/>
        </w:rPr>
      </w:pPr>
      <w:r>
        <w:rPr>
          <w:rFonts w:hint="eastAsia" w:ascii="仿宋" w:hAnsi="仿宋" w:eastAsia="仿宋" w:cs="仿宋"/>
          <w:sz w:val="28"/>
          <w:szCs w:val="28"/>
        </w:rPr>
        <w:t>科室负责人：</w:t>
      </w:r>
    </w:p>
    <w:p w14:paraId="5F3E9B79">
      <w:pPr>
        <w:pStyle w:val="45"/>
        <w:spacing w:before="100" w:after="100" w:line="540" w:lineRule="exact"/>
        <w:rPr>
          <w:rFonts w:hint="eastAsia" w:ascii="仿宋" w:hAnsi="仿宋" w:eastAsia="仿宋" w:cs="仿宋"/>
          <w:sz w:val="28"/>
          <w:szCs w:val="28"/>
        </w:rPr>
      </w:pPr>
      <w:r>
        <w:rPr>
          <w:rFonts w:hint="eastAsia" w:ascii="仿宋" w:hAnsi="仿宋" w:eastAsia="仿宋" w:cs="仿宋"/>
          <w:sz w:val="28"/>
          <w:szCs w:val="28"/>
        </w:rPr>
        <w:t>经  办  人：</w:t>
      </w:r>
    </w:p>
    <w:p w14:paraId="68D1E0F2">
      <w:pPr>
        <w:pStyle w:val="45"/>
        <w:spacing w:before="100" w:after="100" w:line="540" w:lineRule="exact"/>
        <w:ind w:firstLine="4480" w:firstLineChars="1600"/>
        <w:rPr>
          <w:rFonts w:hint="eastAsia" w:ascii="仿宋" w:hAnsi="仿宋" w:eastAsia="仿宋" w:cs="仿宋"/>
          <w:sz w:val="28"/>
          <w:szCs w:val="28"/>
        </w:rPr>
      </w:pPr>
      <w:r>
        <w:rPr>
          <w:rFonts w:hint="eastAsia" w:ascii="仿宋" w:hAnsi="仿宋" w:eastAsia="仿宋" w:cs="仿宋"/>
          <w:sz w:val="28"/>
          <w:szCs w:val="28"/>
        </w:rPr>
        <w:t xml:space="preserve">  签订  日期：      年   月  日</w:t>
      </w:r>
    </w:p>
    <w:p w14:paraId="0BE36C43">
      <w:pPr>
        <w:spacing w:line="540" w:lineRule="exact"/>
        <w:rPr>
          <w:rFonts w:hint="eastAsia" w:ascii="仿宋" w:hAnsi="仿宋" w:eastAsia="仿宋" w:cs="仿宋"/>
          <w:color w:val="000000" w:themeColor="text1"/>
          <w:sz w:val="30"/>
          <w:szCs w:val="30"/>
          <w14:textFill>
            <w14:solidFill>
              <w14:schemeClr w14:val="tx1"/>
            </w14:solidFill>
          </w14:textFill>
        </w:rPr>
      </w:pPr>
    </w:p>
    <w:p w14:paraId="3A58E3FF">
      <w:pPr>
        <w:rPr>
          <w:rStyle w:val="204"/>
          <w:rFonts w:hint="eastAsia" w:ascii="仿宋" w:hAnsi="仿宋" w:eastAsia="仿宋" w:cs="仿宋"/>
          <w:color w:val="000000" w:themeColor="text1"/>
          <w:sz w:val="36"/>
          <w:szCs w:val="36"/>
          <w:highlight w:val="none"/>
          <w14:textFill>
            <w14:solidFill>
              <w14:schemeClr w14:val="tx1"/>
            </w14:solidFill>
          </w14:textFill>
        </w:rPr>
      </w:pPr>
      <w:r>
        <w:rPr>
          <w:rStyle w:val="204"/>
          <w:rFonts w:hint="eastAsia" w:ascii="仿宋" w:hAnsi="仿宋" w:eastAsia="仿宋" w:cs="仿宋"/>
          <w:color w:val="000000" w:themeColor="text1"/>
          <w:sz w:val="36"/>
          <w:szCs w:val="36"/>
          <w:highlight w:val="none"/>
          <w14:textFill>
            <w14:solidFill>
              <w14:schemeClr w14:val="tx1"/>
            </w14:solidFill>
          </w14:textFill>
        </w:rPr>
        <w:br w:type="page"/>
      </w:r>
    </w:p>
    <w:p w14:paraId="00246D60">
      <w:pPr>
        <w:pStyle w:val="47"/>
        <w:shd w:val="clear"/>
        <w:spacing w:line="360" w:lineRule="auto"/>
        <w:rPr>
          <w:rStyle w:val="204"/>
          <w:rFonts w:hint="eastAsia" w:ascii="仿宋" w:hAnsi="仿宋" w:eastAsia="仿宋" w:cs="仿宋"/>
          <w:color w:val="000000" w:themeColor="text1"/>
          <w:sz w:val="36"/>
          <w:szCs w:val="36"/>
          <w:highlight w:val="none"/>
          <w14:textFill>
            <w14:solidFill>
              <w14:schemeClr w14:val="tx1"/>
            </w14:solidFill>
          </w14:textFill>
        </w:rPr>
      </w:pPr>
      <w:r>
        <w:rPr>
          <w:rStyle w:val="204"/>
          <w:rFonts w:hint="eastAsia" w:ascii="仿宋" w:hAnsi="仿宋" w:eastAsia="仿宋" w:cs="仿宋"/>
          <w:color w:val="000000" w:themeColor="text1"/>
          <w:sz w:val="36"/>
          <w:szCs w:val="36"/>
          <w:highlight w:val="none"/>
          <w14:textFill>
            <w14:solidFill>
              <w14:schemeClr w14:val="tx1"/>
            </w14:solidFill>
          </w14:textFill>
        </w:rPr>
        <w:t>第五章  采购内容及要求</w:t>
      </w:r>
      <w:bookmarkEnd w:id="465"/>
      <w:bookmarkEnd w:id="466"/>
      <w:bookmarkEnd w:id="467"/>
    </w:p>
    <w:p w14:paraId="68E30AA5">
      <w:pPr>
        <w:rPr>
          <w:rStyle w:val="204"/>
          <w:rFonts w:hint="eastAsia" w:ascii="仿宋" w:hAnsi="仿宋" w:eastAsia="仿宋" w:cs="仿宋"/>
          <w:color w:val="auto"/>
          <w:sz w:val="36"/>
          <w:szCs w:val="36"/>
          <w:highlight w:val="none"/>
          <w:lang w:eastAsia="zh-CN"/>
        </w:rPr>
      </w:pPr>
      <w:bookmarkStart w:id="468" w:name="_Toc58504449"/>
      <w:bookmarkStart w:id="469" w:name="_Toc389620241"/>
      <w:bookmarkStart w:id="470" w:name="_Toc415499899"/>
      <w:bookmarkStart w:id="471" w:name="_Toc31008"/>
      <w:bookmarkStart w:id="472" w:name="_Toc385992401"/>
    </w:p>
    <w:p w14:paraId="004AD176">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一、工程概况</w:t>
      </w:r>
    </w:p>
    <w:p w14:paraId="756E60D7">
      <w:pPr>
        <w:keepNext w:val="0"/>
        <w:keepLines w:val="0"/>
        <w:widowControl/>
        <w:suppressLineNumbers w:val="0"/>
        <w:spacing w:line="360" w:lineRule="auto"/>
        <w:ind w:firstLine="960" w:firstLineChars="4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本工程为安康市妇幼保健院西侧空地规划项目、 改造主要内容为：室外场地</w:t>
      </w:r>
    </w:p>
    <w:p w14:paraId="6523F782">
      <w:pPr>
        <w:keepNext w:val="0"/>
        <w:keepLines w:val="0"/>
        <w:widowControl/>
        <w:suppressLineNumbers w:val="0"/>
        <w:spacing w:line="360" w:lineRule="auto"/>
        <w:ind w:firstLine="480" w:firstLineChars="200"/>
        <w:jc w:val="left"/>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 xml:space="preserve">硬化，停车场、场地绿化等。 </w:t>
      </w:r>
    </w:p>
    <w:p w14:paraId="19ECCA5A">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二、编制依据：</w:t>
      </w:r>
    </w:p>
    <w:p w14:paraId="58E2666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1、《2025 陕西省建设工程工程量清单计价标准》。（2025 版）</w:t>
      </w:r>
    </w:p>
    <w:p w14:paraId="4B86B19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2、施工设计图纸；</w:t>
      </w:r>
    </w:p>
    <w:p w14:paraId="10F710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3、施工设计图中选用的相关标准图集；</w:t>
      </w:r>
    </w:p>
    <w:p w14:paraId="37276B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4、本工程采用广联达计价软件 GCCP7.0 编制编制</w:t>
      </w:r>
    </w:p>
    <w:p w14:paraId="676854E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5、执行陕西省工程建设标准《建设工程工程量清单计价标准》DB61/T</w:t>
      </w:r>
    </w:p>
    <w:p w14:paraId="66789B1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5126-2025、陕西省工程建设标准《房屋建筑与装饰工程工程量计算标准》</w:t>
      </w:r>
    </w:p>
    <w:p w14:paraId="5640E79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DB61/T 5129-2025、陕西省工程建设标准《通用安装工程工程量计算标准》</w:t>
      </w:r>
    </w:p>
    <w:p w14:paraId="3820713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DB61/T 5130-2025。</w:t>
      </w:r>
    </w:p>
    <w:p w14:paraId="1AACBC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6、《陕西省房屋建筑与装饰工程消耗量定额》（2025）、《陕西省通用安</w:t>
      </w:r>
    </w:p>
    <w:p w14:paraId="75F2EEE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装工程消耗量定额》（2025）。</w:t>
      </w:r>
    </w:p>
    <w:p w14:paraId="5F9A38E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7、《陕西省房屋建筑与装饰工程基价表》(2025)、《陕西省通用安装工程</w:t>
      </w:r>
    </w:p>
    <w:p w14:paraId="359CD8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基价表》(2025)。</w:t>
      </w:r>
    </w:p>
    <w:p w14:paraId="3D9B12C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8、《陕西省建设工程施工机械台班费用定额》（2025）、《陕西省建设工</w:t>
      </w:r>
    </w:p>
    <w:p w14:paraId="66B4E3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程施工仪器仪表台班费用定额》（2025）。</w:t>
      </w:r>
    </w:p>
    <w:p w14:paraId="7EB47A1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9、最高限价编制材料价、人工费执行《2025年陕西省第一期基价》及《安</w:t>
      </w:r>
    </w:p>
    <w:p w14:paraId="78EB350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康工程造价管理信息》2026年第4期信息价计算。</w:t>
      </w:r>
    </w:p>
    <w:p w14:paraId="2908300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10、与建设工程项目有关的标准、规范、图集、技术资料。</w:t>
      </w:r>
    </w:p>
    <w:p w14:paraId="7A0845D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11．施工现场情况、工程特点及常规施工方案。</w:t>
      </w:r>
    </w:p>
    <w:p w14:paraId="6EA0D4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12．其他相关资料及建设方要求。</w:t>
      </w:r>
    </w:p>
    <w:p w14:paraId="0FE7D339">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三、投标人计价要求：</w:t>
      </w:r>
    </w:p>
    <w:p w14:paraId="6D39E042">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1、投标人应依据《计价规则》规定和招标文件要求进行计价。工程量清 </w:t>
      </w:r>
    </w:p>
    <w:p w14:paraId="735FB2D6">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单计价内容包括分部分项工程费、措施项目费、其它项目费和规费、税金。工 </w:t>
      </w:r>
    </w:p>
    <w:p w14:paraId="7BDD9F6A">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程量清单计价以综合单价计价，综合单价应根据《计价规则》的程序组价。 </w:t>
      </w:r>
    </w:p>
    <w:p w14:paraId="4F7EEE70">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2、工程量清单中的每一个项目都需填入单价，对于没有填入单价或总额 </w:t>
      </w:r>
    </w:p>
    <w:p w14:paraId="36AAC7C9">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价的项目，其费用应视为已包括在工程量的其它单价或总额中、承包人必须按 </w:t>
      </w:r>
    </w:p>
    <w:p w14:paraId="05158429">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监理工程师指令完成工程量清单中未填入单价或总额价的工程项目。 </w:t>
      </w:r>
    </w:p>
    <w:p w14:paraId="08A6EF1E">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3、本工程量清单所提供的工程项目其工程内容仅表达了主要工程做法， </w:t>
      </w:r>
    </w:p>
    <w:p w14:paraId="15FBF908">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报价时各投标单位应依据图纸用料说明、相关图集，结合招标文件、技术规范、 </w:t>
      </w:r>
    </w:p>
    <w:p w14:paraId="6C0E7597">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图纸等文件来进行组价。 </w:t>
      </w:r>
    </w:p>
    <w:p w14:paraId="7C4BE0A2">
      <w:pPr>
        <w:keepNext w:val="0"/>
        <w:keepLines w:val="0"/>
        <w:widowControl/>
        <w:suppressLineNumbers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4、投标人根据《计价规则》规定和投标文件要求格式计价，其中人工费、 </w:t>
      </w:r>
    </w:p>
    <w:p w14:paraId="19CE52BC">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材料费、机械费，投标人应根据施工组织设计、企业实际情况、市场信息价自 </w:t>
      </w:r>
    </w:p>
    <w:p w14:paraId="5A88A3CD">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主报价。组价时应考虑以下因素：人工费、材料费、机械费社会价格浮动因素， </w:t>
      </w:r>
    </w:p>
    <w:p w14:paraId="0B8C629A">
      <w:pPr>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自然灾害及停水、停电、停窝工损失等风险费用。</w:t>
      </w:r>
    </w:p>
    <w:p w14:paraId="114F2A8F">
      <w:pPr>
        <w:rPr>
          <w:rStyle w:val="204"/>
          <w:rFonts w:hint="eastAsia" w:ascii="仿宋" w:hAnsi="仿宋" w:eastAsia="仿宋" w:cs="仿宋"/>
          <w:color w:val="auto"/>
          <w:sz w:val="36"/>
          <w:szCs w:val="36"/>
          <w:highlight w:val="none"/>
          <w:lang w:eastAsia="zh-CN"/>
        </w:rPr>
      </w:pPr>
    </w:p>
    <w:p w14:paraId="6D926B6D">
      <w:pPr>
        <w:rPr>
          <w:rStyle w:val="204"/>
          <w:rFonts w:hint="eastAsia" w:ascii="仿宋" w:hAnsi="仿宋" w:eastAsia="仿宋" w:cs="仿宋"/>
          <w:color w:val="auto"/>
          <w:sz w:val="36"/>
          <w:szCs w:val="36"/>
          <w:highlight w:val="none"/>
          <w:lang w:eastAsia="zh-CN"/>
        </w:rPr>
      </w:pPr>
    </w:p>
    <w:p w14:paraId="519A1BE4">
      <w:pPr>
        <w:rPr>
          <w:rStyle w:val="204"/>
          <w:rFonts w:hint="eastAsia" w:ascii="仿宋" w:hAnsi="仿宋" w:eastAsia="仿宋" w:cs="仿宋"/>
          <w:color w:val="auto"/>
          <w:sz w:val="36"/>
          <w:szCs w:val="36"/>
          <w:highlight w:val="none"/>
          <w:lang w:eastAsia="zh-CN"/>
        </w:rPr>
      </w:pPr>
    </w:p>
    <w:p w14:paraId="07E4DFB9">
      <w:pPr>
        <w:rPr>
          <w:rStyle w:val="204"/>
          <w:rFonts w:hint="eastAsia" w:ascii="仿宋" w:hAnsi="仿宋" w:eastAsia="仿宋" w:cs="仿宋"/>
          <w:color w:val="auto"/>
          <w:sz w:val="36"/>
          <w:szCs w:val="36"/>
          <w:highlight w:val="none"/>
          <w:lang w:eastAsia="zh-CN"/>
        </w:rPr>
      </w:pPr>
    </w:p>
    <w:p w14:paraId="73944A56">
      <w:pPr>
        <w:rPr>
          <w:rStyle w:val="204"/>
          <w:rFonts w:hint="eastAsia" w:ascii="仿宋" w:hAnsi="仿宋" w:eastAsia="仿宋" w:cs="仿宋"/>
          <w:color w:val="auto"/>
          <w:sz w:val="36"/>
          <w:szCs w:val="36"/>
          <w:highlight w:val="none"/>
          <w:lang w:eastAsia="zh-CN"/>
        </w:rPr>
      </w:pPr>
    </w:p>
    <w:p w14:paraId="04372CBA">
      <w:pPr>
        <w:rPr>
          <w:rStyle w:val="204"/>
          <w:rFonts w:hint="eastAsia" w:ascii="仿宋" w:hAnsi="仿宋" w:eastAsia="仿宋" w:cs="仿宋"/>
          <w:color w:val="auto"/>
          <w:sz w:val="36"/>
          <w:szCs w:val="36"/>
          <w:highlight w:val="none"/>
          <w:lang w:eastAsia="zh-CN"/>
        </w:rPr>
      </w:pPr>
    </w:p>
    <w:p w14:paraId="50F3B7C7">
      <w:pPr>
        <w:rPr>
          <w:rStyle w:val="204"/>
          <w:rFonts w:hint="eastAsia" w:ascii="仿宋" w:hAnsi="仿宋" w:eastAsia="仿宋" w:cs="仿宋"/>
          <w:color w:val="auto"/>
          <w:sz w:val="36"/>
          <w:szCs w:val="36"/>
          <w:highlight w:val="none"/>
          <w:lang w:eastAsia="zh-CN"/>
        </w:rPr>
      </w:pPr>
    </w:p>
    <w:p w14:paraId="4A240A92">
      <w:pPr>
        <w:rPr>
          <w:rStyle w:val="204"/>
          <w:rFonts w:hint="eastAsia" w:ascii="仿宋" w:hAnsi="仿宋" w:eastAsia="仿宋" w:cs="仿宋"/>
          <w:color w:val="auto"/>
          <w:sz w:val="36"/>
          <w:szCs w:val="36"/>
          <w:highlight w:val="none"/>
          <w:lang w:eastAsia="zh-CN"/>
        </w:rPr>
      </w:pPr>
    </w:p>
    <w:p w14:paraId="32475A6F">
      <w:pPr>
        <w:rPr>
          <w:rStyle w:val="204"/>
          <w:rFonts w:hint="eastAsia" w:ascii="仿宋" w:hAnsi="仿宋" w:eastAsia="仿宋" w:cs="仿宋"/>
          <w:color w:val="auto"/>
          <w:sz w:val="36"/>
          <w:szCs w:val="36"/>
          <w:highlight w:val="none"/>
          <w:lang w:eastAsia="zh-CN"/>
        </w:rPr>
      </w:pPr>
    </w:p>
    <w:p w14:paraId="5708341A">
      <w:pPr>
        <w:rPr>
          <w:rStyle w:val="204"/>
          <w:rFonts w:hint="eastAsia" w:ascii="仿宋" w:hAnsi="仿宋" w:eastAsia="仿宋" w:cs="仿宋"/>
          <w:color w:val="auto"/>
          <w:sz w:val="36"/>
          <w:szCs w:val="36"/>
          <w:highlight w:val="none"/>
          <w:lang w:eastAsia="zh-CN"/>
        </w:rPr>
      </w:pPr>
    </w:p>
    <w:p w14:paraId="51267853">
      <w:pPr>
        <w:rPr>
          <w:rStyle w:val="204"/>
          <w:rFonts w:hint="eastAsia" w:ascii="仿宋" w:hAnsi="仿宋" w:eastAsia="仿宋" w:cs="仿宋"/>
          <w:color w:val="auto"/>
          <w:sz w:val="36"/>
          <w:szCs w:val="36"/>
          <w:highlight w:val="none"/>
          <w:lang w:eastAsia="zh-CN"/>
        </w:rPr>
      </w:pPr>
    </w:p>
    <w:p w14:paraId="296549BC">
      <w:pPr>
        <w:rPr>
          <w:rStyle w:val="204"/>
          <w:rFonts w:hint="eastAsia" w:ascii="仿宋" w:hAnsi="仿宋" w:eastAsia="仿宋" w:cs="仿宋"/>
          <w:color w:val="auto"/>
          <w:sz w:val="36"/>
          <w:szCs w:val="36"/>
          <w:highlight w:val="none"/>
          <w:lang w:eastAsia="zh-CN"/>
        </w:rPr>
      </w:pPr>
    </w:p>
    <w:p w14:paraId="3660A257">
      <w:pPr>
        <w:rPr>
          <w:rStyle w:val="204"/>
          <w:rFonts w:hint="eastAsia" w:ascii="仿宋" w:hAnsi="仿宋" w:eastAsia="仿宋" w:cs="仿宋"/>
          <w:color w:val="auto"/>
          <w:sz w:val="36"/>
          <w:szCs w:val="36"/>
          <w:highlight w:val="none"/>
          <w:lang w:eastAsia="zh-CN"/>
        </w:rPr>
      </w:pPr>
    </w:p>
    <w:p w14:paraId="206E032D">
      <w:pPr>
        <w:rPr>
          <w:rStyle w:val="204"/>
          <w:rFonts w:hint="eastAsia" w:ascii="仿宋" w:hAnsi="仿宋" w:eastAsia="仿宋" w:cs="仿宋"/>
          <w:color w:val="auto"/>
          <w:sz w:val="36"/>
          <w:szCs w:val="36"/>
          <w:highlight w:val="none"/>
          <w:lang w:eastAsia="zh-CN"/>
        </w:rPr>
      </w:pPr>
    </w:p>
    <w:p w14:paraId="7F3CF1B7">
      <w:pPr>
        <w:rPr>
          <w:rStyle w:val="204"/>
          <w:rFonts w:hint="eastAsia" w:ascii="仿宋" w:hAnsi="仿宋" w:eastAsia="仿宋" w:cs="仿宋"/>
          <w:color w:val="auto"/>
          <w:sz w:val="36"/>
          <w:szCs w:val="36"/>
          <w:highlight w:val="none"/>
        </w:rPr>
      </w:pPr>
      <w:bookmarkStart w:id="473" w:name="_Toc25437"/>
      <w:bookmarkStart w:id="474" w:name="_Toc25361"/>
      <w:r>
        <w:rPr>
          <w:rStyle w:val="204"/>
          <w:rFonts w:hint="eastAsia" w:ascii="仿宋" w:hAnsi="仿宋" w:eastAsia="仿宋" w:cs="仿宋"/>
          <w:color w:val="auto"/>
          <w:sz w:val="36"/>
          <w:szCs w:val="36"/>
          <w:highlight w:val="none"/>
        </w:rPr>
        <w:br w:type="page"/>
      </w:r>
    </w:p>
    <w:p w14:paraId="6B464C23">
      <w:pPr>
        <w:pStyle w:val="47"/>
        <w:shd w:val="clear"/>
        <w:spacing w:line="360" w:lineRule="auto"/>
        <w:rPr>
          <w:rFonts w:hint="eastAsia" w:ascii="仿宋" w:hAnsi="仿宋" w:eastAsia="仿宋" w:cs="仿宋"/>
          <w:color w:val="auto"/>
          <w:highlight w:val="none"/>
        </w:rPr>
      </w:pPr>
      <w:r>
        <w:rPr>
          <w:rStyle w:val="204"/>
          <w:rFonts w:hint="eastAsia" w:ascii="仿宋" w:hAnsi="仿宋" w:eastAsia="仿宋" w:cs="仿宋"/>
          <w:color w:val="auto"/>
          <w:sz w:val="36"/>
          <w:szCs w:val="36"/>
          <w:highlight w:val="none"/>
        </w:rPr>
        <w:t>第六章  磋商响应文件格式</w:t>
      </w:r>
      <w:bookmarkEnd w:id="468"/>
      <w:bookmarkEnd w:id="469"/>
      <w:bookmarkEnd w:id="470"/>
      <w:bookmarkEnd w:id="471"/>
      <w:bookmarkEnd w:id="472"/>
      <w:r>
        <w:rPr>
          <w:rFonts w:hint="eastAsia" w:ascii="仿宋" w:hAnsi="仿宋" w:eastAsia="仿宋" w:cs="仿宋"/>
          <w:color w:val="auto"/>
          <w:highlight w:val="none"/>
        </w:rPr>
        <w:br w:type="page"/>
      </w:r>
      <w:bookmarkEnd w:id="473"/>
      <w:bookmarkEnd w:id="474"/>
      <w:r>
        <w:rPr>
          <w:rFonts w:hint="eastAsia" w:ascii="仿宋" w:hAnsi="仿宋" w:eastAsia="仿宋" w:cs="仿宋"/>
          <w:color w:val="auto"/>
          <w:highlight w:val="none"/>
        </w:rPr>
        <w:t xml:space="preserve">                                 </w:t>
      </w:r>
    </w:p>
    <w:p w14:paraId="3D904350">
      <w:pPr>
        <w:shd w:val="clear"/>
        <w:autoSpaceDE w:val="0"/>
        <w:autoSpaceDN w:val="0"/>
        <w:adjustRightInd w:val="0"/>
        <w:snapToGrid w:val="0"/>
        <w:spacing w:line="360" w:lineRule="auto"/>
        <w:jc w:val="lef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政府采购项目</w:t>
      </w:r>
    </w:p>
    <w:p w14:paraId="0A212DFA">
      <w:pPr>
        <w:shd w:val="clear"/>
        <w:autoSpaceDE w:val="0"/>
        <w:autoSpaceDN w:val="0"/>
        <w:adjustRightInd w:val="0"/>
        <w:snapToGrid w:val="0"/>
        <w:spacing w:line="360" w:lineRule="auto"/>
        <w:jc w:val="lef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采购项目编号：</w:t>
      </w:r>
    </w:p>
    <w:p w14:paraId="0E07A8C3">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19"/>
          <w:szCs w:val="19"/>
          <w:highlight w:val="none"/>
        </w:rPr>
      </w:pPr>
    </w:p>
    <w:p w14:paraId="1256DB32">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19"/>
          <w:szCs w:val="19"/>
          <w:highlight w:val="none"/>
        </w:rPr>
      </w:pPr>
    </w:p>
    <w:p w14:paraId="2A5DD607">
      <w:pPr>
        <w:shd w:val="clear"/>
        <w:tabs>
          <w:tab w:val="left" w:pos="5670"/>
        </w:tabs>
        <w:autoSpaceDE w:val="0"/>
        <w:autoSpaceDN w:val="0"/>
        <w:adjustRightInd w:val="0"/>
        <w:snapToGrid w:val="0"/>
        <w:spacing w:line="360" w:lineRule="auto"/>
        <w:jc w:val="center"/>
        <w:rPr>
          <w:rFonts w:hint="eastAsia" w:ascii="仿宋" w:hAnsi="仿宋" w:eastAsia="仿宋" w:cs="仿宋"/>
          <w:color w:val="auto"/>
          <w:sz w:val="19"/>
          <w:szCs w:val="19"/>
          <w:highlight w:val="none"/>
        </w:rPr>
      </w:pPr>
    </w:p>
    <w:p w14:paraId="5AA14631">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44"/>
          <w:szCs w:val="44"/>
          <w:highlight w:val="none"/>
          <w:u w:val="single"/>
          <w:lang w:val="en-US" w:eastAsia="zh-CN"/>
        </w:rPr>
      </w:pPr>
      <w:r>
        <w:rPr>
          <w:rFonts w:hint="eastAsia" w:ascii="仿宋" w:hAnsi="仿宋" w:eastAsia="仿宋" w:cs="仿宋"/>
          <w:b/>
          <w:bCs/>
          <w:color w:val="auto"/>
          <w:sz w:val="44"/>
          <w:szCs w:val="44"/>
          <w:highlight w:val="none"/>
          <w:u w:val="single"/>
          <w:lang w:val="en-US" w:eastAsia="zh-CN"/>
        </w:rPr>
        <w:t>项目名称</w:t>
      </w:r>
    </w:p>
    <w:p w14:paraId="1B849ADA">
      <w:pPr>
        <w:shd w:val="clear"/>
        <w:tabs>
          <w:tab w:val="left" w:pos="5670"/>
        </w:tabs>
        <w:autoSpaceDE w:val="0"/>
        <w:autoSpaceDN w:val="0"/>
        <w:adjustRightInd w:val="0"/>
        <w:snapToGrid w:val="0"/>
        <w:spacing w:line="360" w:lineRule="auto"/>
        <w:jc w:val="center"/>
        <w:rPr>
          <w:rFonts w:hint="default" w:ascii="仿宋" w:hAnsi="仿宋" w:eastAsia="仿宋" w:cs="仿宋"/>
          <w:b/>
          <w:bCs/>
          <w:color w:val="auto"/>
          <w:sz w:val="44"/>
          <w:szCs w:val="44"/>
          <w:highlight w:val="none"/>
          <w:u w:val="single"/>
          <w:lang w:val="en-US" w:eastAsia="zh-CN"/>
        </w:rPr>
      </w:pPr>
    </w:p>
    <w:p w14:paraId="4DFED294">
      <w:pPr>
        <w:shd w:val="clear"/>
        <w:tabs>
          <w:tab w:val="left" w:pos="5670"/>
        </w:tabs>
        <w:autoSpaceDE w:val="0"/>
        <w:autoSpaceDN w:val="0"/>
        <w:adjustRightInd w:val="0"/>
        <w:snapToGrid w:val="0"/>
        <w:spacing w:line="360" w:lineRule="auto"/>
        <w:jc w:val="center"/>
        <w:rPr>
          <w:rFonts w:hint="default" w:ascii="仿宋" w:hAnsi="仿宋" w:eastAsia="仿宋" w:cs="仿宋"/>
          <w:b/>
          <w:bCs/>
          <w:color w:val="auto"/>
          <w:sz w:val="44"/>
          <w:szCs w:val="44"/>
          <w:highlight w:val="none"/>
          <w:u w:val="single"/>
          <w:lang w:val="en-US" w:eastAsia="zh-CN"/>
        </w:rPr>
      </w:pPr>
    </w:p>
    <w:p w14:paraId="6AEE6C3E">
      <w:pPr>
        <w:shd w:val="clea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磋商响应文件</w:t>
      </w:r>
    </w:p>
    <w:p w14:paraId="7750404A">
      <w:pPr>
        <w:shd w:val="clear"/>
        <w:rPr>
          <w:rFonts w:hint="eastAsia" w:ascii="仿宋" w:hAnsi="仿宋" w:eastAsia="仿宋" w:cs="仿宋"/>
          <w:color w:val="auto"/>
          <w:highlight w:val="none"/>
        </w:rPr>
      </w:pPr>
    </w:p>
    <w:p w14:paraId="24EAD99A">
      <w:pPr>
        <w:pStyle w:val="2"/>
        <w:shd w:val="clear"/>
        <w:rPr>
          <w:rFonts w:hint="eastAsia" w:ascii="仿宋" w:hAnsi="仿宋" w:eastAsia="仿宋" w:cs="仿宋"/>
          <w:color w:val="auto"/>
          <w:highlight w:val="none"/>
        </w:rPr>
      </w:pPr>
    </w:p>
    <w:p w14:paraId="4C620B0A">
      <w:pPr>
        <w:pStyle w:val="2"/>
        <w:shd w:val="clear"/>
        <w:rPr>
          <w:rFonts w:hint="eastAsia" w:ascii="仿宋" w:hAnsi="仿宋" w:eastAsia="仿宋" w:cs="仿宋"/>
          <w:color w:val="auto"/>
          <w:highlight w:val="none"/>
        </w:rPr>
      </w:pPr>
    </w:p>
    <w:p w14:paraId="34716329">
      <w:pPr>
        <w:pStyle w:val="2"/>
        <w:shd w:val="clear"/>
        <w:rPr>
          <w:rFonts w:hint="eastAsia" w:ascii="仿宋" w:hAnsi="仿宋" w:eastAsia="仿宋" w:cs="仿宋"/>
          <w:color w:val="auto"/>
          <w:highlight w:val="none"/>
        </w:rPr>
      </w:pPr>
    </w:p>
    <w:p w14:paraId="19506523">
      <w:pPr>
        <w:shd w:val="clear"/>
        <w:autoSpaceDE w:val="0"/>
        <w:autoSpaceDN w:val="0"/>
        <w:adjustRightInd w:val="0"/>
        <w:snapToGrid w:val="0"/>
        <w:spacing w:line="360" w:lineRule="auto"/>
        <w:rPr>
          <w:rFonts w:hint="eastAsia" w:ascii="仿宋" w:hAnsi="仿宋" w:eastAsia="仿宋" w:cs="仿宋"/>
          <w:b/>
          <w:bCs/>
          <w:color w:val="auto"/>
          <w:sz w:val="32"/>
          <w:szCs w:val="32"/>
          <w:highlight w:val="none"/>
          <w:lang w:val="zh-CN"/>
        </w:rPr>
      </w:pPr>
    </w:p>
    <w:p w14:paraId="464A8100">
      <w:pPr>
        <w:shd w:val="clear"/>
        <w:autoSpaceDE w:val="0"/>
        <w:autoSpaceDN w:val="0"/>
        <w:adjustRightInd w:val="0"/>
        <w:snapToGrid w:val="0"/>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u w:val="single"/>
        </w:rPr>
        <w:t xml:space="preserve">            </w:t>
      </w:r>
      <w:r>
        <w:rPr>
          <w:rFonts w:hint="eastAsia" w:ascii="仿宋" w:hAnsi="仿宋" w:eastAsia="仿宋" w:cs="仿宋"/>
          <w:b/>
          <w:bCs/>
          <w:color w:val="auto"/>
          <w:sz w:val="32"/>
          <w:szCs w:val="32"/>
          <w:highlight w:val="none"/>
        </w:rPr>
        <w:t xml:space="preserve">   </w:t>
      </w:r>
    </w:p>
    <w:p w14:paraId="375A60DF">
      <w:pPr>
        <w:shd w:val="clear"/>
        <w:autoSpaceDE w:val="0"/>
        <w:autoSpaceDN w:val="0"/>
        <w:adjustRightInd w:val="0"/>
        <w:snapToGrid w:val="0"/>
        <w:spacing w:line="360" w:lineRule="auto"/>
        <w:rPr>
          <w:rFonts w:hint="eastAsia" w:ascii="仿宋" w:hAnsi="仿宋" w:eastAsia="仿宋" w:cs="仿宋"/>
          <w:color w:val="auto"/>
          <w:sz w:val="30"/>
          <w:szCs w:val="30"/>
          <w:highlight w:val="none"/>
        </w:rPr>
      </w:pPr>
    </w:p>
    <w:p w14:paraId="0E2273F2">
      <w:pPr>
        <w:shd w:val="clear"/>
        <w:autoSpaceDE w:val="0"/>
        <w:autoSpaceDN w:val="0"/>
        <w:adjustRightInd w:val="0"/>
        <w:snapToGrid w:val="0"/>
        <w:spacing w:line="360" w:lineRule="auto"/>
        <w:rPr>
          <w:rFonts w:hint="eastAsia" w:ascii="仿宋" w:hAnsi="仿宋" w:eastAsia="仿宋" w:cs="仿宋"/>
          <w:b/>
          <w:bCs/>
          <w:color w:val="auto"/>
          <w:sz w:val="32"/>
          <w:szCs w:val="32"/>
          <w:highlight w:val="none"/>
          <w:u w:val="single"/>
        </w:rPr>
      </w:pPr>
      <w:r>
        <w:rPr>
          <w:rFonts w:hint="eastAsia" w:ascii="仿宋" w:hAnsi="仿宋" w:eastAsia="仿宋" w:cs="仿宋"/>
          <w:color w:val="auto"/>
          <w:sz w:val="30"/>
          <w:szCs w:val="30"/>
          <w:highlight w:val="none"/>
        </w:rPr>
        <w:t xml:space="preserve">      </w:t>
      </w:r>
      <w:r>
        <w:rPr>
          <w:rFonts w:hint="eastAsia" w:ascii="仿宋" w:hAnsi="仿宋" w:eastAsia="仿宋" w:cs="仿宋"/>
          <w:b/>
          <w:bCs/>
          <w:color w:val="auto"/>
          <w:sz w:val="32"/>
          <w:szCs w:val="32"/>
          <w:highlight w:val="none"/>
          <w:lang w:val="zh-CN"/>
        </w:rPr>
        <w:t>供应商：</w:t>
      </w:r>
      <w:r>
        <w:rPr>
          <w:rFonts w:hint="eastAsia" w:ascii="仿宋" w:hAnsi="仿宋" w:eastAsia="仿宋" w:cs="仿宋"/>
          <w:b/>
          <w:bCs/>
          <w:color w:val="auto"/>
          <w:sz w:val="32"/>
          <w:szCs w:val="32"/>
          <w:highlight w:val="none"/>
          <w:u w:val="single"/>
        </w:rPr>
        <w:t xml:space="preserve">                   </w:t>
      </w:r>
    </w:p>
    <w:p w14:paraId="2AA3ED21">
      <w:pPr>
        <w:shd w:val="clear"/>
        <w:autoSpaceDE w:val="0"/>
        <w:autoSpaceDN w:val="0"/>
        <w:adjustRightInd w:val="0"/>
        <w:snapToGrid w:val="0"/>
        <w:spacing w:line="360" w:lineRule="auto"/>
        <w:rPr>
          <w:rFonts w:hint="eastAsia" w:ascii="仿宋" w:hAnsi="仿宋" w:eastAsia="仿宋" w:cs="仿宋"/>
          <w:b/>
          <w:bCs/>
          <w:color w:val="auto"/>
          <w:sz w:val="32"/>
          <w:szCs w:val="32"/>
          <w:highlight w:val="none"/>
        </w:rPr>
      </w:pPr>
    </w:p>
    <w:p w14:paraId="36252F1A">
      <w:pPr>
        <w:shd w:val="clea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 w:hAnsi="仿宋" w:eastAsia="仿宋" w:cs="仿宋"/>
          <w:b/>
          <w:bCs/>
          <w:color w:val="auto"/>
          <w:sz w:val="32"/>
          <w:szCs w:val="32"/>
          <w:highlight w:val="none"/>
          <w:u w:val="single"/>
        </w:rPr>
        <w:t xml:space="preserve">  </w:t>
      </w:r>
    </w:p>
    <w:p w14:paraId="4D85DAF4">
      <w:pPr>
        <w:pStyle w:val="2"/>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E9FE8F5">
      <w:pPr>
        <w:shd w:val="clear" w:color="auto"/>
        <w:spacing w:line="560" w:lineRule="exact"/>
        <w:jc w:val="center"/>
        <w:rPr>
          <w:rFonts w:hint="eastAsia" w:ascii="仿宋" w:hAnsi="仿宋" w:eastAsia="仿宋" w:cs="仿宋"/>
          <w:color w:val="auto"/>
          <w:sz w:val="44"/>
          <w:szCs w:val="44"/>
          <w:highlight w:val="none"/>
        </w:rPr>
      </w:pPr>
    </w:p>
    <w:p w14:paraId="1C20FECA">
      <w:pPr>
        <w:shd w:val="clear" w:color="auto"/>
        <w:spacing w:line="560" w:lineRule="exact"/>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目    录</w:t>
      </w:r>
    </w:p>
    <w:p w14:paraId="3FAD5300">
      <w:pPr>
        <w:shd w:val="clear" w:color="auto"/>
        <w:spacing w:line="560" w:lineRule="exact"/>
        <w:ind w:firstLine="640" w:firstLineChars="200"/>
        <w:rPr>
          <w:rFonts w:hint="eastAsia" w:ascii="仿宋" w:hAnsi="仿宋" w:eastAsia="仿宋" w:cs="仿宋"/>
          <w:color w:val="auto"/>
          <w:sz w:val="32"/>
          <w:szCs w:val="32"/>
          <w:highlight w:val="none"/>
        </w:rPr>
      </w:pPr>
    </w:p>
    <w:p w14:paraId="12E6CB28">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磋商响应函</w:t>
      </w:r>
    </w:p>
    <w:p w14:paraId="5737A262">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磋商响应报价表</w:t>
      </w:r>
    </w:p>
    <w:p w14:paraId="601E68F9">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资格证明文件</w:t>
      </w:r>
    </w:p>
    <w:p w14:paraId="578C6DD0">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第四部分  </w:t>
      </w:r>
      <w:r>
        <w:rPr>
          <w:rFonts w:hint="eastAsia" w:ascii="仿宋" w:hAnsi="仿宋" w:eastAsia="仿宋" w:cs="仿宋"/>
          <w:color w:val="auto"/>
          <w:sz w:val="32"/>
          <w:szCs w:val="32"/>
          <w:highlight w:val="none"/>
          <w:lang w:val="en-US" w:eastAsia="zh-CN"/>
        </w:rPr>
        <w:t>供应商</w:t>
      </w:r>
      <w:r>
        <w:rPr>
          <w:rFonts w:hint="eastAsia" w:ascii="仿宋" w:hAnsi="仿宋" w:eastAsia="仿宋" w:cs="仿宋"/>
          <w:color w:val="auto"/>
          <w:sz w:val="32"/>
          <w:szCs w:val="32"/>
          <w:highlight w:val="none"/>
        </w:rPr>
        <w:t>概况</w:t>
      </w:r>
    </w:p>
    <w:p w14:paraId="77785D94">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第五部分  </w:t>
      </w:r>
      <w:r>
        <w:rPr>
          <w:rFonts w:hint="eastAsia" w:ascii="仿宋" w:hAnsi="仿宋" w:eastAsia="仿宋" w:cs="仿宋"/>
          <w:color w:val="auto"/>
          <w:sz w:val="32"/>
          <w:szCs w:val="32"/>
          <w:highlight w:val="none"/>
          <w:lang w:val="en-US" w:eastAsia="zh-CN"/>
        </w:rPr>
        <w:t>供应商</w:t>
      </w:r>
      <w:r>
        <w:rPr>
          <w:rFonts w:hint="eastAsia" w:ascii="仿宋" w:hAnsi="仿宋" w:eastAsia="仿宋" w:cs="仿宋"/>
          <w:color w:val="auto"/>
          <w:sz w:val="32"/>
          <w:szCs w:val="32"/>
          <w:highlight w:val="none"/>
        </w:rPr>
        <w:t>参加政府采购活动承诺书</w:t>
      </w:r>
    </w:p>
    <w:p w14:paraId="5A4B481B">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第六部分  </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方案</w:t>
      </w:r>
    </w:p>
    <w:p w14:paraId="0B460EC8">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u w:val="single"/>
        </w:rPr>
        <w:t xml:space="preserve">      </w:t>
      </w:r>
    </w:p>
    <w:p w14:paraId="55821546">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6CCF6C05">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069B82F4">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092A8330">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46B5C3F5">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31C43B92">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53377F8D">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537FEAF9">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2164C37B">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11EDF3D1">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67AF08E9">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7ACBF17F">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34EBD0F1">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349004E5">
      <w:pPr>
        <w:pStyle w:val="4"/>
        <w:shd w:val="clear"/>
        <w:jc w:val="center"/>
        <w:rPr>
          <w:rFonts w:hint="eastAsia" w:ascii="仿宋" w:hAnsi="仿宋" w:eastAsia="仿宋" w:cs="仿宋"/>
          <w:b/>
          <w:bCs/>
          <w:color w:val="auto"/>
          <w:highlight w:val="none"/>
        </w:rPr>
      </w:pPr>
      <w:bookmarkStart w:id="475" w:name="_Toc5766"/>
      <w:bookmarkStart w:id="476" w:name="_Toc24458"/>
      <w:bookmarkStart w:id="477" w:name="_Toc12972"/>
      <w:r>
        <w:rPr>
          <w:rFonts w:hint="eastAsia" w:ascii="仿宋" w:hAnsi="仿宋" w:eastAsia="仿宋" w:cs="仿宋"/>
          <w:b/>
          <w:bCs/>
          <w:color w:val="auto"/>
          <w:highlight w:val="none"/>
          <w:lang w:val="zh-CN"/>
        </w:rPr>
        <w:t>第一部分</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磋商响应函</w:t>
      </w:r>
      <w:bookmarkEnd w:id="475"/>
      <w:bookmarkEnd w:id="476"/>
      <w:bookmarkEnd w:id="477"/>
    </w:p>
    <w:p w14:paraId="217057EB">
      <w:pPr>
        <w:shd w:val="clear"/>
        <w:autoSpaceDE w:val="0"/>
        <w:autoSpaceDN w:val="0"/>
        <w:adjustRightInd w:val="0"/>
        <w:snapToGrid w:val="0"/>
        <w:spacing w:line="312" w:lineRule="auto"/>
        <w:rPr>
          <w:rFonts w:hint="eastAsia" w:ascii="仿宋" w:hAnsi="仿宋" w:eastAsia="仿宋" w:cs="仿宋"/>
          <w:b/>
          <w:bCs/>
          <w:color w:val="auto"/>
          <w:sz w:val="24"/>
          <w:highlight w:val="none"/>
          <w:lang w:val="zh-CN"/>
        </w:rPr>
      </w:pPr>
    </w:p>
    <w:p w14:paraId="015C62A6">
      <w:pPr>
        <w:shd w:val="clear"/>
        <w:autoSpaceDE w:val="0"/>
        <w:autoSpaceDN w:val="0"/>
        <w:adjustRightInd w:val="0"/>
        <w:snapToGrid w:val="0"/>
        <w:spacing w:line="312"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陕西省采购招标有限责任公司：</w:t>
      </w:r>
    </w:p>
    <w:p w14:paraId="60DCC86D">
      <w:pPr>
        <w:shd w:val="clear"/>
        <w:autoSpaceDE w:val="0"/>
        <w:autoSpaceDN w:val="0"/>
        <w:adjustRightInd w:val="0"/>
        <w:snapToGrid w:val="0"/>
        <w:spacing w:line="312"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我单位收到贵公司 </w:t>
      </w:r>
      <w:r>
        <w:rPr>
          <w:rFonts w:hint="eastAsia" w:ascii="仿宋" w:hAnsi="仿宋" w:eastAsia="仿宋" w:cs="仿宋"/>
          <w:color w:val="auto"/>
          <w:sz w:val="24"/>
          <w:highlight w:val="none"/>
          <w:u w:val="single"/>
          <w:lang w:val="zh-CN"/>
        </w:rPr>
        <w:t>（项目名称    ）</w:t>
      </w:r>
      <w:r>
        <w:rPr>
          <w:rFonts w:hint="eastAsia" w:ascii="仿宋" w:hAnsi="仿宋" w:eastAsia="仿宋" w:cs="仿宋"/>
          <w:color w:val="auto"/>
          <w:sz w:val="24"/>
          <w:highlight w:val="none"/>
          <w:lang w:val="zh-CN"/>
        </w:rPr>
        <w:t>竞争性磋商文件，经详细研究，我们决定参加本次磋商活动。为此，我方郑重声明以下诸点，并负法律责任：</w:t>
      </w:r>
    </w:p>
    <w:p w14:paraId="6A04F75A">
      <w:pPr>
        <w:shd w:val="clear"/>
        <w:autoSpaceDE w:val="0"/>
        <w:autoSpaceDN w:val="0"/>
        <w:adjustRightInd w:val="0"/>
        <w:snapToGrid w:val="0"/>
        <w:spacing w:line="312"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hint="eastAsia" w:ascii="仿宋" w:hAnsi="仿宋" w:eastAsia="仿宋" w:cs="仿宋"/>
          <w:color w:val="auto"/>
          <w:sz w:val="24"/>
          <w:highlight w:val="none"/>
          <w:lang w:val="zh-CN"/>
        </w:rPr>
        <w:t>、愿意按照竞争性磋商文件中的要求，提供采购产品及技术服务，完成合同的责任和义务。</w:t>
      </w:r>
    </w:p>
    <w:p w14:paraId="6D78A466">
      <w:pPr>
        <w:shd w:val="clear"/>
        <w:autoSpaceDE w:val="0"/>
        <w:autoSpaceDN w:val="0"/>
        <w:adjustRightInd w:val="0"/>
        <w:snapToGrid w:val="0"/>
        <w:spacing w:line="312" w:lineRule="auto"/>
        <w:ind w:left="885" w:leftChars="25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hint="eastAsia" w:ascii="仿宋" w:hAnsi="仿宋" w:eastAsia="仿宋" w:cs="仿宋"/>
          <w:color w:val="auto"/>
          <w:sz w:val="24"/>
          <w:highlight w:val="none"/>
          <w:lang w:val="zh-CN"/>
        </w:rPr>
        <w:t>、按竞争性磋商文件的规定，我公司的首次磋商响应报价为人民币（大写）：</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元），并对其后的磋商报价负法律责任。</w:t>
      </w:r>
    </w:p>
    <w:p w14:paraId="487A5007">
      <w:pPr>
        <w:shd w:val="clear"/>
        <w:autoSpaceDE w:val="0"/>
        <w:autoSpaceDN w:val="0"/>
        <w:adjustRightInd w:val="0"/>
        <w:snapToGrid w:val="0"/>
        <w:spacing w:line="312"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r>
        <w:rPr>
          <w:rFonts w:hint="eastAsia" w:ascii="仿宋" w:hAnsi="仿宋" w:eastAsia="仿宋" w:cs="仿宋"/>
          <w:color w:val="auto"/>
          <w:sz w:val="24"/>
          <w:highlight w:val="none"/>
          <w:lang w:val="zh-CN"/>
        </w:rPr>
        <w:t>、我方提交的响应文件</w:t>
      </w:r>
      <w:r>
        <w:rPr>
          <w:rFonts w:hint="eastAsia" w:ascii="仿宋" w:hAnsi="仿宋" w:eastAsia="仿宋" w:cs="仿宋"/>
          <w:color w:val="auto"/>
          <w:sz w:val="24"/>
          <w:highlight w:val="none"/>
          <w:u w:val="single"/>
          <w:lang w:val="zh-CN"/>
        </w:rPr>
        <w:t>一</w:t>
      </w:r>
      <w:r>
        <w:rPr>
          <w:rFonts w:hint="eastAsia" w:ascii="仿宋" w:hAnsi="仿宋" w:eastAsia="仿宋" w:cs="仿宋"/>
          <w:color w:val="auto"/>
          <w:sz w:val="24"/>
          <w:highlight w:val="none"/>
          <w:lang w:val="zh-CN"/>
        </w:rPr>
        <w:t>份。</w:t>
      </w:r>
    </w:p>
    <w:p w14:paraId="7CB1567A">
      <w:pPr>
        <w:shd w:val="clear"/>
        <w:autoSpaceDE w:val="0"/>
        <w:autoSpaceDN w:val="0"/>
        <w:adjustRightInd w:val="0"/>
        <w:snapToGrid w:val="0"/>
        <w:spacing w:line="312"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rPr>
        <w:t>四</w:t>
      </w:r>
      <w:r>
        <w:rPr>
          <w:rFonts w:hint="eastAsia" w:ascii="仿宋" w:hAnsi="仿宋" w:eastAsia="仿宋" w:cs="仿宋"/>
          <w:color w:val="auto"/>
          <w:sz w:val="24"/>
          <w:highlight w:val="none"/>
          <w:lang w:val="zh-CN"/>
        </w:rPr>
        <w:t>、我方已详细阅读了竞争性磋商文件，完全理解并放弃提出含糊不清或易形成歧义的表述和资料。</w:t>
      </w:r>
    </w:p>
    <w:p w14:paraId="4B1FD683">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lang w:val="zh-CN"/>
        </w:rPr>
        <w:t>、同意向贵方提供可能要求的与本次磋商有关的任何证据或资料，且尊重磋商小组的评审结论和结果。</w:t>
      </w:r>
    </w:p>
    <w:p w14:paraId="629A0D43">
      <w:pPr>
        <w:shd w:val="clear"/>
        <w:autoSpaceDE w:val="0"/>
        <w:autoSpaceDN w:val="0"/>
        <w:adjustRightInd w:val="0"/>
        <w:snapToGrid w:val="0"/>
        <w:spacing w:line="312"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六</w:t>
      </w:r>
      <w:r>
        <w:rPr>
          <w:rFonts w:hint="eastAsia" w:ascii="仿宋" w:hAnsi="仿宋" w:eastAsia="仿宋" w:cs="仿宋"/>
          <w:color w:val="auto"/>
          <w:sz w:val="24"/>
          <w:highlight w:val="none"/>
          <w:lang w:val="zh-CN"/>
        </w:rPr>
        <w:t>、我方的响应文件有效期为自磋商之日起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60 </w:t>
      </w:r>
      <w:r>
        <w:rPr>
          <w:rFonts w:hint="eastAsia" w:ascii="仿宋" w:hAnsi="仿宋" w:eastAsia="仿宋" w:cs="仿宋"/>
          <w:color w:val="auto"/>
          <w:sz w:val="24"/>
          <w:highlight w:val="none"/>
          <w:lang w:val="zh-CN"/>
        </w:rPr>
        <w:t>个日历天。若我方成交，响应文件有效期延长至合同执行完毕。</w:t>
      </w:r>
    </w:p>
    <w:p w14:paraId="6FBB6E0D">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en-US" w:eastAsia="zh-CN"/>
        </w:rPr>
        <w:t>七</w:t>
      </w:r>
      <w:r>
        <w:rPr>
          <w:rFonts w:hint="eastAsia" w:ascii="仿宋" w:hAnsi="仿宋" w:eastAsia="仿宋" w:cs="仿宋"/>
          <w:color w:val="auto"/>
          <w:sz w:val="24"/>
          <w:highlight w:val="none"/>
          <w:lang w:val="zh-CN"/>
        </w:rPr>
        <w:t>、如我方成交：</w:t>
      </w:r>
    </w:p>
    <w:p w14:paraId="1B40BF67">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（1）我方承诺在收到成交通知书后，在磋商文件规定的期限内与采购人签订合同。</w:t>
      </w:r>
    </w:p>
    <w:p w14:paraId="349B7BDE">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zh-CN"/>
        </w:rPr>
        <w:t>）我方承诺按合同约定的期限和地点，提供符合磋商文件要求的全部的货物和服务。</w:t>
      </w:r>
    </w:p>
    <w:p w14:paraId="39147591">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val="zh-CN"/>
        </w:rPr>
        <w:t>）我方保证在领取成交通知书前按要求支付成交服务费。</w:t>
      </w:r>
    </w:p>
    <w:p w14:paraId="1B1C5C19">
      <w:pPr>
        <w:shd w:val="clear"/>
        <w:autoSpaceDE w:val="0"/>
        <w:autoSpaceDN w:val="0"/>
        <w:adjustRightInd w:val="0"/>
        <w:snapToGrid w:val="0"/>
        <w:spacing w:line="312" w:lineRule="auto"/>
        <w:ind w:firstLine="63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九、有关于本响应文件的函电，请按下列地址联系。</w:t>
      </w:r>
    </w:p>
    <w:p w14:paraId="0128AA17">
      <w:pPr>
        <w:shd w:val="clear"/>
        <w:autoSpaceDE w:val="0"/>
        <w:autoSpaceDN w:val="0"/>
        <w:adjustRightInd w:val="0"/>
        <w:snapToGrid w:val="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地</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址：</w:t>
      </w:r>
      <w:r>
        <w:rPr>
          <w:rFonts w:hint="eastAsia" w:ascii="仿宋" w:hAnsi="仿宋" w:eastAsia="仿宋" w:cs="仿宋"/>
          <w:color w:val="auto"/>
          <w:sz w:val="24"/>
          <w:highlight w:val="none"/>
        </w:rPr>
        <w:t>__________________________________________</w:t>
      </w:r>
    </w:p>
    <w:p w14:paraId="42C8B1AB">
      <w:pPr>
        <w:shd w:val="clear"/>
        <w:autoSpaceDE w:val="0"/>
        <w:autoSpaceDN w:val="0"/>
        <w:adjustRightInd w:val="0"/>
        <w:snapToGrid w:val="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开户银行：</w:t>
      </w:r>
      <w:r>
        <w:rPr>
          <w:rFonts w:hint="eastAsia" w:ascii="仿宋" w:hAnsi="仿宋" w:eastAsia="仿宋" w:cs="仿宋"/>
          <w:color w:val="auto"/>
          <w:sz w:val="24"/>
          <w:highlight w:val="none"/>
        </w:rPr>
        <w:t>__________________________________________</w:t>
      </w:r>
    </w:p>
    <w:p w14:paraId="6563DE57">
      <w:pPr>
        <w:shd w:val="clear"/>
        <w:autoSpaceDE w:val="0"/>
        <w:autoSpaceDN w:val="0"/>
        <w:adjustRightInd w:val="0"/>
        <w:snapToGrid w:val="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帐</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号：</w:t>
      </w:r>
      <w:r>
        <w:rPr>
          <w:rFonts w:hint="eastAsia" w:ascii="仿宋" w:hAnsi="仿宋" w:eastAsia="仿宋" w:cs="仿宋"/>
          <w:color w:val="auto"/>
          <w:sz w:val="24"/>
          <w:highlight w:val="none"/>
        </w:rPr>
        <w:t>__________________________________________</w:t>
      </w:r>
    </w:p>
    <w:p w14:paraId="24B5C52D">
      <w:pPr>
        <w:shd w:val="clear"/>
        <w:autoSpaceDE w:val="0"/>
        <w:autoSpaceDN w:val="0"/>
        <w:adjustRightInd w:val="0"/>
        <w:snapToGrid w:val="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电</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话：</w:t>
      </w:r>
      <w:r>
        <w:rPr>
          <w:rFonts w:hint="eastAsia" w:ascii="仿宋" w:hAnsi="仿宋" w:eastAsia="仿宋" w:cs="仿宋"/>
          <w:color w:val="auto"/>
          <w:sz w:val="24"/>
          <w:highlight w:val="none"/>
        </w:rPr>
        <w:t>_____________________</w:t>
      </w:r>
      <w:r>
        <w:rPr>
          <w:rFonts w:hint="eastAsia" w:ascii="仿宋" w:hAnsi="仿宋" w:eastAsia="仿宋" w:cs="仿宋"/>
          <w:color w:val="auto"/>
          <w:sz w:val="24"/>
          <w:highlight w:val="none"/>
          <w:lang w:val="zh-CN"/>
        </w:rPr>
        <w:t>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真：</w:t>
      </w:r>
      <w:r>
        <w:rPr>
          <w:rFonts w:hint="eastAsia" w:ascii="仿宋" w:hAnsi="仿宋" w:eastAsia="仿宋" w:cs="仿宋"/>
          <w:color w:val="auto"/>
          <w:sz w:val="24"/>
          <w:highlight w:val="none"/>
        </w:rPr>
        <w:t>________________</w:t>
      </w:r>
    </w:p>
    <w:p w14:paraId="640520D6">
      <w:pPr>
        <w:pStyle w:val="2"/>
        <w:shd w:val="clear"/>
        <w:rPr>
          <w:rFonts w:hint="eastAsia" w:ascii="仿宋" w:hAnsi="仿宋" w:eastAsia="仿宋" w:cs="仿宋"/>
          <w:color w:val="auto"/>
          <w:highlight w:val="none"/>
        </w:rPr>
      </w:pPr>
    </w:p>
    <w:p w14:paraId="7CC267F3">
      <w:pPr>
        <w:shd w:val="clea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供应商（盖公章）：</w:t>
      </w:r>
      <w:r>
        <w:rPr>
          <w:rFonts w:hint="eastAsia" w:ascii="仿宋" w:hAnsi="仿宋" w:eastAsia="仿宋" w:cs="仿宋"/>
          <w:color w:val="auto"/>
          <w:sz w:val="24"/>
          <w:highlight w:val="none"/>
          <w:u w:val="single"/>
        </w:rPr>
        <w:t xml:space="preserve">                       </w:t>
      </w:r>
    </w:p>
    <w:p w14:paraId="4BA38831">
      <w:pPr>
        <w:shd w:val="clea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46DDEC3B">
      <w:pPr>
        <w:shd w:val="clea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34D27BAE">
      <w:pPr>
        <w:shd w:val="clear"/>
        <w:autoSpaceDE w:val="0"/>
        <w:autoSpaceDN w:val="0"/>
        <w:adjustRightInd w:val="0"/>
        <w:spacing w:line="360" w:lineRule="auto"/>
        <w:jc w:val="center"/>
        <w:rPr>
          <w:rFonts w:hint="eastAsia" w:ascii="仿宋" w:hAnsi="仿宋" w:eastAsia="仿宋" w:cs="仿宋"/>
          <w:b/>
          <w:bCs/>
          <w:color w:val="auto"/>
          <w:sz w:val="32"/>
          <w:szCs w:val="32"/>
          <w:highlight w:val="none"/>
          <w:u w:val="single"/>
        </w:rPr>
      </w:pPr>
    </w:p>
    <w:p w14:paraId="44C13E5E">
      <w:pPr>
        <w:pStyle w:val="4"/>
        <w:shd w:val="clear"/>
        <w:jc w:val="center"/>
        <w:rPr>
          <w:rFonts w:hint="eastAsia" w:ascii="仿宋" w:hAnsi="仿宋" w:eastAsia="仿宋" w:cs="仿宋"/>
          <w:b/>
          <w:bCs/>
          <w:color w:val="auto"/>
          <w:highlight w:val="none"/>
        </w:rPr>
      </w:pPr>
      <w:bookmarkStart w:id="478" w:name="_Toc17"/>
      <w:bookmarkStart w:id="479" w:name="_Toc676"/>
      <w:bookmarkStart w:id="480" w:name="_Toc8318"/>
      <w:r>
        <w:rPr>
          <w:rFonts w:hint="eastAsia" w:ascii="仿宋" w:hAnsi="仿宋" w:eastAsia="仿宋" w:cs="仿宋"/>
          <w:b/>
          <w:bCs/>
          <w:color w:val="auto"/>
          <w:highlight w:val="none"/>
          <w:lang w:val="zh-CN"/>
        </w:rPr>
        <w:t>第二部分  磋商响应报价表</w:t>
      </w:r>
      <w:bookmarkEnd w:id="478"/>
      <w:bookmarkEnd w:id="479"/>
      <w:bookmarkEnd w:id="480"/>
    </w:p>
    <w:p w14:paraId="4F4C2A70">
      <w:pPr>
        <w:shd w:val="clear"/>
        <w:autoSpaceDE w:val="0"/>
        <w:autoSpaceDN w:val="0"/>
        <w:adjustRightInd w:val="0"/>
        <w:snapToGrid w:val="0"/>
        <w:spacing w:line="360" w:lineRule="auto"/>
        <w:jc w:val="center"/>
        <w:rPr>
          <w:rFonts w:hint="eastAsia" w:ascii="仿宋" w:hAnsi="仿宋" w:eastAsia="仿宋" w:cs="仿宋"/>
          <w:b/>
          <w:bCs/>
          <w:color w:val="auto"/>
          <w:sz w:val="32"/>
          <w:szCs w:val="32"/>
          <w:highlight w:val="none"/>
        </w:rPr>
      </w:pPr>
    </w:p>
    <w:p w14:paraId="6B210A73">
      <w:pPr>
        <w:pStyle w:val="7"/>
        <w:shd w:val="clear"/>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首次响应</w:t>
      </w:r>
      <w:r>
        <w:rPr>
          <w:rFonts w:hint="eastAsia" w:ascii="仿宋" w:hAnsi="仿宋" w:eastAsia="仿宋" w:cs="仿宋"/>
          <w:b/>
          <w:bCs/>
          <w:color w:val="auto"/>
          <w:sz w:val="28"/>
          <w:szCs w:val="36"/>
          <w:highlight w:val="none"/>
          <w:lang w:val="zh-CN"/>
        </w:rPr>
        <w:t>报价</w:t>
      </w:r>
      <w:r>
        <w:rPr>
          <w:rFonts w:hint="eastAsia" w:ascii="仿宋" w:hAnsi="仿宋" w:eastAsia="仿宋" w:cs="仿宋"/>
          <w:b/>
          <w:bCs/>
          <w:color w:val="auto"/>
          <w:sz w:val="28"/>
          <w:szCs w:val="36"/>
          <w:highlight w:val="none"/>
        </w:rPr>
        <w:t>一览</w:t>
      </w:r>
      <w:r>
        <w:rPr>
          <w:rFonts w:hint="eastAsia" w:ascii="仿宋" w:hAnsi="仿宋" w:eastAsia="仿宋" w:cs="仿宋"/>
          <w:b/>
          <w:bCs/>
          <w:color w:val="auto"/>
          <w:sz w:val="28"/>
          <w:szCs w:val="36"/>
          <w:highlight w:val="none"/>
          <w:lang w:val="zh-CN"/>
        </w:rPr>
        <w:t>表</w:t>
      </w:r>
    </w:p>
    <w:p w14:paraId="73175776">
      <w:pPr>
        <w:shd w:val="clear"/>
        <w:autoSpaceDE w:val="0"/>
        <w:autoSpaceDN w:val="0"/>
        <w:adjustRightInd w:val="0"/>
        <w:snapToGrid w:val="0"/>
        <w:spacing w:line="360" w:lineRule="auto"/>
        <w:jc w:val="right"/>
        <w:rPr>
          <w:rFonts w:hint="eastAsia" w:ascii="仿宋" w:hAnsi="仿宋" w:eastAsia="仿宋" w:cs="仿宋"/>
          <w:color w:val="auto"/>
          <w:sz w:val="24"/>
          <w:highlight w:val="none"/>
          <w:lang w:val="zh-CN"/>
        </w:rPr>
      </w:pPr>
      <w:r>
        <w:rPr>
          <w:rFonts w:hint="eastAsia" w:ascii="仿宋" w:hAnsi="仿宋" w:eastAsia="仿宋" w:cs="仿宋"/>
          <w:color w:val="auto"/>
          <w:sz w:val="32"/>
          <w:szCs w:val="32"/>
          <w:highlight w:val="none"/>
        </w:rPr>
        <w:t xml:space="preserve">    </w:t>
      </w:r>
    </w:p>
    <w:tbl>
      <w:tblPr>
        <w:tblStyle w:val="51"/>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2C1A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04788016">
            <w:pPr>
              <w:pStyle w:val="2"/>
              <w:shd w:val="clear"/>
              <w:rPr>
                <w:rFonts w:hint="eastAsia" w:ascii="仿宋" w:hAnsi="仿宋" w:eastAsia="仿宋" w:cs="仿宋"/>
                <w:b/>
                <w:color w:val="auto"/>
                <w:sz w:val="24"/>
                <w:highlight w:val="none"/>
              </w:rPr>
            </w:pPr>
            <w:r>
              <w:rPr>
                <w:rFonts w:hint="eastAsia" w:ascii="仿宋" w:hAnsi="仿宋" w:eastAsia="仿宋" w:cs="仿宋"/>
                <w:color w:val="auto"/>
                <w:sz w:val="24"/>
                <w:highlight w:val="none"/>
                <w:lang w:val="zh-CN"/>
              </w:rPr>
              <w:br w:type="page"/>
            </w:r>
            <w:r>
              <w:rPr>
                <w:rFonts w:hint="eastAsia" w:ascii="仿宋" w:hAnsi="仿宋" w:eastAsia="仿宋" w:cs="仿宋"/>
                <w:b/>
                <w:color w:val="auto"/>
                <w:sz w:val="24"/>
                <w:highlight w:val="none"/>
              </w:rPr>
              <w:t>项目编号及名称</w:t>
            </w:r>
          </w:p>
        </w:tc>
        <w:tc>
          <w:tcPr>
            <w:tcW w:w="6697" w:type="dxa"/>
            <w:vAlign w:val="center"/>
          </w:tcPr>
          <w:p w14:paraId="5B87B812">
            <w:pPr>
              <w:pStyle w:val="2"/>
              <w:shd w:val="clea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324FB95B">
            <w:pPr>
              <w:pStyle w:val="2"/>
              <w:shd w:val="clea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p>
        </w:tc>
      </w:tr>
      <w:tr w14:paraId="5E54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shd w:val="clear" w:color="auto" w:fill="auto"/>
            <w:vAlign w:val="center"/>
          </w:tcPr>
          <w:p w14:paraId="36AEAFFD">
            <w:pPr>
              <w:pStyle w:val="2"/>
              <w:shd w:val="clea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highlight w:val="none"/>
              </w:rPr>
              <w:t>响应</w:t>
            </w:r>
            <w:r>
              <w:rPr>
                <w:rFonts w:hint="eastAsia" w:ascii="仿宋" w:hAnsi="仿宋" w:eastAsia="仿宋" w:cs="仿宋"/>
                <w:b/>
                <w:color w:val="auto"/>
                <w:sz w:val="24"/>
                <w:highlight w:val="none"/>
                <w:lang w:val="en-US" w:eastAsia="zh-CN"/>
              </w:rPr>
              <w:t>报价</w:t>
            </w:r>
          </w:p>
        </w:tc>
        <w:tc>
          <w:tcPr>
            <w:tcW w:w="6697" w:type="dxa"/>
            <w:vAlign w:val="center"/>
          </w:tcPr>
          <w:p w14:paraId="65D273DC">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tc>
      </w:tr>
      <w:tr w14:paraId="5F40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shd w:val="clear" w:color="auto" w:fill="auto"/>
            <w:vAlign w:val="center"/>
          </w:tcPr>
          <w:p w14:paraId="06079B79">
            <w:pPr>
              <w:shd w:val="clear"/>
              <w:spacing w:after="120"/>
              <w:rPr>
                <w:rFonts w:hint="eastAsia" w:ascii="Times New Roman" w:hAnsi="Times New Roman" w:eastAsia="仿宋" w:cs="Times New Roman"/>
                <w:b/>
                <w:color w:val="auto"/>
                <w:kern w:val="2"/>
                <w:sz w:val="24"/>
                <w:szCs w:val="24"/>
                <w:highlight w:val="none"/>
                <w:lang w:val="en-US" w:eastAsia="zh-CN" w:bidi="ar-SA"/>
              </w:rPr>
            </w:pPr>
            <w:r>
              <w:rPr>
                <w:rFonts w:eastAsia="仿宋"/>
                <w:b/>
                <w:color w:val="auto"/>
                <w:sz w:val="24"/>
                <w:highlight w:val="none"/>
              </w:rPr>
              <w:t>工期</w:t>
            </w:r>
          </w:p>
        </w:tc>
        <w:tc>
          <w:tcPr>
            <w:tcW w:w="6697" w:type="dxa"/>
            <w:vAlign w:val="center"/>
          </w:tcPr>
          <w:p w14:paraId="46284C9B">
            <w:pPr>
              <w:pStyle w:val="2"/>
              <w:shd w:val="clear"/>
              <w:rPr>
                <w:rFonts w:hint="eastAsia" w:ascii="仿宋" w:hAnsi="仿宋" w:eastAsia="仿宋" w:cs="仿宋"/>
                <w:color w:val="auto"/>
                <w:sz w:val="24"/>
                <w:highlight w:val="none"/>
              </w:rPr>
            </w:pPr>
          </w:p>
        </w:tc>
      </w:tr>
      <w:tr w14:paraId="4D70B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shd w:val="clear" w:color="auto" w:fill="auto"/>
            <w:vAlign w:val="center"/>
          </w:tcPr>
          <w:p w14:paraId="06584C62">
            <w:pPr>
              <w:shd w:val="clear"/>
              <w:spacing w:after="120"/>
              <w:rPr>
                <w:rFonts w:hint="default" w:ascii="Times New Roman" w:hAnsi="Times New Roman" w:eastAsia="仿宋" w:cs="Times New Roman"/>
                <w:b/>
                <w:color w:val="auto"/>
                <w:kern w:val="2"/>
                <w:sz w:val="24"/>
                <w:szCs w:val="24"/>
                <w:highlight w:val="none"/>
                <w:lang w:val="en-US" w:eastAsia="zh-CN" w:bidi="ar-SA"/>
              </w:rPr>
            </w:pPr>
            <w:r>
              <w:rPr>
                <w:rFonts w:eastAsia="仿宋"/>
                <w:b/>
                <w:color w:val="auto"/>
                <w:sz w:val="24"/>
                <w:highlight w:val="none"/>
              </w:rPr>
              <w:t>建设地点</w:t>
            </w:r>
          </w:p>
        </w:tc>
        <w:tc>
          <w:tcPr>
            <w:tcW w:w="6697" w:type="dxa"/>
            <w:vAlign w:val="center"/>
          </w:tcPr>
          <w:p w14:paraId="37C2AF22">
            <w:pPr>
              <w:pStyle w:val="2"/>
              <w:shd w:val="clear"/>
              <w:rPr>
                <w:rFonts w:hint="eastAsia" w:ascii="仿宋" w:hAnsi="仿宋" w:eastAsia="仿宋" w:cs="仿宋"/>
                <w:color w:val="auto"/>
                <w:sz w:val="24"/>
                <w:highlight w:val="none"/>
              </w:rPr>
            </w:pPr>
          </w:p>
        </w:tc>
      </w:tr>
      <w:tr w14:paraId="3382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4012347E">
            <w:pPr>
              <w:pStyle w:val="2"/>
              <w:shd w:val="clea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c>
          <w:tcPr>
            <w:tcW w:w="6697" w:type="dxa"/>
            <w:vAlign w:val="center"/>
          </w:tcPr>
          <w:p w14:paraId="36DF20D2">
            <w:pPr>
              <w:pStyle w:val="2"/>
              <w:shd w:val="clear"/>
              <w:rPr>
                <w:rFonts w:hint="eastAsia" w:ascii="仿宋" w:hAnsi="仿宋" w:eastAsia="仿宋" w:cs="仿宋"/>
                <w:color w:val="auto"/>
                <w:sz w:val="24"/>
                <w:highlight w:val="none"/>
              </w:rPr>
            </w:pPr>
          </w:p>
        </w:tc>
      </w:tr>
    </w:tbl>
    <w:p w14:paraId="003C5495">
      <w:pPr>
        <w:pStyle w:val="2"/>
        <w:shd w:val="clear"/>
        <w:rPr>
          <w:rFonts w:hint="eastAsia" w:ascii="仿宋" w:hAnsi="仿宋" w:eastAsia="仿宋" w:cs="仿宋"/>
          <w:color w:val="auto"/>
          <w:highlight w:val="none"/>
          <w:lang w:val="zh-CN"/>
        </w:rPr>
      </w:pPr>
    </w:p>
    <w:p w14:paraId="69CF8753">
      <w:pPr>
        <w:shd w:val="clear"/>
        <w:autoSpaceDE w:val="0"/>
        <w:autoSpaceDN w:val="0"/>
        <w:adjustRightInd w:val="0"/>
        <w:snapToGrid w:val="0"/>
        <w:spacing w:line="360" w:lineRule="auto"/>
        <w:ind w:firstLine="960" w:firstLineChars="400"/>
        <w:rPr>
          <w:rFonts w:hint="eastAsia" w:ascii="仿宋" w:hAnsi="仿宋" w:eastAsia="仿宋" w:cs="仿宋"/>
          <w:color w:val="auto"/>
          <w:sz w:val="24"/>
          <w:highlight w:val="none"/>
          <w:lang w:val="zh-CN"/>
        </w:rPr>
      </w:pPr>
    </w:p>
    <w:p w14:paraId="59CDB98E">
      <w:pPr>
        <w:shd w:val="clea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供应商（盖公章）：</w:t>
      </w:r>
      <w:r>
        <w:rPr>
          <w:rFonts w:hint="eastAsia" w:ascii="仿宋" w:hAnsi="仿宋" w:eastAsia="仿宋" w:cs="仿宋"/>
          <w:color w:val="auto"/>
          <w:sz w:val="24"/>
          <w:highlight w:val="none"/>
          <w:u w:val="single"/>
        </w:rPr>
        <w:t xml:space="preserve">                       </w:t>
      </w:r>
    </w:p>
    <w:p w14:paraId="5813F17E">
      <w:pPr>
        <w:shd w:val="clea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1D12CDF7">
      <w:pPr>
        <w:shd w:val="clea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403D4E6D">
      <w:pPr>
        <w:shd w:val="clear"/>
        <w:adjustRightInd w:val="0"/>
        <w:snapToGrid w:val="0"/>
        <w:spacing w:line="360" w:lineRule="auto"/>
        <w:jc w:val="center"/>
        <w:rPr>
          <w:rFonts w:hint="eastAsia" w:ascii="仿宋" w:hAnsi="仿宋" w:eastAsia="仿宋" w:cs="仿宋"/>
          <w:b/>
          <w:color w:val="auto"/>
          <w:sz w:val="42"/>
          <w:highlight w:val="none"/>
        </w:rPr>
      </w:pPr>
    </w:p>
    <w:p w14:paraId="687435C9">
      <w:pPr>
        <w:shd w:val="clear"/>
        <w:adjustRightInd w:val="0"/>
        <w:snapToGrid w:val="0"/>
        <w:spacing w:line="360" w:lineRule="auto"/>
        <w:jc w:val="center"/>
        <w:rPr>
          <w:rFonts w:hint="eastAsia" w:ascii="仿宋" w:hAnsi="仿宋" w:eastAsia="仿宋" w:cs="仿宋"/>
          <w:b/>
          <w:color w:val="auto"/>
          <w:sz w:val="42"/>
          <w:highlight w:val="none"/>
        </w:rPr>
        <w:sectPr>
          <w:footerReference r:id="rId7" w:type="default"/>
          <w:pgSz w:w="11906" w:h="16838"/>
          <w:pgMar w:top="1418" w:right="1418" w:bottom="1418" w:left="1418" w:header="851" w:footer="992" w:gutter="0"/>
          <w:pgNumType w:fmt="decimal" w:start="1"/>
          <w:cols w:space="720" w:num="1"/>
          <w:docGrid w:linePitch="312" w:charSpace="0"/>
        </w:sectPr>
      </w:pPr>
    </w:p>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70B5F3DE">
      <w:pPr>
        <w:pStyle w:val="7"/>
        <w:shd w:val="clear"/>
        <w:jc w:val="center"/>
        <w:rPr>
          <w:rFonts w:hint="default" w:ascii="Times New Roman" w:hAnsi="Times New Roman" w:eastAsia="仿宋_GB2312" w:cs="Times New Roman"/>
          <w:b/>
          <w:bCs/>
          <w:sz w:val="28"/>
          <w:szCs w:val="36"/>
          <w:highlight w:val="none"/>
        </w:rPr>
      </w:pPr>
      <w:r>
        <w:rPr>
          <w:rFonts w:hint="default" w:ascii="Times New Roman" w:hAnsi="Times New Roman" w:eastAsia="仿宋_GB2312" w:cs="Times New Roman"/>
          <w:b/>
          <w:bCs/>
          <w:sz w:val="28"/>
          <w:szCs w:val="36"/>
          <w:highlight w:val="none"/>
        </w:rPr>
        <w:t>（首次）响应分项报价表</w:t>
      </w:r>
    </w:p>
    <w:p w14:paraId="2BB02A87">
      <w:pPr>
        <w:shd w:val="clear"/>
        <w:tabs>
          <w:tab w:val="left" w:pos="588"/>
        </w:tabs>
        <w:jc w:val="center"/>
        <w:outlineLvl w:val="9"/>
        <w:rPr>
          <w:rFonts w:hint="eastAsia" w:ascii="仿宋" w:hAnsi="仿宋" w:eastAsia="仿宋" w:cs="仿宋"/>
          <w:b/>
          <w:color w:val="auto"/>
          <w:sz w:val="28"/>
          <w:szCs w:val="28"/>
          <w:highlight w:val="none"/>
          <w:lang w:val="en-US" w:eastAsia="zh-CN"/>
        </w:rPr>
      </w:pPr>
    </w:p>
    <w:p w14:paraId="745F3CCB">
      <w:pPr>
        <w:shd w:val="clear"/>
        <w:tabs>
          <w:tab w:val="left" w:pos="588"/>
        </w:tabs>
        <w:jc w:val="center"/>
        <w:outlineLvl w:val="9"/>
        <w:rPr>
          <w:rFonts w:hint="eastAsia" w:ascii="仿宋" w:hAnsi="仿宋" w:eastAsia="仿宋" w:cs="仿宋"/>
          <w:b/>
          <w:color w:val="auto"/>
          <w:sz w:val="28"/>
          <w:szCs w:val="28"/>
          <w:highlight w:val="none"/>
          <w:lang w:val="en-US" w:eastAsia="zh-CN"/>
        </w:rPr>
      </w:pPr>
    </w:p>
    <w:p w14:paraId="3766B513">
      <w:pPr>
        <w:shd w:val="clear"/>
        <w:tabs>
          <w:tab w:val="left" w:pos="588"/>
        </w:tabs>
        <w:jc w:val="center"/>
        <w:outlineLvl w:val="9"/>
        <w:rPr>
          <w:rFonts w:hint="eastAsia" w:ascii="仿宋" w:hAnsi="仿宋" w:eastAsia="仿宋" w:cs="仿宋"/>
          <w:b/>
          <w:color w:val="auto"/>
          <w:sz w:val="28"/>
          <w:szCs w:val="28"/>
          <w:highlight w:val="none"/>
          <w:lang w:val="en-US" w:eastAsia="zh-CN"/>
        </w:rPr>
      </w:pPr>
    </w:p>
    <w:p w14:paraId="39DC53D5">
      <w:pP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br w:type="page"/>
      </w:r>
    </w:p>
    <w:p w14:paraId="3774E3C7">
      <w:pPr>
        <w:pStyle w:val="4"/>
        <w:shd w:val="clear" w:color="auto"/>
        <w:jc w:val="center"/>
        <w:rPr>
          <w:rFonts w:hint="eastAsia" w:ascii="仿宋" w:hAnsi="仿宋" w:eastAsia="仿宋" w:cs="仿宋"/>
          <w:b/>
          <w:bCs w:val="0"/>
          <w:color w:val="auto"/>
          <w:highlight w:val="none"/>
        </w:rPr>
      </w:pPr>
      <w:bookmarkStart w:id="481" w:name="_Toc23527"/>
      <w:bookmarkStart w:id="482" w:name="_Toc912"/>
      <w:bookmarkStart w:id="483" w:name="_Toc21403"/>
      <w:bookmarkStart w:id="484" w:name="_Toc8402"/>
      <w:bookmarkStart w:id="485" w:name="_Toc5958"/>
      <w:r>
        <w:rPr>
          <w:rFonts w:hint="eastAsia" w:ascii="仿宋" w:hAnsi="仿宋" w:eastAsia="仿宋" w:cs="仿宋"/>
          <w:b/>
          <w:bCs w:val="0"/>
          <w:color w:val="auto"/>
          <w:highlight w:val="none"/>
          <w:lang w:val="zh-CN"/>
        </w:rPr>
        <w:t>第三部分  资格证明文件</w:t>
      </w:r>
      <w:bookmarkEnd w:id="481"/>
      <w:bookmarkEnd w:id="482"/>
      <w:bookmarkEnd w:id="483"/>
      <w:bookmarkEnd w:id="484"/>
      <w:bookmarkEnd w:id="485"/>
    </w:p>
    <w:p w14:paraId="4CA54B06">
      <w:pPr>
        <w:pStyle w:val="4"/>
        <w:shd w:val="clear" w:color="auto"/>
        <w:jc w:val="center"/>
        <w:rPr>
          <w:rFonts w:hint="eastAsia" w:ascii="仿宋" w:hAnsi="仿宋" w:eastAsia="仿宋" w:cs="仿宋"/>
          <w:b w:val="0"/>
          <w:bCs/>
          <w:color w:val="auto"/>
          <w:highlight w:val="none"/>
        </w:rPr>
      </w:pPr>
      <w:bookmarkStart w:id="486" w:name="_Toc26308"/>
      <w:bookmarkStart w:id="487" w:name="_Toc14369"/>
      <w:bookmarkStart w:id="488" w:name="_Toc32636"/>
      <w:bookmarkStart w:id="489" w:name="_Toc10337"/>
      <w:r>
        <w:rPr>
          <w:rFonts w:hint="eastAsia" w:ascii="仿宋" w:hAnsi="仿宋" w:eastAsia="仿宋" w:cs="仿宋"/>
          <w:b w:val="0"/>
          <w:bCs/>
          <w:color w:val="auto"/>
          <w:highlight w:val="none"/>
          <w:lang w:val="en-US" w:eastAsia="zh-CN"/>
        </w:rPr>
        <w:t>一、</w:t>
      </w:r>
      <w:r>
        <w:rPr>
          <w:rFonts w:hint="eastAsia" w:ascii="仿宋" w:hAnsi="仿宋" w:eastAsia="仿宋" w:cs="仿宋"/>
          <w:b w:val="0"/>
          <w:bCs/>
          <w:color w:val="auto"/>
          <w:highlight w:val="none"/>
        </w:rPr>
        <w:t>身份证明文件</w:t>
      </w:r>
      <w:bookmarkEnd w:id="486"/>
      <w:bookmarkEnd w:id="487"/>
      <w:bookmarkEnd w:id="488"/>
      <w:bookmarkEnd w:id="489"/>
    </w:p>
    <w:p w14:paraId="35666F78">
      <w:pPr>
        <w:shd w:val="clear"/>
        <w:spacing w:after="120"/>
        <w:rPr>
          <w:rFonts w:hint="eastAsia" w:ascii="仿宋" w:hAnsi="仿宋" w:eastAsia="仿宋" w:cs="仿宋"/>
          <w:color w:val="auto"/>
          <w:highlight w:val="none"/>
        </w:rPr>
      </w:pPr>
    </w:p>
    <w:p w14:paraId="3A9DC639">
      <w:pPr>
        <w:widowControl/>
        <w:shd w:val="clea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1、法定代表人（或单位负责人）授权</w:t>
      </w:r>
      <w:r>
        <w:rPr>
          <w:rFonts w:hint="eastAsia" w:ascii="仿宋" w:hAnsi="仿宋" w:eastAsia="仿宋" w:cs="仿宋"/>
          <w:b/>
          <w:bCs/>
          <w:color w:val="auto"/>
          <w:sz w:val="28"/>
          <w:szCs w:val="28"/>
          <w:highlight w:val="none"/>
        </w:rPr>
        <w:t>委托</w:t>
      </w:r>
      <w:r>
        <w:rPr>
          <w:rFonts w:hint="eastAsia" w:ascii="仿宋" w:hAnsi="仿宋" w:eastAsia="仿宋" w:cs="仿宋"/>
          <w:b/>
          <w:bCs/>
          <w:color w:val="auto"/>
          <w:sz w:val="28"/>
          <w:szCs w:val="28"/>
          <w:highlight w:val="none"/>
          <w:lang w:val="zh-CN"/>
        </w:rPr>
        <w:t>书</w:t>
      </w:r>
    </w:p>
    <w:p w14:paraId="1330C1BB">
      <w:pPr>
        <w:shd w:val="clear"/>
        <w:autoSpaceDE w:val="0"/>
        <w:autoSpaceDN w:val="0"/>
        <w:adjustRightInd w:val="0"/>
        <w:spacing w:line="348" w:lineRule="auto"/>
        <w:ind w:firstLine="400"/>
        <w:rPr>
          <w:rFonts w:hint="eastAsia" w:ascii="仿宋" w:hAnsi="仿宋" w:eastAsia="仿宋" w:cs="仿宋"/>
          <w:b/>
          <w:bCs/>
          <w:color w:val="auto"/>
          <w:sz w:val="20"/>
          <w:highlight w:val="none"/>
        </w:rPr>
      </w:pPr>
    </w:p>
    <w:p w14:paraId="1D4F0B2C">
      <w:pPr>
        <w:shd w:val="clear"/>
        <w:autoSpaceDE w:val="0"/>
        <w:autoSpaceDN w:val="0"/>
        <w:adjustRightInd w:val="0"/>
        <w:spacing w:line="34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陕西省采购招标有限责任公司：</w:t>
      </w:r>
    </w:p>
    <w:p w14:paraId="36391D62">
      <w:pPr>
        <w:shd w:val="clear"/>
        <w:autoSpaceDE w:val="0"/>
        <w:autoSpaceDN w:val="0"/>
        <w:adjustRightInd w:val="0"/>
        <w:spacing w:line="348" w:lineRule="auto"/>
        <w:ind w:firstLine="64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注册于</w:t>
      </w:r>
      <w:r>
        <w:rPr>
          <w:rFonts w:hint="eastAsia" w:ascii="仿宋" w:hAnsi="仿宋" w:eastAsia="仿宋" w:cs="仿宋"/>
          <w:color w:val="auto"/>
          <w:sz w:val="24"/>
          <w:highlight w:val="none"/>
          <w:u w:val="single"/>
          <w:lang w:val="zh-CN"/>
        </w:rPr>
        <w:t>（工商行政管理局名称）</w:t>
      </w:r>
      <w:r>
        <w:rPr>
          <w:rFonts w:hint="eastAsia" w:ascii="仿宋" w:hAnsi="仿宋" w:eastAsia="仿宋" w:cs="仿宋"/>
          <w:color w:val="auto"/>
          <w:sz w:val="24"/>
          <w:highlight w:val="none"/>
          <w:lang w:val="zh-CN"/>
        </w:rPr>
        <w:t>之</w:t>
      </w:r>
      <w:r>
        <w:rPr>
          <w:rFonts w:hint="eastAsia" w:ascii="仿宋" w:hAnsi="仿宋" w:eastAsia="仿宋" w:cs="仿宋"/>
          <w:color w:val="auto"/>
          <w:sz w:val="24"/>
          <w:highlight w:val="none"/>
          <w:u w:val="single"/>
          <w:lang w:val="zh-CN"/>
        </w:rPr>
        <w:t>（供应商全称）</w:t>
      </w:r>
      <w:r>
        <w:rPr>
          <w:rFonts w:hint="eastAsia" w:ascii="仿宋" w:hAnsi="仿宋" w:eastAsia="仿宋" w:cs="仿宋"/>
          <w:color w:val="auto"/>
          <w:sz w:val="24"/>
          <w:highlight w:val="none"/>
          <w:lang w:val="zh-CN"/>
        </w:rPr>
        <w:t>法人代表</w:t>
      </w:r>
      <w:r>
        <w:rPr>
          <w:rFonts w:hint="eastAsia" w:ascii="仿宋" w:hAnsi="仿宋" w:eastAsia="仿宋" w:cs="仿宋"/>
          <w:color w:val="auto"/>
          <w:sz w:val="24"/>
          <w:highlight w:val="none"/>
          <w:u w:val="single"/>
          <w:lang w:val="zh-CN"/>
        </w:rPr>
        <w:t>（姓名、职务）</w:t>
      </w:r>
      <w:r>
        <w:rPr>
          <w:rFonts w:hint="eastAsia" w:ascii="仿宋" w:hAnsi="仿宋" w:eastAsia="仿宋" w:cs="仿宋"/>
          <w:color w:val="auto"/>
          <w:sz w:val="24"/>
          <w:highlight w:val="none"/>
          <w:lang w:val="zh-CN"/>
        </w:rPr>
        <w:t>授权</w:t>
      </w:r>
      <w:r>
        <w:rPr>
          <w:rFonts w:hint="eastAsia" w:ascii="仿宋" w:hAnsi="仿宋" w:eastAsia="仿宋" w:cs="仿宋"/>
          <w:color w:val="auto"/>
          <w:sz w:val="24"/>
          <w:highlight w:val="none"/>
          <w:u w:val="single"/>
          <w:lang w:val="zh-CN"/>
        </w:rPr>
        <w:t>（被授权人姓名、职务）</w:t>
      </w:r>
      <w:r>
        <w:rPr>
          <w:rFonts w:hint="eastAsia" w:ascii="仿宋" w:hAnsi="仿宋" w:eastAsia="仿宋" w:cs="仿宋"/>
          <w:color w:val="auto"/>
          <w:sz w:val="24"/>
          <w:highlight w:val="none"/>
          <w:lang w:val="zh-CN"/>
        </w:rPr>
        <w:t>为本公司的合法代理人，就</w:t>
      </w:r>
      <w:r>
        <w:rPr>
          <w:rFonts w:hint="eastAsia" w:ascii="仿宋" w:hAnsi="仿宋" w:eastAsia="仿宋" w:cs="仿宋"/>
          <w:color w:val="auto"/>
          <w:sz w:val="24"/>
          <w:highlight w:val="none"/>
          <w:u w:val="single"/>
          <w:lang w:val="zh-CN"/>
        </w:rPr>
        <w:t>（项目名称）</w:t>
      </w:r>
      <w:r>
        <w:rPr>
          <w:rFonts w:hint="eastAsia" w:ascii="仿宋" w:hAnsi="仿宋" w:eastAsia="仿宋" w:cs="仿宋"/>
          <w:color w:val="auto"/>
          <w:sz w:val="24"/>
          <w:highlight w:val="none"/>
          <w:lang w:val="zh-CN"/>
        </w:rPr>
        <w:t>的磋商及合同的执行和完成，以本公司的名义处理一切与之有关的事宜。</w:t>
      </w:r>
    </w:p>
    <w:p w14:paraId="5AA79854">
      <w:pPr>
        <w:shd w:val="clear"/>
        <w:snapToGrid w:val="0"/>
        <w:spacing w:line="360" w:lineRule="auto"/>
        <w:ind w:firstLine="480" w:firstLineChars="200"/>
        <w:rPr>
          <w:rFonts w:hint="eastAsia"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本授权自</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日起生效。（</w:t>
      </w:r>
      <w:r>
        <w:rPr>
          <w:rFonts w:hint="eastAsia" w:ascii="仿宋" w:hAnsi="仿宋" w:eastAsia="仿宋" w:cs="仿宋"/>
          <w:b/>
          <w:color w:val="auto"/>
          <w:sz w:val="24"/>
          <w:highlight w:val="none"/>
          <w:lang w:val="zh-CN"/>
        </w:rPr>
        <w:t>提示：此日期不应晚于磋商响应函签署日期</w:t>
      </w:r>
      <w:r>
        <w:rPr>
          <w:rFonts w:hint="eastAsia" w:ascii="仿宋" w:hAnsi="仿宋" w:eastAsia="仿宋" w:cs="仿宋"/>
          <w:color w:val="auto"/>
          <w:sz w:val="24"/>
          <w:highlight w:val="none"/>
          <w:lang w:val="zh-CN"/>
        </w:rPr>
        <w:t>）</w:t>
      </w:r>
    </w:p>
    <w:p w14:paraId="631B853A">
      <w:pPr>
        <w:shd w:val="clear"/>
        <w:autoSpaceDE w:val="0"/>
        <w:autoSpaceDN w:val="0"/>
        <w:adjustRightInd w:val="0"/>
        <w:spacing w:line="348" w:lineRule="auto"/>
        <w:rPr>
          <w:rFonts w:hint="eastAsia" w:ascii="仿宋" w:hAnsi="仿宋" w:eastAsia="仿宋" w:cs="仿宋"/>
          <w:color w:val="auto"/>
          <w:sz w:val="24"/>
          <w:highlight w:val="none"/>
        </w:rPr>
      </w:pPr>
    </w:p>
    <w:p w14:paraId="39B7E63A">
      <w:pPr>
        <w:shd w:val="clear"/>
        <w:autoSpaceDE w:val="0"/>
        <w:autoSpaceDN w:val="0"/>
        <w:adjustRightInd w:val="0"/>
        <w:spacing w:line="348" w:lineRule="auto"/>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rPr>
        <w:t>附：被授权人姓名：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年龄：</w:t>
      </w:r>
    </w:p>
    <w:p w14:paraId="0D71D999">
      <w:pPr>
        <w:shd w:val="clear"/>
        <w:autoSpaceDE w:val="0"/>
        <w:autoSpaceDN w:val="0"/>
        <w:adjustRightInd w:val="0"/>
        <w:spacing w:line="348"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职</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身份证号码：</w:t>
      </w:r>
    </w:p>
    <w:p w14:paraId="2CF4A705">
      <w:pPr>
        <w:shd w:val="clear"/>
        <w:autoSpaceDE w:val="0"/>
        <w:autoSpaceDN w:val="0"/>
        <w:adjustRightInd w:val="0"/>
        <w:spacing w:line="348"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通讯地址：</w:t>
      </w:r>
    </w:p>
    <w:p w14:paraId="5EC90765">
      <w:pPr>
        <w:shd w:val="clear"/>
        <w:autoSpaceDE w:val="0"/>
        <w:autoSpaceDN w:val="0"/>
        <w:adjustRightInd w:val="0"/>
        <w:spacing w:line="348"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邮政编码：</w:t>
      </w:r>
    </w:p>
    <w:p w14:paraId="36A15A04">
      <w:pPr>
        <w:shd w:val="clear"/>
        <w:autoSpaceDE w:val="0"/>
        <w:autoSpaceDN w:val="0"/>
        <w:adjustRightInd w:val="0"/>
        <w:spacing w:line="348"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电</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 xml:space="preserve">传真：                     </w:t>
      </w:r>
      <w:r>
        <w:rPr>
          <w:rFonts w:hint="eastAsia" w:ascii="仿宋" w:hAnsi="仿宋" w:eastAsia="仿宋" w:cs="仿宋"/>
          <w:color w:val="auto"/>
          <w:sz w:val="24"/>
          <w:highlight w:val="none"/>
          <w:u w:val="single"/>
        </w:rPr>
        <w:t xml:space="preserve">           </w:t>
      </w:r>
    </w:p>
    <w:p w14:paraId="2EDEDDF4">
      <w:pPr>
        <w:shd w:val="clear"/>
        <w:autoSpaceDE w:val="0"/>
        <w:autoSpaceDN w:val="0"/>
        <w:adjustRightInd w:val="0"/>
        <w:spacing w:line="348" w:lineRule="auto"/>
        <w:rPr>
          <w:rFonts w:hint="eastAsia" w:ascii="仿宋" w:hAnsi="仿宋" w:eastAsia="仿宋" w:cs="仿宋"/>
          <w:color w:val="auto"/>
          <w:sz w:val="24"/>
          <w:highlight w:val="none"/>
        </w:rPr>
      </w:pPr>
    </w:p>
    <w:p w14:paraId="60210825">
      <w:pPr>
        <w:shd w:val="clear"/>
        <w:autoSpaceDE w:val="0"/>
        <w:autoSpaceDN w:val="0"/>
        <w:adjustRightInd w:val="0"/>
        <w:spacing w:line="34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val="zh-CN"/>
        </w:rPr>
        <w:t>委托代理人身份证复印件</w:t>
      </w:r>
    </w:p>
    <w:tbl>
      <w:tblPr>
        <w:tblStyle w:val="51"/>
        <w:tblW w:w="0" w:type="auto"/>
        <w:tblInd w:w="679" w:type="dxa"/>
        <w:tblLayout w:type="fixed"/>
        <w:tblCellMar>
          <w:top w:w="0" w:type="dxa"/>
          <w:left w:w="108" w:type="dxa"/>
          <w:bottom w:w="0" w:type="dxa"/>
          <w:right w:w="108" w:type="dxa"/>
        </w:tblCellMar>
      </w:tblPr>
      <w:tblGrid>
        <w:gridCol w:w="4049"/>
        <w:gridCol w:w="3885"/>
      </w:tblGrid>
      <w:tr w14:paraId="39D01E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C033664">
            <w:pPr>
              <w:shd w:val="clear"/>
              <w:autoSpaceDE w:val="0"/>
              <w:autoSpaceDN w:val="0"/>
              <w:adjustRightInd w:val="0"/>
              <w:spacing w:line="348"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zh-CN"/>
              </w:rPr>
              <w:t>身份证复印件</w:t>
            </w:r>
          </w:p>
          <w:p w14:paraId="4235CC4D">
            <w:pPr>
              <w:shd w:val="clear"/>
              <w:autoSpaceDE w:val="0"/>
              <w:autoSpaceDN w:val="0"/>
              <w:adjustRightInd w:val="0"/>
              <w:spacing w:line="348"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E274F02">
            <w:pPr>
              <w:shd w:val="clear"/>
              <w:autoSpaceDE w:val="0"/>
              <w:autoSpaceDN w:val="0"/>
              <w:adjustRightInd w:val="0"/>
              <w:spacing w:line="348"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委托代理人身份证复印件</w:t>
            </w:r>
          </w:p>
          <w:p w14:paraId="452E2CE5">
            <w:pPr>
              <w:shd w:val="clear"/>
              <w:autoSpaceDE w:val="0"/>
              <w:autoSpaceDN w:val="0"/>
              <w:adjustRightInd w:val="0"/>
              <w:spacing w:line="348"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788C34AB">
      <w:pPr>
        <w:shd w:val="clea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5D071B5A">
      <w:pPr>
        <w:shd w:val="clear"/>
        <w:adjustRightInd w:val="0"/>
        <w:snapToGrid w:val="0"/>
        <w:spacing w:line="360" w:lineRule="auto"/>
        <w:rPr>
          <w:rFonts w:hint="eastAsia" w:ascii="仿宋" w:hAnsi="仿宋" w:eastAsia="仿宋" w:cs="仿宋"/>
          <w:color w:val="auto"/>
          <w:sz w:val="24"/>
          <w:highlight w:val="none"/>
        </w:rPr>
      </w:pPr>
    </w:p>
    <w:p w14:paraId="406B284C">
      <w:pPr>
        <w:shd w:val="clea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 （盖公章）：               </w:t>
      </w:r>
    </w:p>
    <w:p w14:paraId="2FCCF85B">
      <w:pPr>
        <w:shd w:val="clea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法定代表人（或单位负责人）（签字或盖章）：</w:t>
      </w:r>
    </w:p>
    <w:p w14:paraId="2139CDFE">
      <w:pPr>
        <w:shd w:val="clea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B2652F9">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注：自然人投标的或法定代表人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投标的无需提供</w:t>
      </w:r>
    </w:p>
    <w:p w14:paraId="68CA7114">
      <w:pPr>
        <w:shd w:val="clear"/>
        <w:autoSpaceDE w:val="0"/>
        <w:autoSpaceDN w:val="0"/>
        <w:adjustRightInd w:val="0"/>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2、法定代表人</w:t>
      </w:r>
      <w:r>
        <w:rPr>
          <w:rFonts w:hint="eastAsia" w:ascii="仿宋" w:hAnsi="仿宋" w:eastAsia="仿宋" w:cs="仿宋"/>
          <w:b/>
          <w:bCs/>
          <w:color w:val="auto"/>
          <w:sz w:val="32"/>
          <w:szCs w:val="32"/>
          <w:highlight w:val="none"/>
          <w:lang w:val="zh-CN"/>
        </w:rPr>
        <w:t>（单位负责人）</w:t>
      </w:r>
      <w:r>
        <w:rPr>
          <w:rFonts w:hint="eastAsia" w:ascii="仿宋" w:hAnsi="仿宋" w:eastAsia="仿宋" w:cs="仿宋"/>
          <w:b/>
          <w:color w:val="auto"/>
          <w:kern w:val="0"/>
          <w:sz w:val="28"/>
          <w:szCs w:val="28"/>
          <w:highlight w:val="none"/>
        </w:rPr>
        <w:t>身份证明</w:t>
      </w:r>
    </w:p>
    <w:p w14:paraId="3D74EE00">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43CB2914">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7C5ACF52">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7BFFB175">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单位性质：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1C56D6F8">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地    址： </w:t>
      </w:r>
      <w:r>
        <w:rPr>
          <w:rFonts w:hint="eastAsia" w:ascii="仿宋" w:hAnsi="仿宋" w:eastAsia="仿宋" w:cs="仿宋"/>
          <w:color w:val="auto"/>
          <w:kern w:val="0"/>
          <w:sz w:val="24"/>
          <w:highlight w:val="none"/>
          <w:u w:val="single"/>
        </w:rPr>
        <w:t xml:space="preserve">                       </w:t>
      </w:r>
    </w:p>
    <w:p w14:paraId="0B92EDB8">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3CA43871">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经营期限：</w:t>
      </w:r>
    </w:p>
    <w:p w14:paraId="2691D495">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2BD85C51">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5C2655DD">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职务：</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highlight w:val="none"/>
        </w:rPr>
        <w:t>。</w:t>
      </w:r>
    </w:p>
    <w:p w14:paraId="7D6BA56B">
      <w:pPr>
        <w:shd w:val="clea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tbl>
      <w:tblPr>
        <w:tblStyle w:val="51"/>
        <w:tblW w:w="0" w:type="auto"/>
        <w:tblInd w:w="679" w:type="dxa"/>
        <w:tblLayout w:type="fixed"/>
        <w:tblCellMar>
          <w:top w:w="0" w:type="dxa"/>
          <w:left w:w="108" w:type="dxa"/>
          <w:bottom w:w="0" w:type="dxa"/>
          <w:right w:w="108" w:type="dxa"/>
        </w:tblCellMar>
      </w:tblPr>
      <w:tblGrid>
        <w:gridCol w:w="4049"/>
        <w:gridCol w:w="3885"/>
      </w:tblGrid>
      <w:tr w14:paraId="3DD78C91">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6C985BEF">
            <w:pPr>
              <w:shd w:val="clear"/>
              <w:autoSpaceDE w:val="0"/>
              <w:autoSpaceDN w:val="0"/>
              <w:adjustRightInd w:val="0"/>
              <w:spacing w:line="348"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zh-CN"/>
              </w:rPr>
              <w:t>身份证复印件</w:t>
            </w:r>
          </w:p>
          <w:p w14:paraId="4A2D76C5">
            <w:pPr>
              <w:shd w:val="clear"/>
              <w:autoSpaceDE w:val="0"/>
              <w:autoSpaceDN w:val="0"/>
              <w:adjustRightInd w:val="0"/>
              <w:spacing w:line="348"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5FE3F4EE">
            <w:pPr>
              <w:shd w:val="clear"/>
              <w:autoSpaceDE w:val="0"/>
              <w:autoSpaceDN w:val="0"/>
              <w:adjustRightInd w:val="0"/>
              <w:spacing w:line="348"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zh-CN"/>
              </w:rPr>
              <w:t>身份证复印件</w:t>
            </w:r>
          </w:p>
          <w:p w14:paraId="20363741">
            <w:pPr>
              <w:shd w:val="clear"/>
              <w:autoSpaceDE w:val="0"/>
              <w:autoSpaceDN w:val="0"/>
              <w:adjustRightInd w:val="0"/>
              <w:spacing w:line="348"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7BE3DB9F">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32328395">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5889BD36">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31DB922A">
      <w:pPr>
        <w:shd w:val="clear"/>
        <w:autoSpaceDE w:val="0"/>
        <w:autoSpaceDN w:val="0"/>
        <w:adjustRightInd w:val="0"/>
        <w:spacing w:line="360" w:lineRule="auto"/>
        <w:jc w:val="left"/>
        <w:rPr>
          <w:rFonts w:hint="eastAsia" w:ascii="仿宋" w:hAnsi="仿宋" w:eastAsia="仿宋" w:cs="仿宋"/>
          <w:color w:val="auto"/>
          <w:kern w:val="0"/>
          <w:sz w:val="24"/>
          <w:highlight w:val="none"/>
        </w:rPr>
      </w:pPr>
    </w:p>
    <w:p w14:paraId="750E0518">
      <w:pPr>
        <w:shd w:val="clear"/>
        <w:autoSpaceDE w:val="0"/>
        <w:autoSpaceDN w:val="0"/>
        <w:adjustRightInd w:val="0"/>
        <w:spacing w:line="360" w:lineRule="auto"/>
        <w:ind w:left="5399" w:leftChars="2571"/>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供应商（盖公章）：           </w:t>
      </w:r>
    </w:p>
    <w:p w14:paraId="51CE6D41">
      <w:pPr>
        <w:shd w:val="clear"/>
        <w:autoSpaceDE w:val="0"/>
        <w:autoSpaceDN w:val="0"/>
        <w:adjustRightInd w:val="0"/>
        <w:spacing w:line="360" w:lineRule="auto"/>
        <w:ind w:left="5399" w:leftChars="2571"/>
        <w:jc w:val="left"/>
        <w:rPr>
          <w:rFonts w:hint="eastAsia" w:ascii="仿宋" w:hAnsi="仿宋" w:eastAsia="仿宋" w:cs="仿宋"/>
          <w:color w:val="auto"/>
          <w:kern w:val="0"/>
          <w:sz w:val="24"/>
          <w:highlight w:val="none"/>
        </w:rPr>
      </w:pPr>
    </w:p>
    <w:p w14:paraId="2EA3AF4F">
      <w:pPr>
        <w:shd w:val="clear"/>
        <w:autoSpaceDE w:val="0"/>
        <w:autoSpaceDN w:val="0"/>
        <w:adjustRightInd w:val="0"/>
        <w:spacing w:line="360" w:lineRule="auto"/>
        <w:ind w:left="6659" w:leftChars="3171"/>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年  月  日</w:t>
      </w:r>
    </w:p>
    <w:p w14:paraId="64643CB4">
      <w:pPr>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D4920D7">
      <w:pPr>
        <w:shd w:val="clear"/>
        <w:jc w:val="center"/>
        <w:rPr>
          <w:rFonts w:hint="eastAsia" w:ascii="仿宋" w:hAnsi="仿宋" w:eastAsia="仿宋" w:cs="仿宋"/>
          <w:b/>
          <w:color w:val="auto"/>
          <w:sz w:val="28"/>
          <w:szCs w:val="28"/>
          <w:highlight w:val="none"/>
        </w:rPr>
      </w:pPr>
      <w:bookmarkStart w:id="490" w:name="_Toc60929129"/>
      <w:r>
        <w:rPr>
          <w:rFonts w:hint="eastAsia" w:ascii="仿宋" w:hAnsi="仿宋" w:eastAsia="仿宋" w:cs="仿宋"/>
          <w:b/>
          <w:color w:val="auto"/>
          <w:sz w:val="28"/>
          <w:szCs w:val="28"/>
          <w:highlight w:val="none"/>
        </w:rPr>
        <w:t>3、</w:t>
      </w:r>
      <w:r>
        <w:rPr>
          <w:rFonts w:hint="eastAsia" w:ascii="仿宋" w:hAnsi="仿宋" w:eastAsia="仿宋" w:cs="仿宋"/>
          <w:b/>
          <w:color w:val="auto"/>
          <w:sz w:val="28"/>
          <w:szCs w:val="28"/>
          <w:highlight w:val="none"/>
          <w:lang w:eastAsia="zh-CN"/>
        </w:rPr>
        <w:t>委托代理人</w:t>
      </w:r>
      <w:r>
        <w:rPr>
          <w:rFonts w:hint="eastAsia" w:ascii="仿宋" w:hAnsi="仿宋" w:eastAsia="仿宋" w:cs="仿宋"/>
          <w:b/>
          <w:color w:val="auto"/>
          <w:sz w:val="28"/>
          <w:szCs w:val="28"/>
          <w:highlight w:val="none"/>
        </w:rPr>
        <w:t>本单位证明</w:t>
      </w:r>
      <w:bookmarkEnd w:id="490"/>
    </w:p>
    <w:p w14:paraId="298E6097">
      <w:pPr>
        <w:shd w:val="clear"/>
        <w:spacing w:after="120"/>
        <w:rPr>
          <w:rFonts w:hint="eastAsia" w:ascii="仿宋" w:hAnsi="仿宋" w:eastAsia="仿宋" w:cs="仿宋"/>
          <w:color w:val="auto"/>
          <w:highlight w:val="none"/>
        </w:rPr>
      </w:pPr>
    </w:p>
    <w:p w14:paraId="03253E27">
      <w:pPr>
        <w:shd w:val="clear"/>
        <w:autoSpaceDE w:val="0"/>
        <w:autoSpaceDN w:val="0"/>
        <w:adjustRightInd w:val="0"/>
        <w:spacing w:line="348"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提供委托代理人在本单位</w:t>
      </w:r>
      <w:r>
        <w:rPr>
          <w:rFonts w:hint="eastAsia" w:ascii="仿宋" w:hAnsi="仿宋" w:eastAsia="仿宋" w:cs="仿宋"/>
          <w:color w:val="auto"/>
          <w:sz w:val="28"/>
          <w:szCs w:val="28"/>
          <w:highlight w:val="none"/>
        </w:rPr>
        <w:t>养老保险缴纳证明</w:t>
      </w:r>
      <w:r>
        <w:rPr>
          <w:rFonts w:hint="eastAsia" w:ascii="仿宋" w:hAnsi="仿宋" w:eastAsia="仿宋" w:cs="仿宋"/>
          <w:color w:val="auto"/>
          <w:sz w:val="28"/>
          <w:szCs w:val="28"/>
          <w:highlight w:val="none"/>
          <w:lang w:val="zh-CN"/>
        </w:rPr>
        <w:t>）</w:t>
      </w:r>
    </w:p>
    <w:p w14:paraId="444AF440">
      <w:pPr>
        <w:shd w:val="clea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020E5E7F">
      <w:pPr>
        <w:shd w:val="clea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37593D6F">
      <w:pPr>
        <w:shd w:val="clea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3C851693">
      <w:pPr>
        <w:pStyle w:val="2"/>
        <w:shd w:val="clear"/>
        <w:rPr>
          <w:rFonts w:hint="eastAsia" w:ascii="仿宋" w:hAnsi="仿宋" w:eastAsia="仿宋" w:cs="仿宋"/>
          <w:color w:val="auto"/>
          <w:highlight w:val="none"/>
        </w:rPr>
      </w:pPr>
    </w:p>
    <w:p w14:paraId="1A2F0955">
      <w:pPr>
        <w:widowControl/>
        <w:shd w:val="clear"/>
        <w:ind w:firstLine="161" w:firstLineChars="50"/>
        <w:jc w:val="lef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 </w:t>
      </w:r>
    </w:p>
    <w:p w14:paraId="5B4968C5">
      <w:pPr>
        <w:shd w:val="clear"/>
        <w:rPr>
          <w:rFonts w:hint="eastAsia" w:ascii="仿宋" w:hAnsi="仿宋" w:eastAsia="仿宋" w:cs="仿宋"/>
          <w:color w:val="auto"/>
          <w:highlight w:val="none"/>
        </w:rPr>
      </w:pPr>
      <w:r>
        <w:rPr>
          <w:rFonts w:hint="eastAsia" w:ascii="仿宋" w:hAnsi="仿宋" w:eastAsia="仿宋" w:cs="仿宋"/>
          <w:b/>
          <w:bCs/>
          <w:color w:val="auto"/>
          <w:sz w:val="32"/>
          <w:szCs w:val="32"/>
          <w:highlight w:val="none"/>
          <w:lang w:val="zh-CN"/>
        </w:rPr>
        <w:br w:type="page"/>
      </w:r>
    </w:p>
    <w:p w14:paraId="05D270BC">
      <w:pPr>
        <w:pStyle w:val="4"/>
        <w:shd w:val="clear"/>
        <w:jc w:val="center"/>
        <w:rPr>
          <w:rFonts w:hint="eastAsia" w:ascii="仿宋" w:hAnsi="仿宋" w:eastAsia="仿宋" w:cs="仿宋"/>
          <w:b/>
          <w:bCs/>
          <w:color w:val="auto"/>
          <w:highlight w:val="none"/>
        </w:rPr>
      </w:pPr>
      <w:bookmarkStart w:id="491" w:name="_Toc31786"/>
      <w:bookmarkStart w:id="492" w:name="_Toc8694"/>
      <w:bookmarkStart w:id="493" w:name="_Toc13511"/>
      <w:r>
        <w:rPr>
          <w:rFonts w:hint="eastAsia" w:ascii="仿宋" w:hAnsi="仿宋" w:eastAsia="仿宋" w:cs="仿宋"/>
          <w:b/>
          <w:bCs/>
          <w:color w:val="auto"/>
          <w:highlight w:val="none"/>
        </w:rPr>
        <w:t>第</w:t>
      </w:r>
      <w:r>
        <w:rPr>
          <w:rFonts w:hint="eastAsia" w:ascii="仿宋" w:hAnsi="仿宋" w:eastAsia="仿宋" w:cs="仿宋"/>
          <w:b/>
          <w:bCs/>
          <w:color w:val="auto"/>
          <w:highlight w:val="none"/>
          <w:lang w:val="en-US" w:eastAsia="zh-CN"/>
        </w:rPr>
        <w:t>三</w:t>
      </w:r>
      <w:r>
        <w:rPr>
          <w:rFonts w:hint="eastAsia" w:ascii="仿宋" w:hAnsi="仿宋" w:eastAsia="仿宋" w:cs="仿宋"/>
          <w:b/>
          <w:bCs/>
          <w:color w:val="auto"/>
          <w:highlight w:val="none"/>
        </w:rPr>
        <w:t>部分  资格证明文件</w:t>
      </w:r>
      <w:bookmarkEnd w:id="491"/>
      <w:bookmarkEnd w:id="492"/>
      <w:bookmarkEnd w:id="493"/>
    </w:p>
    <w:p w14:paraId="0855CDEB">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供应商的企业法人营业执照副本复印件（格式要求见附件6-1）；</w:t>
      </w:r>
    </w:p>
    <w:p w14:paraId="5C8AEFD3">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 供应商提供202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年度经审计的财务报告复印件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须包括报告正文、资产负债表、现金流量表、利润表、附注和会计师事务所营业执照，报告正文应当有会计师事务所公章和2名注册会计师的签字及盖章。且审计报告应当经过注册会计师行业统一监管平台备案赋码。），或本年度基本</w:t>
      </w:r>
      <w:r>
        <w:rPr>
          <w:rFonts w:hint="eastAsia" w:ascii="仿宋" w:hAnsi="仿宋" w:eastAsia="仿宋" w:cs="仿宋"/>
          <w:color w:val="auto"/>
          <w:sz w:val="24"/>
          <w:highlight w:val="none"/>
          <w:lang w:val="en-US" w:eastAsia="zh-CN"/>
        </w:rPr>
        <w:t>账户</w:t>
      </w:r>
      <w:r>
        <w:rPr>
          <w:rFonts w:hint="eastAsia" w:ascii="仿宋" w:hAnsi="仿宋" w:eastAsia="仿宋" w:cs="仿宋"/>
          <w:color w:val="auto"/>
          <w:sz w:val="24"/>
          <w:highlight w:val="none"/>
        </w:rPr>
        <w:t>开户银行出具的资信证明</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后附开户许可证或基本户信息</w:t>
      </w:r>
      <w:r>
        <w:rPr>
          <w:rFonts w:hint="eastAsia" w:ascii="仿宋" w:hAnsi="仿宋" w:eastAsia="仿宋" w:cs="仿宋"/>
          <w:b/>
          <w:bCs/>
          <w:color w:val="auto"/>
          <w:sz w:val="24"/>
          <w:highlight w:val="none"/>
          <w:lang w:eastAsia="zh-CN"/>
        </w:rPr>
        <w:t>）</w:t>
      </w:r>
      <w:r>
        <w:rPr>
          <w:rFonts w:hint="eastAsia" w:ascii="仿宋" w:hAnsi="仿宋" w:eastAsia="仿宋" w:cs="仿宋"/>
          <w:color w:val="auto"/>
          <w:sz w:val="24"/>
          <w:highlight w:val="none"/>
        </w:rPr>
        <w:t>（格式要求见附件6-2）；</w:t>
      </w:r>
    </w:p>
    <w:p w14:paraId="1FC802BC">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 依法缴纳税收和社会保障资金的证明材料复印件（格式见附件6-3、6-4）；</w:t>
      </w:r>
    </w:p>
    <w:p w14:paraId="56FA064F">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 具备履行合同所必需的设备和专业技术能力的承诺原件（格式见附件6-5）；</w:t>
      </w:r>
    </w:p>
    <w:p w14:paraId="4CE46742">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 供应商参加政府采购活动前3年内在经营活动中没有重大违法记录的书面声明原件（格式见附件6-6）；</w:t>
      </w:r>
    </w:p>
    <w:p w14:paraId="324240A3">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 供应商控股股东名称、控股公司的名称和存在管理、被管理关系的单位名称说明（格式见附件6-7）；</w:t>
      </w:r>
    </w:p>
    <w:p w14:paraId="51ABB512">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 供应商是否属于为本项目提供整体设计、规范编制或者项目管理、监理、检测等服务的供应商声明原件（格式见附件6-8）；</w:t>
      </w:r>
    </w:p>
    <w:p w14:paraId="76C681AD">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8. 证明供应商符合特定资格条件的证明材料；</w:t>
      </w:r>
    </w:p>
    <w:p w14:paraId="205DFA37">
      <w:pPr>
        <w:shd w:val="clear"/>
        <w:snapToGrid w:val="0"/>
        <w:spacing w:line="360" w:lineRule="auto"/>
        <w:ind w:firstLine="480" w:firstLineChars="200"/>
        <w:rPr>
          <w:rFonts w:hint="eastAsia" w:ascii="仿宋" w:hAnsi="仿宋" w:eastAsia="仿宋" w:cs="仿宋"/>
          <w:color w:val="auto"/>
          <w:sz w:val="24"/>
          <w:highlight w:val="none"/>
          <w:lang w:val="en-US" w:eastAsia="zh-CN"/>
        </w:rPr>
      </w:pPr>
    </w:p>
    <w:p w14:paraId="14F85813">
      <w:pPr>
        <w:pStyle w:val="29"/>
        <w:shd w:val="clear"/>
        <w:tabs>
          <w:tab w:val="left" w:pos="5580"/>
        </w:tabs>
        <w:spacing w:line="360" w:lineRule="auto"/>
        <w:ind w:left="1080"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要求：1</w:t>
      </w:r>
      <w:r>
        <w:rPr>
          <w:rFonts w:hint="eastAsia" w:ascii="仿宋" w:hAnsi="仿宋" w:eastAsia="仿宋" w:cs="仿宋"/>
          <w:b/>
          <w:color w:val="auto"/>
          <w:sz w:val="24"/>
          <w:highlight w:val="none"/>
          <w:lang w:val="en-US" w:eastAsia="zh-CN"/>
        </w:rPr>
        <w:t>. 以上提供的扫描件、复印件必须加盖供应商公章。</w:t>
      </w:r>
    </w:p>
    <w:p w14:paraId="720EB3E7">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p w14:paraId="50CA9E2C">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4AE61C7B">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7B73D9B4">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6AA07D99">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4B0FCA84">
      <w:pPr>
        <w:pStyle w:val="29"/>
        <w:shd w:val="clear"/>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22A25F35">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p>
    <w:p w14:paraId="240BAEC3">
      <w:pPr>
        <w:shd w:val="clear"/>
        <w:tabs>
          <w:tab w:val="left" w:pos="993"/>
          <w:tab w:val="left" w:pos="1030"/>
          <w:tab w:val="left" w:pos="8364"/>
        </w:tabs>
        <w:snapToGrid w:val="0"/>
        <w:spacing w:after="120" w:afterLines="50" w:line="360" w:lineRule="auto"/>
        <w:ind w:left="420" w:right="-57" w:rightChars="-27"/>
        <w:jc w:val="left"/>
        <w:rPr>
          <w:rFonts w:hint="eastAsia" w:ascii="仿宋" w:hAnsi="仿宋" w:eastAsia="仿宋" w:cs="仿宋"/>
          <w:color w:val="auto"/>
          <w:sz w:val="24"/>
          <w:highlight w:val="none"/>
        </w:rPr>
      </w:pPr>
    </w:p>
    <w:p w14:paraId="4C3ED56D">
      <w:pPr>
        <w:shd w:val="clear"/>
        <w:adjustRightInd w:val="0"/>
        <w:spacing w:line="360" w:lineRule="auto"/>
        <w:ind w:firstLine="480" w:firstLineChars="200"/>
        <w:jc w:val="left"/>
        <w:textAlignment w:val="baseline"/>
        <w:rPr>
          <w:rFonts w:hint="eastAsia" w:ascii="仿宋" w:hAnsi="仿宋" w:eastAsia="仿宋" w:cs="仿宋"/>
          <w:color w:val="auto"/>
          <w:sz w:val="24"/>
          <w:highlight w:val="none"/>
        </w:rPr>
      </w:pPr>
    </w:p>
    <w:p w14:paraId="4DF85C3F">
      <w:pPr>
        <w:shd w:val="clear"/>
        <w:jc w:val="left"/>
        <w:outlineLvl w:val="2"/>
        <w:rPr>
          <w:rFonts w:hint="eastAsia" w:ascii="仿宋" w:hAnsi="仿宋" w:eastAsia="仿宋" w:cs="仿宋"/>
          <w:b/>
          <w:color w:val="auto"/>
          <w:sz w:val="24"/>
          <w:highlight w:val="none"/>
        </w:rPr>
      </w:pPr>
      <w:bookmarkStart w:id="494" w:name="_Toc7005120"/>
      <w:r>
        <w:rPr>
          <w:rFonts w:hint="eastAsia" w:ascii="仿宋" w:hAnsi="仿宋" w:eastAsia="仿宋" w:cs="仿宋"/>
          <w:b/>
          <w:color w:val="auto"/>
          <w:sz w:val="24"/>
          <w:highlight w:val="none"/>
        </w:rPr>
        <w:t>6-1  供应商的企业法人营业执照副本复印件（加盖公章）</w:t>
      </w:r>
      <w:bookmarkEnd w:id="494"/>
    </w:p>
    <w:p w14:paraId="57A96169">
      <w:pPr>
        <w:shd w:val="clear"/>
        <w:jc w:val="left"/>
        <w:rPr>
          <w:rFonts w:hint="eastAsia" w:ascii="仿宋" w:hAnsi="仿宋" w:eastAsia="仿宋" w:cs="仿宋"/>
          <w:color w:val="auto"/>
          <w:sz w:val="24"/>
          <w:highlight w:val="none"/>
        </w:rPr>
      </w:pPr>
    </w:p>
    <w:p w14:paraId="09A6B282">
      <w:pPr>
        <w:shd w:val="clear"/>
        <w:tabs>
          <w:tab w:val="left" w:pos="993"/>
          <w:tab w:val="left" w:pos="1030"/>
          <w:tab w:val="left" w:pos="8364"/>
        </w:tabs>
        <w:snapToGrid w:val="0"/>
        <w:spacing w:after="120" w:afterLines="50"/>
        <w:ind w:right="-57"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（注：根据项目实际情况，本项内容可能要求提供“事业单位法人证书”、执业许可证、自然人身份证明等证明材料）</w:t>
      </w:r>
    </w:p>
    <w:p w14:paraId="3173F682">
      <w:pPr>
        <w:shd w:val="clear"/>
        <w:adjustRightInd w:val="0"/>
        <w:spacing w:line="360" w:lineRule="atLeast"/>
        <w:jc w:val="left"/>
        <w:textAlignment w:val="baseline"/>
        <w:rPr>
          <w:rFonts w:hint="eastAsia" w:ascii="仿宋" w:hAnsi="仿宋" w:eastAsia="仿宋" w:cs="仿宋"/>
          <w:b/>
          <w:color w:val="auto"/>
          <w:sz w:val="28"/>
          <w:highlight w:val="none"/>
        </w:rPr>
      </w:pPr>
    </w:p>
    <w:p w14:paraId="7C8DAA76">
      <w:pPr>
        <w:shd w:val="clear"/>
        <w:adjustRightInd w:val="0"/>
        <w:spacing w:line="360" w:lineRule="atLeast"/>
        <w:jc w:val="left"/>
        <w:textAlignment w:val="baseline"/>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39CCECB4">
      <w:pPr>
        <w:shd w:val="clear"/>
        <w:jc w:val="left"/>
        <w:outlineLvl w:val="2"/>
        <w:rPr>
          <w:rFonts w:hint="eastAsia" w:ascii="仿宋" w:hAnsi="仿宋" w:eastAsia="仿宋" w:cs="仿宋"/>
          <w:b/>
          <w:color w:val="auto"/>
          <w:sz w:val="24"/>
          <w:highlight w:val="none"/>
          <w:lang w:eastAsia="zh-CN"/>
        </w:rPr>
      </w:pPr>
      <w:bookmarkStart w:id="495" w:name="_Toc7005121"/>
      <w:bookmarkStart w:id="496" w:name="_Ref527015333"/>
      <w:r>
        <w:rPr>
          <w:rFonts w:hint="eastAsia" w:ascii="仿宋" w:hAnsi="仿宋" w:eastAsia="仿宋" w:cs="仿宋"/>
          <w:b/>
          <w:color w:val="auto"/>
          <w:sz w:val="24"/>
          <w:highlight w:val="none"/>
        </w:rPr>
        <w:t>6-2  经审计的财务报</w:t>
      </w:r>
      <w:bookmarkEnd w:id="495"/>
      <w:bookmarkEnd w:id="496"/>
      <w:r>
        <w:rPr>
          <w:rFonts w:hint="eastAsia" w:ascii="仿宋" w:hAnsi="仿宋" w:eastAsia="仿宋" w:cs="仿宋"/>
          <w:b/>
          <w:color w:val="auto"/>
          <w:sz w:val="24"/>
          <w:highlight w:val="none"/>
          <w:lang w:val="en-US" w:eastAsia="zh-CN"/>
        </w:rPr>
        <w:t>告</w:t>
      </w:r>
    </w:p>
    <w:p w14:paraId="621B51B7">
      <w:pPr>
        <w:shd w:val="clear"/>
        <w:spacing w:line="360" w:lineRule="auto"/>
        <w:rPr>
          <w:rFonts w:hint="eastAsia" w:ascii="仿宋" w:hAnsi="仿宋" w:eastAsia="仿宋" w:cs="仿宋"/>
          <w:color w:val="auto"/>
          <w:szCs w:val="21"/>
          <w:highlight w:val="none"/>
        </w:rPr>
      </w:pPr>
    </w:p>
    <w:p w14:paraId="720D2B86">
      <w:pPr>
        <w:shd w:val="clear"/>
        <w:tabs>
          <w:tab w:val="left" w:pos="993"/>
          <w:tab w:val="left" w:pos="1030"/>
          <w:tab w:val="left" w:pos="8364"/>
        </w:tabs>
        <w:snapToGrid w:val="0"/>
        <w:spacing w:after="156" w:afterLines="50"/>
        <w:ind w:right="-57" w:rightChars="-27"/>
        <w:rPr>
          <w:rFonts w:eastAsia="仿宋_GB2312"/>
          <w:color w:val="auto"/>
          <w:sz w:val="24"/>
          <w:highlight w:val="none"/>
        </w:rPr>
      </w:pPr>
      <w:r>
        <w:rPr>
          <w:rFonts w:eastAsia="仿宋_GB2312"/>
          <w:color w:val="auto"/>
          <w:sz w:val="24"/>
          <w:highlight w:val="none"/>
        </w:rPr>
        <w:t>提供</w:t>
      </w:r>
      <w:r>
        <w:rPr>
          <w:rFonts w:hint="eastAsia" w:eastAsia="仿宋_GB2312"/>
          <w:color w:val="auto"/>
          <w:sz w:val="24"/>
          <w:highlight w:val="none"/>
          <w:lang w:eastAsia="zh-CN"/>
        </w:rPr>
        <w:t>202</w:t>
      </w:r>
      <w:r>
        <w:rPr>
          <w:rFonts w:hint="eastAsia" w:eastAsia="仿宋_GB2312"/>
          <w:color w:val="auto"/>
          <w:sz w:val="24"/>
          <w:highlight w:val="none"/>
          <w:lang w:val="en-US" w:eastAsia="zh-CN"/>
        </w:rPr>
        <w:t>5</w:t>
      </w:r>
      <w:r>
        <w:rPr>
          <w:rFonts w:hint="eastAsia" w:eastAsia="仿宋_GB2312"/>
          <w:color w:val="auto"/>
          <w:sz w:val="24"/>
          <w:highlight w:val="none"/>
          <w:lang w:eastAsia="zh-CN"/>
        </w:rPr>
        <w:t>年度</w:t>
      </w:r>
      <w:r>
        <w:rPr>
          <w:rFonts w:hint="eastAsia" w:eastAsia="仿宋_GB2312"/>
          <w:color w:val="auto"/>
          <w:sz w:val="24"/>
          <w:highlight w:val="none"/>
        </w:rPr>
        <w:t>经审计的财务报告</w:t>
      </w:r>
      <w:r>
        <w:rPr>
          <w:rFonts w:eastAsia="仿宋_GB2312"/>
          <w:color w:val="auto"/>
          <w:sz w:val="24"/>
          <w:highlight w:val="none"/>
        </w:rPr>
        <w:t>（</w:t>
      </w:r>
      <w:r>
        <w:rPr>
          <w:rFonts w:hint="eastAsia" w:ascii="仿宋_GB2312" w:hAnsi="仿宋_GB2312" w:eastAsia="仿宋_GB2312" w:cs="仿宋_GB2312"/>
          <w:color w:val="auto"/>
          <w:sz w:val="24"/>
          <w:highlight w:val="none"/>
        </w:rPr>
        <w:t>包括</w:t>
      </w:r>
      <w:r>
        <w:rPr>
          <w:rFonts w:hint="eastAsia" w:ascii="仿宋_GB2312" w:hAnsi="仿宋_GB2312" w:eastAsia="仿宋_GB2312" w:cs="仿宋_GB2312"/>
          <w:color w:val="auto"/>
          <w:sz w:val="24"/>
          <w:highlight w:val="none"/>
          <w:lang w:val="en-US" w:eastAsia="zh-CN"/>
        </w:rPr>
        <w:t>报告正文、</w:t>
      </w:r>
      <w:r>
        <w:rPr>
          <w:rFonts w:hint="eastAsia" w:ascii="仿宋_GB2312" w:hAnsi="仿宋_GB2312" w:eastAsia="仿宋_GB2312" w:cs="仿宋_GB2312"/>
          <w:color w:val="auto"/>
          <w:sz w:val="24"/>
          <w:highlight w:val="none"/>
        </w:rPr>
        <w:t>资产负债表、现金流量表、利润表</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附注和会计师事务所营业执照，报告正文应当有会计师事务所公章和2名注册会计师的签字及盖章。且审计报告应当经过注册会计师行业统一监管平台备案赋码。</w:t>
      </w:r>
      <w:r>
        <w:rPr>
          <w:rFonts w:eastAsia="仿宋_GB2312"/>
          <w:color w:val="auto"/>
          <w:sz w:val="24"/>
          <w:highlight w:val="none"/>
        </w:rPr>
        <w:t>）复印件或扫描件</w:t>
      </w:r>
      <w:r>
        <w:rPr>
          <w:rFonts w:hint="eastAsia" w:eastAsia="仿宋_GB2312"/>
          <w:color w:val="auto"/>
          <w:sz w:val="24"/>
          <w:highlight w:val="none"/>
          <w:lang w:eastAsia="zh-CN"/>
        </w:rPr>
        <w:t>，</w:t>
      </w:r>
      <w:r>
        <w:rPr>
          <w:rFonts w:eastAsia="仿宋_GB2312"/>
          <w:color w:val="auto"/>
          <w:sz w:val="24"/>
          <w:highlight w:val="none"/>
        </w:rPr>
        <w:t>所有复印件或扫描件需加盖单位公章。</w:t>
      </w:r>
    </w:p>
    <w:p w14:paraId="60E243C3">
      <w:pPr>
        <w:shd w:val="clear"/>
        <w:spacing w:line="360" w:lineRule="auto"/>
        <w:rPr>
          <w:rFonts w:hint="eastAsia" w:ascii="仿宋" w:hAnsi="仿宋" w:eastAsia="仿宋" w:cs="仿宋"/>
          <w:color w:val="auto"/>
          <w:szCs w:val="21"/>
          <w:highlight w:val="none"/>
        </w:rPr>
      </w:pPr>
    </w:p>
    <w:p w14:paraId="428E6051">
      <w:pPr>
        <w:shd w:val="clear"/>
        <w:tabs>
          <w:tab w:val="left" w:pos="993"/>
          <w:tab w:val="left" w:pos="1030"/>
          <w:tab w:val="left" w:pos="8364"/>
        </w:tabs>
        <w:snapToGrid w:val="0"/>
        <w:spacing w:after="120" w:afterLines="50"/>
        <w:ind w:left="420" w:right="-57" w:rightChars="-27"/>
        <w:jc w:val="left"/>
        <w:rPr>
          <w:rFonts w:hint="eastAsia" w:ascii="仿宋" w:hAnsi="仿宋" w:eastAsia="仿宋" w:cs="仿宋"/>
          <w:b/>
          <w:color w:val="auto"/>
          <w:spacing w:val="20"/>
          <w:sz w:val="24"/>
          <w:highlight w:val="none"/>
        </w:rPr>
      </w:pPr>
    </w:p>
    <w:p w14:paraId="4DC449E6">
      <w:pPr>
        <w:shd w:val="clear"/>
        <w:jc w:val="left"/>
        <w:outlineLvl w:val="2"/>
        <w:rPr>
          <w:rFonts w:hint="eastAsia" w:ascii="仿宋" w:hAnsi="仿宋" w:eastAsia="仿宋" w:cs="仿宋"/>
          <w:b/>
          <w:color w:val="auto"/>
          <w:sz w:val="24"/>
          <w:highlight w:val="none"/>
        </w:rPr>
      </w:pPr>
      <w:bookmarkStart w:id="497" w:name="_Toc7005122"/>
      <w:r>
        <w:rPr>
          <w:rFonts w:hint="eastAsia" w:ascii="仿宋" w:hAnsi="仿宋" w:eastAsia="仿宋" w:cs="仿宋"/>
          <w:b/>
          <w:color w:val="auto"/>
          <w:sz w:val="24"/>
          <w:highlight w:val="none"/>
        </w:rPr>
        <w:t xml:space="preserve">或  6-2 </w:t>
      </w:r>
      <w:bookmarkEnd w:id="497"/>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szCs w:val="32"/>
          <w:highlight w:val="none"/>
        </w:rPr>
        <w:t>递交</w:t>
      </w:r>
      <w:r>
        <w:rPr>
          <w:rFonts w:hint="eastAsia" w:ascii="仿宋" w:hAnsi="仿宋" w:eastAsia="仿宋" w:cs="仿宋"/>
          <w:b/>
          <w:color w:val="auto"/>
          <w:sz w:val="24"/>
          <w:szCs w:val="32"/>
          <w:highlight w:val="none"/>
          <w:lang w:val="en-US" w:eastAsia="zh-CN"/>
        </w:rPr>
        <w:t>响应</w:t>
      </w:r>
      <w:r>
        <w:rPr>
          <w:rFonts w:hint="eastAsia" w:ascii="仿宋" w:hAnsi="仿宋" w:eastAsia="仿宋" w:cs="仿宋"/>
          <w:b/>
          <w:color w:val="auto"/>
          <w:sz w:val="24"/>
          <w:szCs w:val="32"/>
          <w:highlight w:val="none"/>
        </w:rPr>
        <w:t>文件截止时间前三个月内</w:t>
      </w:r>
      <w:r>
        <w:rPr>
          <w:rFonts w:hint="eastAsia" w:ascii="仿宋" w:hAnsi="仿宋" w:eastAsia="仿宋" w:cs="仿宋"/>
          <w:b/>
          <w:color w:val="auto"/>
          <w:sz w:val="24"/>
          <w:szCs w:val="32"/>
          <w:highlight w:val="none"/>
          <w:lang w:val="en-US" w:eastAsia="zh-CN"/>
        </w:rPr>
        <w:t>供应商基本账户</w:t>
      </w:r>
      <w:r>
        <w:rPr>
          <w:rFonts w:hint="eastAsia" w:ascii="仿宋" w:hAnsi="仿宋" w:eastAsia="仿宋" w:cs="仿宋"/>
          <w:b/>
          <w:color w:val="auto"/>
          <w:sz w:val="24"/>
          <w:szCs w:val="32"/>
          <w:highlight w:val="none"/>
        </w:rPr>
        <w:t>开户银行出具的资信证明</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后附开户许可证或基本户信息</w:t>
      </w:r>
      <w:r>
        <w:rPr>
          <w:rFonts w:hint="eastAsia" w:ascii="仿宋" w:hAnsi="仿宋" w:eastAsia="仿宋" w:cs="仿宋"/>
          <w:b/>
          <w:bCs/>
          <w:color w:val="auto"/>
          <w:sz w:val="24"/>
          <w:highlight w:val="none"/>
          <w:lang w:eastAsia="zh-CN"/>
        </w:rPr>
        <w:t>）</w:t>
      </w:r>
    </w:p>
    <w:p w14:paraId="5E9412E8">
      <w:pPr>
        <w:shd w:val="clear"/>
        <w:spacing w:line="360" w:lineRule="auto"/>
        <w:rPr>
          <w:rFonts w:hint="eastAsia" w:ascii="仿宋" w:hAnsi="仿宋" w:eastAsia="仿宋" w:cs="仿宋"/>
          <w:color w:val="auto"/>
          <w:szCs w:val="21"/>
          <w:highlight w:val="none"/>
        </w:rPr>
      </w:pPr>
    </w:p>
    <w:p w14:paraId="3C5CA467">
      <w:pPr>
        <w:widowControl/>
        <w:shd w:val="clear"/>
        <w:jc w:val="left"/>
        <w:rPr>
          <w:rFonts w:hint="eastAsia" w:ascii="仿宋" w:hAnsi="仿宋" w:eastAsia="仿宋" w:cs="仿宋"/>
          <w:b/>
          <w:color w:val="auto"/>
          <w:spacing w:val="20"/>
          <w:sz w:val="24"/>
          <w:highlight w:val="none"/>
        </w:rPr>
      </w:pPr>
    </w:p>
    <w:p w14:paraId="3F9041FE">
      <w:pPr>
        <w:shd w:val="clear"/>
        <w:tabs>
          <w:tab w:val="left" w:pos="5580"/>
        </w:tabs>
        <w:spacing w:before="120" w:line="360" w:lineRule="auto"/>
        <w:ind w:firstLine="480" w:firstLineChars="200"/>
        <w:rPr>
          <w:rFonts w:hint="eastAsia" w:ascii="仿宋" w:hAnsi="仿宋" w:eastAsia="仿宋" w:cs="仿宋"/>
          <w:color w:val="auto"/>
          <w:sz w:val="24"/>
          <w:highlight w:val="none"/>
        </w:rPr>
      </w:pPr>
    </w:p>
    <w:p w14:paraId="7870DAE5">
      <w:pPr>
        <w:shd w:val="clear"/>
        <w:jc w:val="left"/>
        <w:outlineLvl w:val="2"/>
        <w:rPr>
          <w:rFonts w:hint="eastAsia" w:ascii="仿宋" w:hAnsi="仿宋" w:eastAsia="仿宋" w:cs="仿宋"/>
          <w:b/>
          <w:color w:val="auto"/>
          <w:sz w:val="24"/>
          <w:highlight w:val="none"/>
        </w:rPr>
      </w:pPr>
      <w:bookmarkStart w:id="498" w:name="_Toc7005123"/>
      <w:r>
        <w:rPr>
          <w:rFonts w:hint="eastAsia" w:ascii="仿宋" w:hAnsi="仿宋" w:eastAsia="仿宋" w:cs="仿宋"/>
          <w:b/>
          <w:color w:val="auto"/>
          <w:sz w:val="24"/>
          <w:highlight w:val="none"/>
        </w:rPr>
        <w:t>6-3  依法缴纳税收的证明</w:t>
      </w:r>
      <w:bookmarkEnd w:id="498"/>
    </w:p>
    <w:p w14:paraId="32227415">
      <w:pPr>
        <w:shd w:val="clear"/>
        <w:tabs>
          <w:tab w:val="left" w:pos="993"/>
          <w:tab w:val="left" w:pos="1030"/>
          <w:tab w:val="left" w:pos="8364"/>
        </w:tabs>
        <w:snapToGrid w:val="0"/>
        <w:spacing w:after="120" w:afterLines="50"/>
        <w:ind w:left="420" w:right="-57" w:rightChars="-27" w:firstLine="480" w:firstLineChars="200"/>
        <w:jc w:val="left"/>
        <w:rPr>
          <w:rFonts w:hint="eastAsia" w:ascii="仿宋" w:hAnsi="仿宋" w:eastAsia="仿宋" w:cs="仿宋"/>
          <w:color w:val="auto"/>
          <w:sz w:val="24"/>
          <w:highlight w:val="none"/>
        </w:rPr>
      </w:pPr>
    </w:p>
    <w:p w14:paraId="308743A7">
      <w:pPr>
        <w:shd w:val="clear"/>
        <w:tabs>
          <w:tab w:val="left" w:pos="993"/>
          <w:tab w:val="left" w:pos="1030"/>
          <w:tab w:val="left" w:pos="8364"/>
        </w:tabs>
        <w:snapToGrid w:val="0"/>
        <w:spacing w:after="120" w:afterLines="50"/>
        <w:ind w:right="-57"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5104B7C5">
      <w:pPr>
        <w:shd w:val="clear"/>
        <w:tabs>
          <w:tab w:val="left" w:pos="993"/>
          <w:tab w:val="left" w:pos="1030"/>
          <w:tab w:val="left" w:pos="8364"/>
        </w:tabs>
        <w:snapToGrid w:val="0"/>
        <w:spacing w:after="120" w:afterLines="50"/>
        <w:ind w:left="479" w:leftChars="228"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供应商应提供自磋商响应文件递交截止时间前近六个月中任何一个月</w:t>
      </w:r>
      <w:r>
        <w:rPr>
          <w:rFonts w:hint="eastAsia" w:ascii="仿宋" w:hAnsi="仿宋" w:eastAsia="仿宋" w:cs="仿宋"/>
          <w:color w:val="auto"/>
          <w:sz w:val="24"/>
          <w:highlight w:val="none"/>
          <w:lang w:val="en-US" w:eastAsia="zh-CN"/>
        </w:rPr>
        <w:t>的</w:t>
      </w:r>
      <w:r>
        <w:rPr>
          <w:rFonts w:hint="eastAsia" w:ascii="仿宋_GB2312" w:hAnsi="仿宋_GB2312" w:eastAsia="仿宋_GB2312" w:cs="仿宋_GB2312"/>
          <w:color w:val="auto"/>
          <w:spacing w:val="-2"/>
          <w:sz w:val="24"/>
          <w:szCs w:val="24"/>
          <w:highlight w:val="none"/>
        </w:rPr>
        <w:t>缴税凭证</w:t>
      </w:r>
      <w:r>
        <w:rPr>
          <w:rFonts w:hint="eastAsia" w:ascii="仿宋" w:hAnsi="仿宋" w:eastAsia="仿宋" w:cs="仿宋"/>
          <w:color w:val="auto"/>
          <w:sz w:val="24"/>
          <w:highlight w:val="none"/>
        </w:rPr>
        <w:t>，时间以税款所属时期为准（银行出具的缴税凭证或税务机关出具的证明的复印件，并加盖本单位公章）。</w:t>
      </w:r>
    </w:p>
    <w:p w14:paraId="0F85DFAD">
      <w:pPr>
        <w:shd w:val="clear"/>
        <w:tabs>
          <w:tab w:val="left" w:pos="993"/>
          <w:tab w:val="left" w:pos="1030"/>
          <w:tab w:val="left" w:pos="8364"/>
        </w:tabs>
        <w:snapToGrid w:val="0"/>
        <w:spacing w:after="120" w:afterLines="50"/>
        <w:ind w:right="-57"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 依法免税或无须缴纳税收的</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，应提供相应证明</w:t>
      </w:r>
      <w:r>
        <w:rPr>
          <w:rFonts w:hint="eastAsia" w:ascii="仿宋" w:hAnsi="仿宋" w:eastAsia="仿宋" w:cs="仿宋"/>
          <w:color w:val="auto"/>
          <w:sz w:val="24"/>
          <w:highlight w:val="none"/>
          <w:lang w:val="en-US" w:eastAsia="zh-CN"/>
        </w:rPr>
        <w:t>文件</w:t>
      </w:r>
      <w:r>
        <w:rPr>
          <w:rFonts w:hint="eastAsia" w:ascii="仿宋" w:hAnsi="仿宋" w:eastAsia="仿宋" w:cs="仿宋"/>
          <w:color w:val="auto"/>
          <w:sz w:val="24"/>
          <w:highlight w:val="none"/>
        </w:rPr>
        <w:t>。</w:t>
      </w:r>
    </w:p>
    <w:p w14:paraId="78940E22">
      <w:pPr>
        <w:shd w:val="clear"/>
        <w:tabs>
          <w:tab w:val="left" w:pos="993"/>
          <w:tab w:val="left" w:pos="1030"/>
          <w:tab w:val="left" w:pos="8364"/>
        </w:tabs>
        <w:snapToGrid w:val="0"/>
        <w:spacing w:after="120" w:afterLines="50"/>
        <w:ind w:right="-57" w:rightChars="-27"/>
        <w:jc w:val="left"/>
        <w:rPr>
          <w:rFonts w:hint="eastAsia" w:ascii="仿宋" w:hAnsi="仿宋" w:eastAsia="仿宋" w:cs="仿宋"/>
          <w:color w:val="auto"/>
          <w:sz w:val="24"/>
          <w:highlight w:val="none"/>
        </w:rPr>
      </w:pPr>
    </w:p>
    <w:p w14:paraId="23541CF5">
      <w:pPr>
        <w:shd w:val="clear"/>
        <w:jc w:val="left"/>
        <w:outlineLvl w:val="2"/>
        <w:rPr>
          <w:rFonts w:hint="eastAsia" w:ascii="仿宋" w:hAnsi="仿宋" w:eastAsia="仿宋" w:cs="仿宋"/>
          <w:b/>
          <w:color w:val="auto"/>
          <w:sz w:val="24"/>
          <w:highlight w:val="none"/>
        </w:rPr>
      </w:pPr>
      <w:bookmarkStart w:id="499" w:name="_Toc7005124"/>
      <w:r>
        <w:rPr>
          <w:rFonts w:hint="eastAsia" w:ascii="仿宋" w:hAnsi="仿宋" w:eastAsia="仿宋" w:cs="仿宋"/>
          <w:b/>
          <w:color w:val="auto"/>
          <w:sz w:val="24"/>
          <w:highlight w:val="none"/>
        </w:rPr>
        <w:t>6-4  社会保障资金缴纳记录</w:t>
      </w:r>
      <w:bookmarkEnd w:id="499"/>
    </w:p>
    <w:p w14:paraId="6CB37CC1">
      <w:pPr>
        <w:shd w:val="clear"/>
        <w:tabs>
          <w:tab w:val="left" w:pos="993"/>
          <w:tab w:val="left" w:pos="1030"/>
          <w:tab w:val="left" w:pos="8364"/>
        </w:tabs>
        <w:snapToGrid w:val="0"/>
        <w:spacing w:after="120" w:afterLines="50"/>
        <w:ind w:left="420" w:leftChars="20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cr/>
      </w:r>
    </w:p>
    <w:p w14:paraId="121189C6">
      <w:pPr>
        <w:shd w:val="clear"/>
        <w:tabs>
          <w:tab w:val="left" w:pos="993"/>
          <w:tab w:val="left" w:pos="1030"/>
          <w:tab w:val="left" w:pos="8364"/>
        </w:tabs>
        <w:snapToGrid w:val="0"/>
        <w:spacing w:after="120" w:afterLines="50"/>
        <w:ind w:left="420" w:leftChars="20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3AC3276E">
      <w:pPr>
        <w:shd w:val="clear"/>
        <w:tabs>
          <w:tab w:val="left" w:pos="993"/>
          <w:tab w:val="left" w:pos="1030"/>
          <w:tab w:val="left" w:pos="8364"/>
        </w:tabs>
        <w:snapToGrid w:val="0"/>
        <w:spacing w:after="120" w:afterLines="50"/>
        <w:ind w:left="460" w:leftChars="219" w:right="-57" w:rightChars="-27" w:firstLine="19" w:firstLineChars="8"/>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供应商应提供自磋商响应文件递交截止时间前近六个月中至少一个月的社会缴纳社会保险的凭据（专用收据或社会保险缴纳清单），并加盖本单位公章。</w:t>
      </w:r>
    </w:p>
    <w:p w14:paraId="14C1226D">
      <w:pPr>
        <w:shd w:val="clear"/>
        <w:tabs>
          <w:tab w:val="left" w:pos="993"/>
          <w:tab w:val="left" w:pos="1030"/>
          <w:tab w:val="left" w:pos="8364"/>
        </w:tabs>
        <w:snapToGrid w:val="0"/>
        <w:spacing w:after="120" w:afterLines="50"/>
        <w:ind w:left="479" w:leftChars="228"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 不需要缴纳社会保障资金的供应商，应提供相应文件证明其不需要缴纳社会保障资金。</w:t>
      </w:r>
    </w:p>
    <w:p w14:paraId="213EF9AB">
      <w:pPr>
        <w:shd w:val="clear"/>
        <w:rPr>
          <w:rFonts w:hint="eastAsia" w:ascii="仿宋" w:hAnsi="仿宋" w:eastAsia="仿宋" w:cs="仿宋"/>
          <w:b/>
          <w:bCs/>
          <w:color w:val="auto"/>
          <w:sz w:val="24"/>
          <w:highlight w:val="none"/>
        </w:rPr>
      </w:pPr>
      <w:bookmarkStart w:id="500" w:name="_Toc7005125"/>
    </w:p>
    <w:p w14:paraId="76D57517">
      <w:pPr>
        <w:pStyle w:val="2"/>
        <w:shd w:val="clear"/>
        <w:rPr>
          <w:rFonts w:hint="eastAsia" w:ascii="仿宋" w:hAnsi="仿宋" w:eastAsia="仿宋" w:cs="仿宋"/>
          <w:color w:val="auto"/>
          <w:highlight w:val="none"/>
        </w:rPr>
      </w:pPr>
    </w:p>
    <w:p w14:paraId="1F7D4994">
      <w:pPr>
        <w:shd w:val="clear"/>
        <w:jc w:val="left"/>
        <w:outlineLvl w:val="9"/>
        <w:rPr>
          <w:rFonts w:hint="eastAsia" w:ascii="仿宋" w:hAnsi="仿宋" w:eastAsia="仿宋" w:cs="仿宋"/>
          <w:b/>
          <w:bCs/>
          <w:color w:val="auto"/>
          <w:sz w:val="24"/>
          <w:highlight w:val="none"/>
        </w:rPr>
      </w:pPr>
    </w:p>
    <w:p w14:paraId="2909913F">
      <w:pPr>
        <w:shd w:val="clear"/>
        <w:jc w:val="left"/>
        <w:outlineLvl w:val="2"/>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6-5  </w:t>
      </w:r>
      <w:r>
        <w:rPr>
          <w:rFonts w:hint="eastAsia" w:ascii="仿宋" w:hAnsi="仿宋" w:eastAsia="仿宋" w:cs="仿宋"/>
          <w:b/>
          <w:color w:val="auto"/>
          <w:sz w:val="24"/>
          <w:highlight w:val="none"/>
        </w:rPr>
        <w:t>具备履行合同所必需的设备和专业技术能力承诺书</w:t>
      </w:r>
      <w:bookmarkEnd w:id="500"/>
      <w:r>
        <w:rPr>
          <w:rFonts w:hint="eastAsia" w:ascii="仿宋" w:hAnsi="仿宋" w:eastAsia="仿宋" w:cs="仿宋"/>
          <w:b/>
          <w:color w:val="auto"/>
          <w:sz w:val="24"/>
          <w:highlight w:val="none"/>
        </w:rPr>
        <w:t xml:space="preserve">                                                                                                                                                                                                                                                                                                                                                                                                                                                                                                                                                                                                                                                                                                      </w:t>
      </w:r>
    </w:p>
    <w:p w14:paraId="28B58EA5">
      <w:pPr>
        <w:shd w:val="clear"/>
        <w:ind w:firstLine="480"/>
        <w:rPr>
          <w:rFonts w:hint="eastAsia" w:ascii="仿宋" w:hAnsi="仿宋" w:eastAsia="仿宋" w:cs="仿宋"/>
          <w:color w:val="auto"/>
          <w:kern w:val="0"/>
          <w:sz w:val="24"/>
          <w:highlight w:val="none"/>
        </w:rPr>
      </w:pPr>
    </w:p>
    <w:p w14:paraId="00D8C270">
      <w:pPr>
        <w:shd w:val="clear"/>
        <w:ind w:firstLine="480"/>
        <w:rPr>
          <w:rFonts w:hint="eastAsia" w:ascii="仿宋" w:hAnsi="仿宋" w:eastAsia="仿宋" w:cs="仿宋"/>
          <w:color w:val="auto"/>
          <w:kern w:val="0"/>
          <w:sz w:val="24"/>
          <w:highlight w:val="none"/>
        </w:rPr>
      </w:pPr>
    </w:p>
    <w:p w14:paraId="1A2A9817">
      <w:pPr>
        <w:shd w:val="clear"/>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 xml:space="preserve">陕西省采购招标有限责任公司：  </w:t>
      </w:r>
      <w:r>
        <w:rPr>
          <w:rFonts w:hint="eastAsia" w:ascii="仿宋" w:hAnsi="仿宋" w:eastAsia="仿宋" w:cs="仿宋"/>
          <w:color w:val="auto"/>
          <w:kern w:val="0"/>
          <w:sz w:val="24"/>
          <w:highlight w:val="none"/>
          <w:u w:val="single"/>
        </w:rPr>
        <w:t xml:space="preserve"> </w:t>
      </w:r>
    </w:p>
    <w:p w14:paraId="585666E5">
      <w:pPr>
        <w:shd w:val="clear"/>
        <w:ind w:firstLine="480"/>
        <w:rPr>
          <w:rFonts w:hint="eastAsia" w:ascii="仿宋" w:hAnsi="仿宋" w:eastAsia="仿宋" w:cs="仿宋"/>
          <w:color w:val="auto"/>
          <w:kern w:val="0"/>
          <w:sz w:val="24"/>
          <w:highlight w:val="none"/>
        </w:rPr>
      </w:pPr>
    </w:p>
    <w:p w14:paraId="6511CB8E">
      <w:pPr>
        <w:shd w:val="clear"/>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我公司承诺</w:t>
      </w:r>
      <w:r>
        <w:rPr>
          <w:rFonts w:hint="eastAsia" w:ascii="仿宋" w:hAnsi="仿宋" w:eastAsia="仿宋" w:cs="仿宋"/>
          <w:color w:val="auto"/>
          <w:sz w:val="24"/>
          <w:highlight w:val="none"/>
        </w:rPr>
        <w:t>具备履行合同所必需的设备和专业技术能力</w:t>
      </w:r>
      <w:r>
        <w:rPr>
          <w:rFonts w:hint="eastAsia" w:ascii="仿宋" w:hAnsi="仿宋" w:eastAsia="仿宋" w:cs="仿宋"/>
          <w:color w:val="auto"/>
          <w:kern w:val="0"/>
          <w:sz w:val="24"/>
          <w:highlight w:val="none"/>
        </w:rPr>
        <w:t>。</w:t>
      </w:r>
    </w:p>
    <w:p w14:paraId="2F073F3F">
      <w:pPr>
        <w:shd w:val="clear"/>
        <w:ind w:firstLine="480"/>
        <w:rPr>
          <w:rFonts w:hint="eastAsia" w:ascii="仿宋" w:hAnsi="仿宋" w:eastAsia="仿宋" w:cs="仿宋"/>
          <w:b/>
          <w:color w:val="auto"/>
          <w:sz w:val="24"/>
          <w:highlight w:val="none"/>
        </w:rPr>
      </w:pPr>
    </w:p>
    <w:p w14:paraId="0FD6C58F">
      <w:pPr>
        <w:shd w:val="clear"/>
        <w:ind w:firstLine="480"/>
        <w:rPr>
          <w:rFonts w:hint="eastAsia" w:ascii="仿宋" w:hAnsi="仿宋" w:eastAsia="仿宋" w:cs="仿宋"/>
          <w:b/>
          <w:color w:val="auto"/>
          <w:sz w:val="24"/>
          <w:highlight w:val="none"/>
        </w:rPr>
      </w:pPr>
    </w:p>
    <w:p w14:paraId="3F50457E">
      <w:pPr>
        <w:shd w:val="clear"/>
        <w:ind w:firstLine="480"/>
        <w:rPr>
          <w:rFonts w:hint="eastAsia" w:ascii="仿宋" w:hAnsi="仿宋" w:eastAsia="仿宋" w:cs="仿宋"/>
          <w:b/>
          <w:color w:val="auto"/>
          <w:sz w:val="24"/>
          <w:highlight w:val="none"/>
        </w:rPr>
      </w:pPr>
    </w:p>
    <w:p w14:paraId="23E7C590">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供应商（盖公章）： </w:t>
      </w:r>
      <w:r>
        <w:rPr>
          <w:rFonts w:hint="eastAsia" w:ascii="仿宋" w:hAnsi="仿宋" w:eastAsia="仿宋" w:cs="仿宋"/>
          <w:color w:val="auto"/>
          <w:sz w:val="24"/>
          <w:highlight w:val="none"/>
          <w:u w:val="single"/>
        </w:rPr>
        <w:t xml:space="preserve">              </w:t>
      </w:r>
    </w:p>
    <w:p w14:paraId="36E815A7">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或其</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6DC92879">
      <w:pPr>
        <w:shd w:val="clea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28C880E">
      <w:pPr>
        <w:shd w:val="clear"/>
        <w:ind w:right="280"/>
        <w:rPr>
          <w:rFonts w:hint="eastAsia" w:ascii="仿宋" w:hAnsi="仿宋" w:eastAsia="仿宋" w:cs="仿宋"/>
          <w:color w:val="auto"/>
          <w:sz w:val="24"/>
          <w:highlight w:val="none"/>
        </w:rPr>
      </w:pPr>
    </w:p>
    <w:p w14:paraId="3A10C289">
      <w:pPr>
        <w:shd w:val="clear"/>
        <w:tabs>
          <w:tab w:val="left" w:pos="5580"/>
        </w:tabs>
        <w:spacing w:before="120" w:line="360" w:lineRule="auto"/>
        <w:ind w:firstLine="480" w:firstLineChars="200"/>
        <w:rPr>
          <w:rFonts w:hint="eastAsia" w:ascii="仿宋" w:hAnsi="仿宋" w:eastAsia="仿宋" w:cs="仿宋"/>
          <w:color w:val="auto"/>
          <w:sz w:val="24"/>
          <w:highlight w:val="none"/>
        </w:rPr>
      </w:pPr>
    </w:p>
    <w:p w14:paraId="3C819AD2">
      <w:pPr>
        <w:widowControl/>
        <w:shd w:val="clear"/>
        <w:jc w:val="left"/>
        <w:rPr>
          <w:rFonts w:hint="eastAsia" w:ascii="仿宋" w:hAnsi="仿宋" w:eastAsia="仿宋" w:cs="仿宋"/>
          <w:b/>
          <w:color w:val="auto"/>
          <w:sz w:val="24"/>
          <w:highlight w:val="none"/>
        </w:rPr>
      </w:pPr>
    </w:p>
    <w:p w14:paraId="4EE0F3CA">
      <w:pPr>
        <w:shd w:val="clear"/>
        <w:jc w:val="left"/>
        <w:outlineLvl w:val="2"/>
        <w:rPr>
          <w:rFonts w:hint="eastAsia" w:ascii="仿宋" w:hAnsi="仿宋" w:eastAsia="仿宋" w:cs="仿宋"/>
          <w:b/>
          <w:color w:val="auto"/>
          <w:sz w:val="24"/>
          <w:szCs w:val="22"/>
          <w:highlight w:val="none"/>
        </w:rPr>
      </w:pPr>
      <w:bookmarkStart w:id="501" w:name="_Toc7005126"/>
      <w:r>
        <w:rPr>
          <w:rFonts w:hint="eastAsia" w:ascii="仿宋" w:hAnsi="仿宋" w:eastAsia="仿宋" w:cs="仿宋"/>
          <w:b/>
          <w:color w:val="auto"/>
          <w:sz w:val="24"/>
          <w:szCs w:val="22"/>
          <w:highlight w:val="none"/>
        </w:rPr>
        <w:t>6-6  供应商参加政府采购活动前3年内在经营活动中没有重大违法记录的书面声明</w:t>
      </w:r>
      <w:bookmarkEnd w:id="501"/>
    </w:p>
    <w:p w14:paraId="7065238E">
      <w:pPr>
        <w:shd w:val="clear"/>
        <w:jc w:val="center"/>
        <w:rPr>
          <w:rFonts w:hint="eastAsia" w:ascii="仿宋" w:hAnsi="仿宋" w:eastAsia="仿宋" w:cs="仿宋"/>
          <w:color w:val="auto"/>
          <w:sz w:val="24"/>
          <w:highlight w:val="none"/>
        </w:rPr>
      </w:pPr>
    </w:p>
    <w:p w14:paraId="0B4EFDE0">
      <w:pPr>
        <w:shd w:val="clea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声明函</w:t>
      </w:r>
    </w:p>
    <w:p w14:paraId="4DE68DA9">
      <w:pPr>
        <w:shd w:val="clear"/>
        <w:jc w:val="center"/>
        <w:rPr>
          <w:rFonts w:hint="eastAsia" w:ascii="仿宋" w:hAnsi="仿宋" w:eastAsia="仿宋" w:cs="仿宋"/>
          <w:color w:val="auto"/>
          <w:sz w:val="24"/>
          <w:highlight w:val="none"/>
        </w:rPr>
      </w:pPr>
    </w:p>
    <w:p w14:paraId="6AA514EE">
      <w:pPr>
        <w:shd w:val="clea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陕西省采购招标有限责任公司：  </w:t>
      </w:r>
    </w:p>
    <w:p w14:paraId="454D7FCD">
      <w:pPr>
        <w:shd w:val="clea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w:t>
      </w:r>
    </w:p>
    <w:p w14:paraId="28E8F9B8">
      <w:pPr>
        <w:shd w:val="clea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6DA0B8CD">
      <w:pPr>
        <w:shd w:val="clear"/>
        <w:tabs>
          <w:tab w:val="left" w:pos="5580"/>
        </w:tabs>
        <w:spacing w:before="120" w:line="360" w:lineRule="auto"/>
        <w:ind w:firstLine="480" w:firstLineChars="200"/>
        <w:rPr>
          <w:rFonts w:hint="eastAsia" w:ascii="仿宋" w:hAnsi="仿宋" w:eastAsia="仿宋" w:cs="仿宋"/>
          <w:color w:val="auto"/>
          <w:sz w:val="24"/>
          <w:highlight w:val="none"/>
        </w:rPr>
      </w:pPr>
    </w:p>
    <w:p w14:paraId="65FA03E9">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供应商（盖公章）： </w:t>
      </w:r>
      <w:r>
        <w:rPr>
          <w:rFonts w:hint="eastAsia" w:ascii="仿宋" w:hAnsi="仿宋" w:eastAsia="仿宋" w:cs="仿宋"/>
          <w:color w:val="auto"/>
          <w:sz w:val="24"/>
          <w:highlight w:val="none"/>
          <w:u w:val="single"/>
        </w:rPr>
        <w:t xml:space="preserve">              </w:t>
      </w:r>
    </w:p>
    <w:p w14:paraId="4AAC9B70">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或其</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6CB1E66D">
      <w:pPr>
        <w:shd w:val="clear"/>
        <w:spacing w:after="120"/>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A1F68E2">
      <w:pPr>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F09398B">
      <w:pPr>
        <w:shd w:val="clear"/>
        <w:jc w:val="left"/>
        <w:outlineLvl w:val="2"/>
        <w:rPr>
          <w:rFonts w:hint="eastAsia" w:ascii="仿宋" w:hAnsi="仿宋" w:eastAsia="仿宋" w:cs="仿宋"/>
          <w:b/>
          <w:color w:val="auto"/>
          <w:sz w:val="24"/>
          <w:szCs w:val="22"/>
          <w:highlight w:val="none"/>
        </w:rPr>
      </w:pPr>
      <w:bookmarkStart w:id="502" w:name="_Toc7005127"/>
      <w:r>
        <w:rPr>
          <w:rFonts w:hint="eastAsia" w:ascii="仿宋" w:hAnsi="仿宋" w:eastAsia="仿宋" w:cs="仿宋"/>
          <w:b/>
          <w:color w:val="auto"/>
          <w:sz w:val="24"/>
          <w:szCs w:val="22"/>
          <w:highlight w:val="none"/>
        </w:rPr>
        <w:t>6-7  供应商控股股东名称、控股公司的名称和存在管理、被管理关系的单位名称说明</w:t>
      </w:r>
      <w:bookmarkEnd w:id="502"/>
    </w:p>
    <w:p w14:paraId="1C26BA07">
      <w:pPr>
        <w:shd w:val="clear"/>
        <w:ind w:firstLine="420"/>
        <w:rPr>
          <w:rFonts w:hint="eastAsia" w:ascii="仿宋" w:hAnsi="仿宋" w:eastAsia="仿宋" w:cs="仿宋"/>
          <w:color w:val="auto"/>
          <w:szCs w:val="21"/>
          <w:highlight w:val="none"/>
        </w:rPr>
      </w:pPr>
    </w:p>
    <w:p w14:paraId="788AFFA8">
      <w:pPr>
        <w:shd w:val="clear"/>
        <w:rPr>
          <w:rFonts w:hint="eastAsia" w:ascii="仿宋" w:hAnsi="仿宋" w:eastAsia="仿宋" w:cs="仿宋"/>
          <w:color w:val="auto"/>
          <w:sz w:val="24"/>
          <w:highlight w:val="none"/>
        </w:rPr>
      </w:pPr>
    </w:p>
    <w:p w14:paraId="38105E52">
      <w:pPr>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5E66B028">
      <w:pPr>
        <w:shd w:val="clear"/>
        <w:spacing w:after="120"/>
        <w:rPr>
          <w:rFonts w:hint="eastAsia" w:ascii="仿宋" w:hAnsi="仿宋" w:eastAsia="仿宋" w:cs="仿宋"/>
          <w:color w:val="auto"/>
          <w:highlight w:val="none"/>
        </w:rPr>
      </w:pPr>
    </w:p>
    <w:p w14:paraId="34C7F7C5">
      <w:pPr>
        <w:shd w:val="clea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与我方的法定代表人（单位负责人）为同一人的企业如下：</w:t>
      </w:r>
    </w:p>
    <w:p w14:paraId="6144B3E3">
      <w:pPr>
        <w:shd w:val="clear"/>
        <w:ind w:firstLine="426"/>
        <w:rPr>
          <w:rFonts w:hint="eastAsia" w:ascii="仿宋" w:hAnsi="仿宋" w:eastAsia="仿宋" w:cs="仿宋"/>
          <w:color w:val="auto"/>
          <w:sz w:val="24"/>
          <w:highlight w:val="none"/>
        </w:rPr>
      </w:pPr>
    </w:p>
    <w:p w14:paraId="428621A9">
      <w:pPr>
        <w:shd w:val="clea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661093A0">
      <w:pPr>
        <w:shd w:val="clear"/>
        <w:ind w:firstLine="426"/>
        <w:rPr>
          <w:rFonts w:hint="eastAsia" w:ascii="仿宋" w:hAnsi="仿宋" w:eastAsia="仿宋" w:cs="仿宋"/>
          <w:color w:val="auto"/>
          <w:sz w:val="24"/>
          <w:highlight w:val="none"/>
        </w:rPr>
      </w:pPr>
    </w:p>
    <w:p w14:paraId="3A5B2E4E">
      <w:pPr>
        <w:shd w:val="clea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73ECE983">
      <w:pPr>
        <w:shd w:val="clear"/>
        <w:ind w:firstLine="426"/>
        <w:rPr>
          <w:rFonts w:hint="eastAsia" w:ascii="仿宋" w:hAnsi="仿宋" w:eastAsia="仿宋" w:cs="仿宋"/>
          <w:color w:val="auto"/>
          <w:sz w:val="24"/>
          <w:highlight w:val="none"/>
        </w:rPr>
      </w:pPr>
    </w:p>
    <w:p w14:paraId="32567652">
      <w:pPr>
        <w:shd w:val="clea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5048810D">
      <w:pPr>
        <w:shd w:val="clear"/>
        <w:ind w:firstLine="426"/>
        <w:rPr>
          <w:rFonts w:hint="eastAsia" w:ascii="仿宋" w:hAnsi="仿宋" w:eastAsia="仿宋" w:cs="仿宋"/>
          <w:color w:val="auto"/>
          <w:sz w:val="24"/>
          <w:highlight w:val="none"/>
        </w:rPr>
      </w:pPr>
    </w:p>
    <w:p w14:paraId="66DD0B2E">
      <w:pPr>
        <w:shd w:val="clear"/>
        <w:ind w:firstLine="426"/>
        <w:rPr>
          <w:rFonts w:hint="eastAsia" w:ascii="仿宋" w:hAnsi="仿宋" w:eastAsia="仿宋" w:cs="仿宋"/>
          <w:color w:val="auto"/>
          <w:szCs w:val="21"/>
          <w:highlight w:val="none"/>
        </w:rPr>
      </w:pPr>
    </w:p>
    <w:p w14:paraId="1E34BF95">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供应商（盖公章）： </w:t>
      </w:r>
      <w:r>
        <w:rPr>
          <w:rFonts w:hint="eastAsia" w:ascii="仿宋" w:hAnsi="仿宋" w:eastAsia="仿宋" w:cs="仿宋"/>
          <w:color w:val="auto"/>
          <w:sz w:val="24"/>
          <w:highlight w:val="none"/>
          <w:u w:val="single"/>
        </w:rPr>
        <w:t xml:space="preserve">              </w:t>
      </w:r>
    </w:p>
    <w:p w14:paraId="62B85383">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或其</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073807E0">
      <w:pPr>
        <w:shd w:val="clea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1292080">
      <w:pPr>
        <w:pStyle w:val="2"/>
        <w:shd w:val="clear"/>
        <w:rPr>
          <w:rFonts w:hint="eastAsia" w:ascii="仿宋" w:hAnsi="仿宋" w:eastAsia="仿宋" w:cs="仿宋"/>
          <w:color w:val="auto"/>
          <w:highlight w:val="none"/>
        </w:rPr>
      </w:pPr>
    </w:p>
    <w:p w14:paraId="2518CCDB">
      <w:pPr>
        <w:shd w:val="clear"/>
        <w:ind w:firstLine="420" w:firstLineChars="200"/>
        <w:rPr>
          <w:rFonts w:hint="eastAsia" w:ascii="仿宋" w:hAnsi="仿宋" w:eastAsia="仿宋" w:cs="仿宋"/>
          <w:color w:val="auto"/>
          <w:szCs w:val="21"/>
          <w:highlight w:val="none"/>
        </w:rPr>
      </w:pPr>
    </w:p>
    <w:p w14:paraId="4C53CDF3">
      <w:pPr>
        <w:shd w:val="clear"/>
        <w:ind w:firstLine="420" w:firstLineChars="200"/>
        <w:rPr>
          <w:rFonts w:hint="eastAsia" w:ascii="仿宋" w:hAnsi="仿宋" w:eastAsia="仿宋" w:cs="仿宋"/>
          <w:color w:val="auto"/>
          <w:szCs w:val="21"/>
          <w:highlight w:val="none"/>
        </w:rPr>
      </w:pPr>
    </w:p>
    <w:p w14:paraId="6E2D39C9">
      <w:pPr>
        <w:shd w:val="clear"/>
        <w:jc w:val="left"/>
        <w:outlineLvl w:val="2"/>
        <w:rPr>
          <w:rFonts w:hint="eastAsia" w:ascii="仿宋" w:hAnsi="仿宋" w:eastAsia="仿宋" w:cs="仿宋"/>
          <w:b/>
          <w:color w:val="auto"/>
          <w:sz w:val="24"/>
          <w:szCs w:val="22"/>
          <w:highlight w:val="none"/>
        </w:rPr>
      </w:pPr>
      <w:bookmarkStart w:id="503" w:name="_Toc7005128"/>
      <w:r>
        <w:rPr>
          <w:rFonts w:hint="eastAsia" w:ascii="仿宋" w:hAnsi="仿宋" w:eastAsia="仿宋" w:cs="仿宋"/>
          <w:b/>
          <w:color w:val="auto"/>
          <w:sz w:val="24"/>
          <w:szCs w:val="22"/>
          <w:highlight w:val="none"/>
        </w:rPr>
        <w:t>6-8  供应商是否属于为本项目提供整体设计、规范编制或者项目管理、监理、检测等服务的供应商声明</w:t>
      </w:r>
      <w:bookmarkEnd w:id="503"/>
    </w:p>
    <w:p w14:paraId="7FA9C051">
      <w:pPr>
        <w:shd w:val="clear"/>
        <w:ind w:firstLine="420"/>
        <w:rPr>
          <w:rFonts w:hint="eastAsia" w:ascii="仿宋" w:hAnsi="仿宋" w:eastAsia="仿宋" w:cs="仿宋"/>
          <w:color w:val="auto"/>
          <w:szCs w:val="21"/>
          <w:highlight w:val="none"/>
        </w:rPr>
      </w:pPr>
    </w:p>
    <w:p w14:paraId="50751F38">
      <w:pPr>
        <w:shd w:val="clear"/>
        <w:spacing w:line="360" w:lineRule="auto"/>
        <w:rPr>
          <w:rFonts w:hint="eastAsia" w:ascii="仿宋" w:hAnsi="仿宋" w:eastAsia="仿宋" w:cs="仿宋"/>
          <w:color w:val="auto"/>
          <w:szCs w:val="21"/>
          <w:highlight w:val="none"/>
        </w:rPr>
      </w:pPr>
    </w:p>
    <w:p w14:paraId="6D4F45BC">
      <w:pPr>
        <w:shd w:val="clea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1EF31F7D">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w:t>
      </w:r>
      <w:r>
        <w:rPr>
          <w:rFonts w:hint="eastAsia" w:ascii="仿宋" w:hAnsi="仿宋" w:eastAsia="仿宋" w:cs="仿宋"/>
          <w:color w:val="auto"/>
          <w:sz w:val="24"/>
          <w:highlight w:val="none"/>
          <w:u w:val="single"/>
        </w:rPr>
        <w:t xml:space="preserve"> 不属于 </w:t>
      </w:r>
      <w:r>
        <w:rPr>
          <w:rFonts w:hint="eastAsia" w:ascii="仿宋" w:hAnsi="仿宋" w:eastAsia="仿宋" w:cs="仿宋"/>
          <w:color w:val="auto"/>
          <w:sz w:val="24"/>
          <w:highlight w:val="none"/>
        </w:rPr>
        <w:t>为本项目提供整体设计、规范编制或者项目管理、监理、检测等服务的供应商。</w:t>
      </w:r>
    </w:p>
    <w:p w14:paraId="35A31971">
      <w:pPr>
        <w:shd w:val="clear"/>
        <w:ind w:firstLine="426"/>
        <w:rPr>
          <w:rFonts w:hint="eastAsia" w:ascii="仿宋" w:hAnsi="仿宋" w:eastAsia="仿宋" w:cs="仿宋"/>
          <w:color w:val="auto"/>
          <w:sz w:val="24"/>
          <w:highlight w:val="none"/>
        </w:rPr>
      </w:pPr>
    </w:p>
    <w:p w14:paraId="0982A944">
      <w:pPr>
        <w:shd w:val="clear"/>
        <w:ind w:firstLine="426"/>
        <w:rPr>
          <w:rFonts w:hint="eastAsia" w:ascii="仿宋" w:hAnsi="仿宋" w:eastAsia="仿宋" w:cs="仿宋"/>
          <w:color w:val="auto"/>
          <w:szCs w:val="21"/>
          <w:highlight w:val="none"/>
        </w:rPr>
      </w:pPr>
    </w:p>
    <w:p w14:paraId="4366542B">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供应商（盖公章）： </w:t>
      </w:r>
      <w:r>
        <w:rPr>
          <w:rFonts w:hint="eastAsia" w:ascii="仿宋" w:hAnsi="仿宋" w:eastAsia="仿宋" w:cs="仿宋"/>
          <w:color w:val="auto"/>
          <w:sz w:val="24"/>
          <w:highlight w:val="none"/>
          <w:u w:val="single"/>
        </w:rPr>
        <w:t xml:space="preserve">              </w:t>
      </w:r>
    </w:p>
    <w:p w14:paraId="198500DB">
      <w:pPr>
        <w:shd w:val="clea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或其</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2E5DCCCF">
      <w:pPr>
        <w:widowControl/>
        <w:shd w:val="clear"/>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A429A26">
      <w:pPr>
        <w:pStyle w:val="2"/>
        <w:shd w:val="clear"/>
        <w:rPr>
          <w:rFonts w:hint="eastAsia" w:ascii="仿宋" w:hAnsi="仿宋" w:eastAsia="仿宋" w:cs="仿宋"/>
          <w:color w:val="auto"/>
          <w:sz w:val="24"/>
          <w:highlight w:val="none"/>
        </w:rPr>
      </w:pPr>
    </w:p>
    <w:p w14:paraId="5CEDDB3F">
      <w:pPr>
        <w:shd w:val="clear"/>
        <w:rPr>
          <w:rFonts w:hint="eastAsia" w:ascii="仿宋" w:hAnsi="仿宋" w:eastAsia="仿宋" w:cs="仿宋"/>
          <w:color w:val="auto"/>
          <w:sz w:val="24"/>
          <w:highlight w:val="none"/>
        </w:rPr>
      </w:pPr>
    </w:p>
    <w:p w14:paraId="6AB87FDA">
      <w:pPr>
        <w:shd w:val="clear"/>
        <w:rPr>
          <w:rFonts w:eastAsia="仿宋_GB2312"/>
          <w:b/>
          <w:color w:val="auto"/>
          <w:sz w:val="24"/>
          <w:szCs w:val="32"/>
          <w:highlight w:val="none"/>
        </w:rPr>
      </w:pPr>
      <w:bookmarkStart w:id="504" w:name="_Toc7005129"/>
      <w:r>
        <w:rPr>
          <w:rFonts w:hint="eastAsia" w:ascii="仿宋" w:hAnsi="仿宋" w:eastAsia="仿宋" w:cs="仿宋"/>
          <w:b/>
          <w:color w:val="auto"/>
          <w:sz w:val="24"/>
          <w:highlight w:val="none"/>
        </w:rPr>
        <w:t>6-9  证明供应商符合特定资格条件的证明材料</w:t>
      </w:r>
      <w:bookmarkEnd w:id="504"/>
      <w:r>
        <w:rPr>
          <w:rFonts w:hint="eastAsia" w:ascii="仿宋" w:hAnsi="仿宋" w:eastAsia="仿宋" w:cs="仿宋"/>
          <w:b/>
          <w:color w:val="auto"/>
          <w:sz w:val="24"/>
          <w:highlight w:val="none"/>
        </w:rPr>
        <w:t>：</w:t>
      </w:r>
      <w:r>
        <w:rPr>
          <w:rFonts w:hint="eastAsia" w:eastAsia="仿宋_GB2312"/>
          <w:b w:val="0"/>
          <w:bCs/>
          <w:color w:val="auto"/>
          <w:sz w:val="24"/>
          <w:szCs w:val="32"/>
          <w:highlight w:val="none"/>
        </w:rPr>
        <w:t>（未提供格式的供应商自行拟定）</w:t>
      </w:r>
    </w:p>
    <w:p w14:paraId="550F615B">
      <w:pPr>
        <w:shd w:val="clear"/>
        <w:spacing w:after="120"/>
        <w:rPr>
          <w:rFonts w:hint="eastAsia" w:ascii="仿宋" w:hAnsi="仿宋" w:eastAsia="仿宋" w:cs="仿宋"/>
          <w:b/>
          <w:color w:val="auto"/>
          <w:sz w:val="24"/>
          <w:highlight w:val="none"/>
        </w:rPr>
      </w:pPr>
    </w:p>
    <w:p w14:paraId="5432A37B">
      <w:pPr>
        <w:shd w:val="clear"/>
        <w:spacing w:after="120"/>
        <w:rPr>
          <w:rFonts w:hint="eastAsia" w:ascii="仿宋" w:hAnsi="仿宋" w:eastAsia="仿宋" w:cs="仿宋"/>
          <w:b/>
          <w:color w:val="auto"/>
          <w:sz w:val="24"/>
          <w:highlight w:val="none"/>
        </w:rPr>
      </w:pPr>
    </w:p>
    <w:p w14:paraId="784A4C33">
      <w:pPr>
        <w:pStyle w:val="8"/>
        <w:numPr>
          <w:ilvl w:val="0"/>
          <w:numId w:val="0"/>
        </w:numPr>
        <w:shd w:val="clear"/>
        <w:ind w:left="0" w:leftChars="0" w:firstLine="0" w:firstLineChars="0"/>
        <w:jc w:val="center"/>
        <w:rPr>
          <w:rFonts w:hint="eastAsia" w:ascii="Times New Roman" w:hAnsi="Times New Roman" w:eastAsia="仿宋" w:cs="Times New Roman"/>
          <w:b/>
          <w:color w:val="auto"/>
          <w:kern w:val="0"/>
          <w:sz w:val="30"/>
          <w:szCs w:val="20"/>
          <w:highlight w:val="none"/>
          <w:lang w:val="zh-CN" w:eastAsia="zh-CN" w:bidi="ar-SA"/>
        </w:rPr>
      </w:pPr>
      <w:r>
        <w:rPr>
          <w:rFonts w:hint="eastAsia" w:ascii="Times New Roman" w:hAnsi="Times New Roman" w:eastAsia="仿宋" w:cs="Times New Roman"/>
          <w:b/>
          <w:color w:val="auto"/>
          <w:kern w:val="0"/>
          <w:sz w:val="30"/>
          <w:szCs w:val="20"/>
          <w:highlight w:val="none"/>
          <w:lang w:val="zh-CN" w:eastAsia="zh-CN" w:bidi="ar-SA"/>
        </w:rPr>
        <w:t xml:space="preserve"> </w:t>
      </w:r>
      <w:r>
        <w:rPr>
          <w:rFonts w:hint="eastAsia" w:ascii="Times New Roman" w:hAnsi="Times New Roman" w:eastAsia="仿宋" w:cs="Times New Roman"/>
          <w:b/>
          <w:color w:val="auto"/>
          <w:kern w:val="0"/>
          <w:sz w:val="30"/>
          <w:szCs w:val="20"/>
          <w:highlight w:val="none"/>
          <w:lang w:val="en-US" w:eastAsia="zh-CN" w:bidi="ar-SA"/>
        </w:rPr>
        <w:t>第四部分 供应商</w:t>
      </w:r>
      <w:r>
        <w:rPr>
          <w:rFonts w:hint="eastAsia" w:ascii="Times New Roman" w:hAnsi="Times New Roman" w:eastAsia="仿宋" w:cs="Times New Roman"/>
          <w:b/>
          <w:color w:val="auto"/>
          <w:kern w:val="0"/>
          <w:sz w:val="30"/>
          <w:szCs w:val="20"/>
          <w:highlight w:val="none"/>
          <w:lang w:val="zh-CN" w:eastAsia="zh-CN" w:bidi="ar-SA"/>
        </w:rPr>
        <w:t>概况</w:t>
      </w:r>
    </w:p>
    <w:p w14:paraId="3F8F6446">
      <w:pPr>
        <w:pStyle w:val="29"/>
        <w:shd w:val="clear" w:color="auto"/>
        <w:spacing w:line="360" w:lineRule="auto"/>
        <w:jc w:val="center"/>
        <w:rPr>
          <w:rFonts w:ascii="Times New Roman" w:hAnsi="Times New Roman" w:eastAsia="仿宋"/>
          <w:b/>
          <w:color w:val="auto"/>
          <w:kern w:val="0"/>
          <w:sz w:val="30"/>
          <w:szCs w:val="30"/>
          <w:highlight w:val="none"/>
          <w:shd w:val="clear" w:color="auto" w:fill="FFFFFF"/>
        </w:rPr>
      </w:pPr>
      <w:bookmarkStart w:id="505" w:name="_Toc105505631"/>
      <w:bookmarkStart w:id="506" w:name="_Toc105438110"/>
      <w:bookmarkStart w:id="507" w:name="_Toc19072"/>
      <w:bookmarkStart w:id="508" w:name="_Toc114840466"/>
      <w:r>
        <w:rPr>
          <w:rFonts w:ascii="Times New Roman" w:hAnsi="Times New Roman" w:eastAsia="仿宋"/>
          <w:b/>
          <w:color w:val="auto"/>
          <w:kern w:val="0"/>
          <w:sz w:val="30"/>
          <w:szCs w:val="30"/>
          <w:highlight w:val="none"/>
          <w:shd w:val="clear" w:color="auto" w:fill="FFFFFF"/>
        </w:rPr>
        <w:t>（一）</w:t>
      </w:r>
      <w:r>
        <w:rPr>
          <w:rFonts w:hint="eastAsia" w:ascii="Times New Roman" w:hAnsi="Times New Roman" w:eastAsia="仿宋"/>
          <w:b/>
          <w:color w:val="auto"/>
          <w:kern w:val="0"/>
          <w:sz w:val="30"/>
          <w:szCs w:val="30"/>
          <w:highlight w:val="none"/>
          <w:shd w:val="clear" w:color="auto" w:fill="FFFFFF"/>
        </w:rPr>
        <w:t>供应商</w:t>
      </w:r>
      <w:r>
        <w:rPr>
          <w:rFonts w:ascii="Times New Roman" w:hAnsi="Times New Roman" w:eastAsia="仿宋"/>
          <w:b/>
          <w:color w:val="auto"/>
          <w:kern w:val="0"/>
          <w:sz w:val="30"/>
          <w:szCs w:val="30"/>
          <w:highlight w:val="none"/>
          <w:shd w:val="clear" w:color="auto" w:fill="FFFFFF"/>
        </w:rPr>
        <w:t>基本信息</w:t>
      </w:r>
      <w:bookmarkEnd w:id="505"/>
      <w:bookmarkEnd w:id="506"/>
      <w:bookmarkEnd w:id="507"/>
      <w:bookmarkEnd w:id="508"/>
    </w:p>
    <w:p w14:paraId="720DA2D6">
      <w:pPr>
        <w:shd w:val="clear" w:color="auto"/>
        <w:tabs>
          <w:tab w:val="left" w:pos="993"/>
          <w:tab w:val="left" w:pos="1030"/>
          <w:tab w:val="left" w:pos="8364"/>
        </w:tabs>
        <w:snapToGrid w:val="0"/>
        <w:spacing w:after="120" w:afterLines="50"/>
        <w:ind w:right="-57" w:rightChars="-27"/>
        <w:jc w:val="center"/>
        <w:rPr>
          <w:rFonts w:eastAsia="仿宋"/>
          <w:color w:val="auto"/>
          <w:sz w:val="24"/>
          <w:highlight w:val="none"/>
        </w:rPr>
      </w:pPr>
      <w:bookmarkStart w:id="509" w:name="_Toc342"/>
      <w:bookmarkStart w:id="510" w:name="_Toc105438111"/>
      <w:bookmarkStart w:id="511" w:name="_Toc114840467"/>
      <w:bookmarkStart w:id="512" w:name="_Toc105505632"/>
      <w:r>
        <w:rPr>
          <w:rFonts w:eastAsia="仿宋"/>
          <w:color w:val="auto"/>
          <w:sz w:val="24"/>
          <w:highlight w:val="none"/>
        </w:rPr>
        <w:t>（格式自拟）</w:t>
      </w:r>
      <w:bookmarkEnd w:id="509"/>
      <w:bookmarkEnd w:id="510"/>
      <w:bookmarkEnd w:id="511"/>
      <w:bookmarkEnd w:id="512"/>
    </w:p>
    <w:p w14:paraId="26C492CD">
      <w:pPr>
        <w:shd w:val="clear"/>
        <w:spacing w:after="120"/>
        <w:rPr>
          <w:rFonts w:hint="eastAsia" w:ascii="仿宋" w:hAnsi="仿宋" w:eastAsia="仿宋" w:cs="仿宋"/>
          <w:b/>
          <w:color w:val="auto"/>
          <w:sz w:val="24"/>
          <w:highlight w:val="none"/>
        </w:rPr>
      </w:pPr>
    </w:p>
    <w:p w14:paraId="25B32D24">
      <w:pPr>
        <w:shd w:val="clear"/>
        <w:spacing w:after="120"/>
        <w:rPr>
          <w:rFonts w:hint="eastAsia" w:ascii="仿宋" w:hAnsi="仿宋" w:eastAsia="仿宋" w:cs="仿宋"/>
          <w:b/>
          <w:color w:val="auto"/>
          <w:sz w:val="24"/>
          <w:highlight w:val="none"/>
        </w:rPr>
      </w:pPr>
    </w:p>
    <w:p w14:paraId="50624985">
      <w:pPr>
        <w:shd w:val="clear"/>
        <w:spacing w:after="120"/>
        <w:rPr>
          <w:rFonts w:hint="eastAsia" w:ascii="仿宋" w:hAnsi="仿宋" w:eastAsia="仿宋" w:cs="仿宋"/>
          <w:b/>
          <w:color w:val="auto"/>
          <w:sz w:val="24"/>
          <w:highlight w:val="none"/>
        </w:rPr>
      </w:pPr>
    </w:p>
    <w:p w14:paraId="75DBEF36">
      <w:pPr>
        <w:shd w:val="clear"/>
        <w:spacing w:after="120"/>
        <w:rPr>
          <w:rFonts w:hint="eastAsia" w:ascii="仿宋" w:hAnsi="仿宋" w:eastAsia="仿宋" w:cs="仿宋"/>
          <w:b/>
          <w:color w:val="auto"/>
          <w:sz w:val="24"/>
          <w:highlight w:val="none"/>
        </w:rPr>
      </w:pPr>
    </w:p>
    <w:p w14:paraId="4DD29BC7">
      <w:pPr>
        <w:shd w:val="clear"/>
        <w:spacing w:after="120"/>
        <w:rPr>
          <w:rFonts w:hint="eastAsia" w:ascii="仿宋" w:hAnsi="仿宋" w:eastAsia="仿宋" w:cs="仿宋"/>
          <w:b/>
          <w:color w:val="auto"/>
          <w:sz w:val="24"/>
          <w:highlight w:val="none"/>
        </w:rPr>
      </w:pPr>
    </w:p>
    <w:p w14:paraId="4653175C">
      <w:pPr>
        <w:shd w:val="clear"/>
        <w:spacing w:after="120"/>
        <w:rPr>
          <w:rFonts w:hint="eastAsia" w:ascii="仿宋" w:hAnsi="仿宋" w:eastAsia="仿宋" w:cs="仿宋"/>
          <w:b/>
          <w:color w:val="auto"/>
          <w:sz w:val="24"/>
          <w:highlight w:val="none"/>
        </w:rPr>
      </w:pPr>
    </w:p>
    <w:p w14:paraId="0A0C9018">
      <w:pPr>
        <w:shd w:val="clear"/>
        <w:spacing w:after="120"/>
        <w:rPr>
          <w:rFonts w:hint="eastAsia" w:ascii="仿宋" w:hAnsi="仿宋" w:eastAsia="仿宋" w:cs="仿宋"/>
          <w:b/>
          <w:color w:val="auto"/>
          <w:sz w:val="24"/>
          <w:highlight w:val="none"/>
        </w:rPr>
      </w:pPr>
    </w:p>
    <w:p w14:paraId="1DAFAD98">
      <w:pPr>
        <w:shd w:val="clear"/>
        <w:spacing w:after="120"/>
        <w:rPr>
          <w:rFonts w:hint="eastAsia" w:ascii="仿宋" w:hAnsi="仿宋" w:eastAsia="仿宋" w:cs="仿宋"/>
          <w:b/>
          <w:color w:val="auto"/>
          <w:sz w:val="24"/>
          <w:highlight w:val="none"/>
        </w:rPr>
      </w:pPr>
    </w:p>
    <w:p w14:paraId="50E9C86F">
      <w:pPr>
        <w:shd w:val="clear"/>
        <w:spacing w:after="120"/>
        <w:rPr>
          <w:rFonts w:hint="eastAsia" w:ascii="仿宋" w:hAnsi="仿宋" w:eastAsia="仿宋" w:cs="仿宋"/>
          <w:b/>
          <w:color w:val="auto"/>
          <w:sz w:val="24"/>
          <w:highlight w:val="none"/>
        </w:rPr>
      </w:pPr>
    </w:p>
    <w:p w14:paraId="600C7F28">
      <w:pPr>
        <w:shd w:val="clear"/>
        <w:spacing w:after="120"/>
        <w:rPr>
          <w:rFonts w:hint="eastAsia" w:ascii="仿宋" w:hAnsi="仿宋" w:eastAsia="仿宋" w:cs="仿宋"/>
          <w:b/>
          <w:color w:val="auto"/>
          <w:sz w:val="24"/>
          <w:highlight w:val="none"/>
        </w:rPr>
      </w:pPr>
    </w:p>
    <w:p w14:paraId="1B05494E">
      <w:pPr>
        <w:shd w:val="clear"/>
        <w:spacing w:after="120"/>
        <w:rPr>
          <w:rFonts w:hint="eastAsia" w:ascii="仿宋" w:hAnsi="仿宋" w:eastAsia="仿宋" w:cs="仿宋"/>
          <w:b/>
          <w:color w:val="auto"/>
          <w:sz w:val="24"/>
          <w:highlight w:val="none"/>
        </w:rPr>
      </w:pPr>
    </w:p>
    <w:p w14:paraId="7A0539EF">
      <w:pPr>
        <w:shd w:val="clear"/>
        <w:spacing w:after="120"/>
        <w:rPr>
          <w:rFonts w:hint="eastAsia" w:ascii="仿宋" w:hAnsi="仿宋" w:eastAsia="仿宋" w:cs="仿宋"/>
          <w:b/>
          <w:color w:val="auto"/>
          <w:sz w:val="24"/>
          <w:highlight w:val="none"/>
        </w:rPr>
      </w:pPr>
    </w:p>
    <w:p w14:paraId="0EFF55DC">
      <w:pPr>
        <w:shd w:val="clear"/>
        <w:spacing w:after="120"/>
        <w:rPr>
          <w:rFonts w:hint="eastAsia" w:ascii="仿宋" w:hAnsi="仿宋" w:eastAsia="仿宋" w:cs="仿宋"/>
          <w:b/>
          <w:color w:val="auto"/>
          <w:sz w:val="24"/>
          <w:highlight w:val="none"/>
        </w:rPr>
      </w:pPr>
    </w:p>
    <w:p w14:paraId="61FD2CD4">
      <w:pPr>
        <w:shd w:val="clear"/>
        <w:spacing w:after="120"/>
        <w:rPr>
          <w:rFonts w:hint="eastAsia" w:ascii="仿宋" w:hAnsi="仿宋" w:eastAsia="仿宋" w:cs="仿宋"/>
          <w:b/>
          <w:color w:val="auto"/>
          <w:sz w:val="24"/>
          <w:highlight w:val="none"/>
        </w:rPr>
      </w:pPr>
    </w:p>
    <w:p w14:paraId="6139F46C">
      <w:pPr>
        <w:shd w:val="clear"/>
        <w:spacing w:after="120"/>
        <w:rPr>
          <w:rFonts w:hint="eastAsia" w:ascii="仿宋" w:hAnsi="仿宋" w:eastAsia="仿宋" w:cs="仿宋"/>
          <w:b/>
          <w:color w:val="auto"/>
          <w:sz w:val="24"/>
          <w:highlight w:val="none"/>
        </w:rPr>
      </w:pPr>
    </w:p>
    <w:p w14:paraId="4965C394">
      <w:pPr>
        <w:shd w:val="clear"/>
        <w:spacing w:after="120"/>
        <w:rPr>
          <w:rFonts w:hint="eastAsia" w:ascii="仿宋" w:hAnsi="仿宋" w:eastAsia="仿宋" w:cs="仿宋"/>
          <w:b/>
          <w:color w:val="auto"/>
          <w:sz w:val="24"/>
          <w:highlight w:val="none"/>
        </w:rPr>
      </w:pPr>
    </w:p>
    <w:p w14:paraId="6C7354E0">
      <w:pPr>
        <w:shd w:val="clear"/>
        <w:spacing w:after="120"/>
        <w:rPr>
          <w:rFonts w:hint="eastAsia" w:ascii="仿宋" w:hAnsi="仿宋" w:eastAsia="仿宋" w:cs="仿宋"/>
          <w:b/>
          <w:color w:val="auto"/>
          <w:sz w:val="24"/>
          <w:highlight w:val="none"/>
        </w:rPr>
      </w:pPr>
    </w:p>
    <w:p w14:paraId="2130AA89">
      <w:pPr>
        <w:shd w:val="clear"/>
        <w:spacing w:after="120"/>
        <w:rPr>
          <w:rFonts w:hint="eastAsia" w:ascii="仿宋" w:hAnsi="仿宋" w:eastAsia="仿宋" w:cs="仿宋"/>
          <w:b/>
          <w:color w:val="auto"/>
          <w:sz w:val="24"/>
          <w:highlight w:val="none"/>
        </w:rPr>
      </w:pPr>
    </w:p>
    <w:p w14:paraId="19500595">
      <w:pPr>
        <w:shd w:val="clear"/>
        <w:spacing w:after="120"/>
        <w:rPr>
          <w:rFonts w:hint="eastAsia" w:ascii="仿宋" w:hAnsi="仿宋" w:eastAsia="仿宋" w:cs="仿宋"/>
          <w:b/>
          <w:color w:val="auto"/>
          <w:sz w:val="24"/>
          <w:highlight w:val="none"/>
        </w:rPr>
      </w:pPr>
    </w:p>
    <w:p w14:paraId="229B141E">
      <w:pPr>
        <w:shd w:val="clear"/>
        <w:spacing w:after="120"/>
        <w:rPr>
          <w:rFonts w:hint="eastAsia" w:ascii="仿宋" w:hAnsi="仿宋" w:eastAsia="仿宋" w:cs="仿宋"/>
          <w:b/>
          <w:color w:val="auto"/>
          <w:sz w:val="24"/>
          <w:highlight w:val="none"/>
        </w:rPr>
      </w:pPr>
    </w:p>
    <w:p w14:paraId="2748EBBE">
      <w:pPr>
        <w:shd w:val="clear"/>
        <w:spacing w:after="120"/>
        <w:rPr>
          <w:rFonts w:hint="eastAsia" w:ascii="仿宋" w:hAnsi="仿宋" w:eastAsia="仿宋" w:cs="仿宋"/>
          <w:b/>
          <w:color w:val="auto"/>
          <w:sz w:val="24"/>
          <w:highlight w:val="none"/>
        </w:rPr>
      </w:pPr>
    </w:p>
    <w:p w14:paraId="51D82AE8">
      <w:pPr>
        <w:shd w:val="clear"/>
        <w:spacing w:after="120"/>
        <w:rPr>
          <w:rFonts w:hint="eastAsia" w:ascii="仿宋" w:hAnsi="仿宋" w:eastAsia="仿宋" w:cs="仿宋"/>
          <w:b/>
          <w:color w:val="auto"/>
          <w:sz w:val="24"/>
          <w:highlight w:val="none"/>
        </w:rPr>
      </w:pPr>
    </w:p>
    <w:p w14:paraId="5EDCD234">
      <w:pPr>
        <w:shd w:val="clear"/>
        <w:spacing w:after="120"/>
        <w:rPr>
          <w:rFonts w:hint="eastAsia" w:ascii="仿宋" w:hAnsi="仿宋" w:eastAsia="仿宋" w:cs="仿宋"/>
          <w:b/>
          <w:color w:val="auto"/>
          <w:sz w:val="24"/>
          <w:highlight w:val="none"/>
        </w:rPr>
      </w:pPr>
    </w:p>
    <w:p w14:paraId="5BE7E808">
      <w:pPr>
        <w:shd w:val="clear"/>
        <w:spacing w:after="120"/>
        <w:rPr>
          <w:rFonts w:hint="eastAsia" w:ascii="仿宋" w:hAnsi="仿宋" w:eastAsia="仿宋" w:cs="仿宋"/>
          <w:b/>
          <w:color w:val="auto"/>
          <w:sz w:val="24"/>
          <w:highlight w:val="none"/>
        </w:rPr>
      </w:pPr>
    </w:p>
    <w:p w14:paraId="2A886A4E">
      <w:pPr>
        <w:shd w:val="clear"/>
        <w:spacing w:after="120"/>
        <w:rPr>
          <w:rFonts w:hint="eastAsia" w:ascii="仿宋" w:hAnsi="仿宋" w:eastAsia="仿宋" w:cs="仿宋"/>
          <w:b/>
          <w:color w:val="auto"/>
          <w:sz w:val="24"/>
          <w:highlight w:val="none"/>
        </w:rPr>
      </w:pPr>
    </w:p>
    <w:p w14:paraId="27CA8075">
      <w:pPr>
        <w:shd w:val="clear"/>
        <w:spacing w:after="120"/>
        <w:rPr>
          <w:rFonts w:hint="eastAsia" w:ascii="仿宋" w:hAnsi="仿宋" w:eastAsia="仿宋" w:cs="仿宋"/>
          <w:b/>
          <w:color w:val="auto"/>
          <w:sz w:val="24"/>
          <w:highlight w:val="none"/>
        </w:rPr>
      </w:pPr>
    </w:p>
    <w:p w14:paraId="2AECBA0E">
      <w:pPr>
        <w:shd w:val="clear"/>
        <w:spacing w:after="120"/>
        <w:rPr>
          <w:rFonts w:hint="eastAsia" w:ascii="仿宋" w:hAnsi="仿宋" w:eastAsia="仿宋" w:cs="仿宋"/>
          <w:b/>
          <w:color w:val="auto"/>
          <w:sz w:val="24"/>
          <w:highlight w:val="none"/>
        </w:rPr>
      </w:pPr>
    </w:p>
    <w:p w14:paraId="4E5AA190">
      <w:pPr>
        <w:shd w:val="clear"/>
        <w:spacing w:after="120"/>
        <w:rPr>
          <w:rFonts w:hint="eastAsia" w:ascii="仿宋" w:hAnsi="仿宋" w:eastAsia="仿宋" w:cs="仿宋"/>
          <w:b/>
          <w:color w:val="auto"/>
          <w:sz w:val="24"/>
          <w:highlight w:val="none"/>
        </w:rPr>
      </w:pPr>
    </w:p>
    <w:p w14:paraId="7060AFBD">
      <w:pPr>
        <w:shd w:val="clear"/>
        <w:spacing w:after="120"/>
        <w:rPr>
          <w:rFonts w:hint="eastAsia" w:ascii="仿宋" w:hAnsi="仿宋" w:eastAsia="仿宋" w:cs="仿宋"/>
          <w:b/>
          <w:color w:val="auto"/>
          <w:sz w:val="24"/>
          <w:highlight w:val="none"/>
        </w:rPr>
      </w:pPr>
    </w:p>
    <w:p w14:paraId="24C739A5">
      <w:pPr>
        <w:pStyle w:val="29"/>
        <w:shd w:val="clear" w:color="auto"/>
        <w:jc w:val="center"/>
        <w:rPr>
          <w:rFonts w:hint="eastAsia" w:ascii="仿宋" w:hAnsi="仿宋" w:eastAsia="仿宋" w:cs="仿宋"/>
          <w:color w:val="auto"/>
          <w:sz w:val="24"/>
          <w:szCs w:val="22"/>
          <w:highlight w:val="none"/>
        </w:rPr>
      </w:pPr>
      <w:r>
        <w:rPr>
          <w:rFonts w:hint="eastAsia" w:ascii="仿宋" w:hAnsi="仿宋" w:eastAsia="仿宋" w:cs="仿宋"/>
          <w:b/>
          <w:color w:val="auto"/>
          <w:kern w:val="0"/>
          <w:sz w:val="30"/>
          <w:szCs w:val="30"/>
          <w:highlight w:val="none"/>
          <w:shd w:val="clear" w:color="auto" w:fill="FFFFFF"/>
        </w:rPr>
        <w:t>（二）供应商性质</w:t>
      </w:r>
    </w:p>
    <w:p w14:paraId="01C97A82">
      <w:pPr>
        <w:pStyle w:val="9"/>
        <w:shd w:val="clear"/>
        <w:tabs>
          <w:tab w:val="left" w:pos="588"/>
        </w:tabs>
        <w:jc w:val="center"/>
        <w:outlineLvl w:val="3"/>
        <w:rPr>
          <w:rFonts w:hint="default" w:ascii="Times New Roman" w:hAnsi="Times New Roman" w:eastAsia="仿宋_GB2312" w:cs="Times New Roman"/>
          <w:b/>
          <w:bCs/>
          <w:sz w:val="28"/>
          <w:szCs w:val="36"/>
          <w:highlight w:val="none"/>
        </w:rPr>
      </w:pPr>
      <w:r>
        <w:rPr>
          <w:rFonts w:hint="default" w:ascii="Times New Roman" w:hAnsi="Times New Roman" w:eastAsia="仿宋_GB2312" w:cs="Times New Roman"/>
          <w:b/>
          <w:bCs/>
          <w:sz w:val="28"/>
          <w:szCs w:val="36"/>
          <w:highlight w:val="none"/>
        </w:rPr>
        <w:t>中小企业声明函（工程）</w:t>
      </w:r>
    </w:p>
    <w:p w14:paraId="7604C80F">
      <w:pPr>
        <w:shd w:val="clear"/>
        <w:rPr>
          <w:rFonts w:hint="default" w:ascii="Times New Roman" w:hAnsi="Times New Roman" w:eastAsia="仿宋_GB2312" w:cs="Times New Roman"/>
          <w:kern w:val="0"/>
          <w:sz w:val="30"/>
          <w:szCs w:val="30"/>
          <w:highlight w:val="none"/>
        </w:rPr>
      </w:pPr>
    </w:p>
    <w:p w14:paraId="480B9B68">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本公司（联合体）郑重声明，根据《政府采购促进中小企业发展管理办法》（财库﹝2020﹞46号）的规定，本公司（联合体）参加</w:t>
      </w:r>
      <w:r>
        <w:rPr>
          <w:rFonts w:hint="default" w:ascii="Times New Roman" w:hAnsi="Times New Roman" w:eastAsia="仿宋_GB2312" w:cs="Times New Roman"/>
          <w:kern w:val="0"/>
          <w:sz w:val="24"/>
          <w:highlight w:val="none"/>
          <w:u w:val="single"/>
        </w:rPr>
        <w:t xml:space="preserve">  （单位名称） </w:t>
      </w:r>
      <w:r>
        <w:rPr>
          <w:rFonts w:hint="default" w:ascii="Times New Roman" w:hAnsi="Times New Roman" w:eastAsia="仿宋_GB2312" w:cs="Times New Roman"/>
          <w:kern w:val="0"/>
          <w:sz w:val="24"/>
          <w:highlight w:val="none"/>
        </w:rPr>
        <w:t xml:space="preserve"> 的</w:t>
      </w:r>
      <w:r>
        <w:rPr>
          <w:rFonts w:hint="default" w:ascii="Times New Roman" w:hAnsi="Times New Roman" w:eastAsia="仿宋_GB2312" w:cs="Times New Roman"/>
          <w:kern w:val="0"/>
          <w:sz w:val="24"/>
          <w:highlight w:val="none"/>
          <w:u w:val="single"/>
        </w:rPr>
        <w:t xml:space="preserve"> （项目名称） 采购</w:t>
      </w:r>
      <w:r>
        <w:rPr>
          <w:rFonts w:hint="default" w:ascii="Times New Roman" w:hAnsi="Times New Roman" w:eastAsia="仿宋_GB2312" w:cs="Times New Roman"/>
          <w:kern w:val="0"/>
          <w:sz w:val="24"/>
          <w:highlight w:val="none"/>
        </w:rPr>
        <w:t>活动，工程的施工单位全部为符合政策要求的中小企业（或者：服务全部由符合政策要求的中小企业承接）。相关企业（含联合体中的中小企业、签订分包意向协议的中小企业）的具体情况如下：</w:t>
      </w:r>
    </w:p>
    <w:p w14:paraId="1CD695CD">
      <w:pPr>
        <w:pStyle w:val="69"/>
        <w:numPr>
          <w:ilvl w:val="0"/>
          <w:numId w:val="15"/>
        </w:numPr>
        <w:shd w:val="clear"/>
        <w:spacing w:line="560" w:lineRule="exact"/>
        <w:ind w:left="0" w:firstLine="600" w:firstLineChars="0"/>
        <w:rPr>
          <w:rFonts w:hint="default" w:ascii="Times New Roman" w:hAnsi="Times New Roman" w:eastAsia="仿宋_GB2312" w:cs="Times New Roman"/>
          <w:kern w:val="0"/>
          <w:sz w:val="24"/>
          <w:szCs w:val="24"/>
          <w:highlight w:val="none"/>
        </w:rPr>
      </w:pPr>
      <w:r>
        <w:rPr>
          <w:rFonts w:hint="default" w:ascii="Times New Roman" w:hAnsi="Times New Roman" w:eastAsia="仿宋_GB2312" w:cs="Times New Roman"/>
          <w:kern w:val="0"/>
          <w:sz w:val="24"/>
          <w:szCs w:val="24"/>
          <w:highlight w:val="none"/>
          <w:u w:val="single"/>
        </w:rPr>
        <w:t xml:space="preserve"> （标的名称） </w:t>
      </w:r>
      <w:r>
        <w:rPr>
          <w:rFonts w:hint="default" w:ascii="Times New Roman" w:hAnsi="Times New Roman" w:eastAsia="仿宋_GB2312" w:cs="Times New Roman"/>
          <w:kern w:val="0"/>
          <w:sz w:val="24"/>
          <w:szCs w:val="24"/>
          <w:highlight w:val="none"/>
        </w:rPr>
        <w:t>，属于</w:t>
      </w:r>
      <w:r>
        <w:rPr>
          <w:rFonts w:hint="default" w:ascii="Times New Roman" w:hAnsi="Times New Roman" w:eastAsia="仿宋_GB2312" w:cs="Times New Roman"/>
          <w:kern w:val="0"/>
          <w:sz w:val="24"/>
          <w:szCs w:val="24"/>
          <w:highlight w:val="none"/>
          <w:u w:val="single"/>
        </w:rPr>
        <w:t xml:space="preserve"> （采购文件中明确的所属行业） </w:t>
      </w:r>
      <w:r>
        <w:rPr>
          <w:rFonts w:hint="default" w:ascii="Times New Roman" w:hAnsi="Times New Roman" w:eastAsia="仿宋_GB2312" w:cs="Times New Roman"/>
          <w:kern w:val="0"/>
          <w:sz w:val="24"/>
          <w:szCs w:val="24"/>
          <w:highlight w:val="none"/>
        </w:rPr>
        <w:t>；承建（承接）企业为</w:t>
      </w:r>
      <w:r>
        <w:rPr>
          <w:rFonts w:hint="default" w:ascii="Times New Roman" w:hAnsi="Times New Roman" w:eastAsia="仿宋_GB2312" w:cs="Times New Roman"/>
          <w:kern w:val="0"/>
          <w:sz w:val="24"/>
          <w:szCs w:val="24"/>
          <w:highlight w:val="none"/>
          <w:u w:val="single"/>
        </w:rPr>
        <w:t xml:space="preserve"> （企业名称） </w:t>
      </w:r>
      <w:r>
        <w:rPr>
          <w:rFonts w:hint="default" w:ascii="Times New Roman" w:hAnsi="Times New Roman" w:eastAsia="仿宋_GB2312" w:cs="Times New Roman"/>
          <w:kern w:val="0"/>
          <w:sz w:val="24"/>
          <w:szCs w:val="24"/>
          <w:highlight w:val="none"/>
        </w:rPr>
        <w:t>，从业人员</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人，营业收入为</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万元，资产总额为</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万元，属于</w:t>
      </w:r>
      <w:r>
        <w:rPr>
          <w:rFonts w:hint="default" w:ascii="Times New Roman" w:hAnsi="Times New Roman" w:eastAsia="仿宋_GB2312" w:cs="Times New Roman"/>
          <w:kern w:val="0"/>
          <w:sz w:val="24"/>
          <w:szCs w:val="24"/>
          <w:highlight w:val="none"/>
          <w:u w:val="single"/>
        </w:rPr>
        <w:t xml:space="preserve"> （中型企业、小型企业、微型企业） </w:t>
      </w:r>
      <w:r>
        <w:rPr>
          <w:rFonts w:hint="default" w:ascii="Times New Roman" w:hAnsi="Times New Roman" w:eastAsia="仿宋_GB2312" w:cs="Times New Roman"/>
          <w:kern w:val="0"/>
          <w:sz w:val="24"/>
          <w:szCs w:val="24"/>
          <w:highlight w:val="none"/>
        </w:rPr>
        <w:t>；</w:t>
      </w:r>
    </w:p>
    <w:p w14:paraId="1AE4547A">
      <w:pPr>
        <w:shd w:val="clear"/>
        <w:spacing w:line="560" w:lineRule="exact"/>
        <w:ind w:left="17" w:leftChars="8" w:firstLine="460" w:firstLineChars="192"/>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 xml:space="preserve">2. </w:t>
      </w:r>
      <w:r>
        <w:rPr>
          <w:rFonts w:hint="default" w:ascii="Times New Roman" w:hAnsi="Times New Roman" w:eastAsia="仿宋_GB2312" w:cs="Times New Roman"/>
          <w:kern w:val="0"/>
          <w:sz w:val="24"/>
          <w:highlight w:val="none"/>
          <w:u w:val="single"/>
        </w:rPr>
        <w:t xml:space="preserve"> （标的名称） </w:t>
      </w:r>
      <w:r>
        <w:rPr>
          <w:rFonts w:hint="default" w:ascii="Times New Roman" w:hAnsi="Times New Roman" w:eastAsia="仿宋_GB2312" w:cs="Times New Roman"/>
          <w:kern w:val="0"/>
          <w:sz w:val="24"/>
          <w:highlight w:val="none"/>
        </w:rPr>
        <w:t>，属于</w:t>
      </w:r>
      <w:r>
        <w:rPr>
          <w:rFonts w:hint="default" w:ascii="Times New Roman" w:hAnsi="Times New Roman" w:eastAsia="仿宋_GB2312" w:cs="Times New Roman"/>
          <w:kern w:val="0"/>
          <w:sz w:val="24"/>
          <w:highlight w:val="none"/>
          <w:u w:val="single"/>
        </w:rPr>
        <w:t xml:space="preserve"> （采购文件中明确的所属行业） </w:t>
      </w:r>
      <w:r>
        <w:rPr>
          <w:rFonts w:hint="default" w:ascii="Times New Roman" w:hAnsi="Times New Roman" w:eastAsia="仿宋_GB2312" w:cs="Times New Roman"/>
          <w:kern w:val="0"/>
          <w:sz w:val="24"/>
          <w:highlight w:val="none"/>
        </w:rPr>
        <w:t>；承建（承接）企业为</w:t>
      </w:r>
      <w:r>
        <w:rPr>
          <w:rFonts w:hint="default" w:ascii="Times New Roman" w:hAnsi="Times New Roman" w:eastAsia="仿宋_GB2312" w:cs="Times New Roman"/>
          <w:kern w:val="0"/>
          <w:sz w:val="24"/>
          <w:highlight w:val="none"/>
          <w:u w:val="single"/>
        </w:rPr>
        <w:t xml:space="preserve"> （企业名称） </w:t>
      </w:r>
      <w:r>
        <w:rPr>
          <w:rFonts w:hint="default" w:ascii="Times New Roman" w:hAnsi="Times New Roman" w:eastAsia="仿宋_GB2312" w:cs="Times New Roman"/>
          <w:kern w:val="0"/>
          <w:sz w:val="24"/>
          <w:highlight w:val="none"/>
        </w:rPr>
        <w:t>，从业人员</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人，营业收入为</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万元，资产总额为</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万元，属于</w:t>
      </w:r>
      <w:r>
        <w:rPr>
          <w:rFonts w:hint="default" w:ascii="Times New Roman" w:hAnsi="Times New Roman" w:eastAsia="仿宋_GB2312" w:cs="Times New Roman"/>
          <w:kern w:val="0"/>
          <w:sz w:val="24"/>
          <w:highlight w:val="none"/>
          <w:u w:val="single"/>
        </w:rPr>
        <w:t xml:space="preserve"> （中型企业、小型企业、微型企业） </w:t>
      </w:r>
      <w:r>
        <w:rPr>
          <w:rFonts w:hint="default" w:ascii="Times New Roman" w:hAnsi="Times New Roman" w:eastAsia="仿宋_GB2312" w:cs="Times New Roman"/>
          <w:kern w:val="0"/>
          <w:sz w:val="24"/>
          <w:highlight w:val="none"/>
        </w:rPr>
        <w:t>；</w:t>
      </w:r>
    </w:p>
    <w:p w14:paraId="65631608">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w:t>
      </w:r>
    </w:p>
    <w:p w14:paraId="5B8FA89D">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以上企业，不属于大企业的分支机构，不存在控股股东为大企业的情形，也不存在与大企业的负责人为同一人的情形。</w:t>
      </w:r>
    </w:p>
    <w:p w14:paraId="4D9197CD">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本企业对上述声明内容的真实性负责。如有虚假，将依法承担相应责任。</w:t>
      </w:r>
    </w:p>
    <w:p w14:paraId="27A1C8B9">
      <w:pPr>
        <w:shd w:val="clear"/>
        <w:spacing w:line="560" w:lineRule="exac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 xml:space="preserve">                                  </w:t>
      </w:r>
    </w:p>
    <w:p w14:paraId="26F7A3C8">
      <w:pPr>
        <w:shd w:val="clear"/>
        <w:spacing w:line="560" w:lineRule="exact"/>
        <w:ind w:firstLine="4320" w:firstLineChars="18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企业名称（盖章）：</w:t>
      </w:r>
    </w:p>
    <w:p w14:paraId="5C89C1EB">
      <w:pPr>
        <w:shd w:val="clear"/>
        <w:spacing w:line="560" w:lineRule="exact"/>
        <w:ind w:firstLine="4320" w:firstLineChars="18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日期：</w:t>
      </w:r>
    </w:p>
    <w:p w14:paraId="61E9B214">
      <w:pPr>
        <w:shd w:val="clear"/>
        <w:spacing w:line="560" w:lineRule="exact"/>
        <w:ind w:firstLine="5400" w:firstLineChars="1800"/>
        <w:rPr>
          <w:rFonts w:hint="default" w:ascii="Times New Roman" w:hAnsi="Times New Roman" w:eastAsia="仿宋_GB2312" w:cs="Times New Roman"/>
          <w:kern w:val="0"/>
          <w:sz w:val="30"/>
          <w:szCs w:val="30"/>
          <w:highlight w:val="none"/>
        </w:rPr>
      </w:pPr>
    </w:p>
    <w:p w14:paraId="43E77FC9">
      <w:pPr>
        <w:shd w:val="clear"/>
        <w:rPr>
          <w:rFonts w:hint="default" w:ascii="Times New Roman" w:hAnsi="Times New Roman" w:eastAsia="仿宋_GB2312" w:cs="Times New Roman"/>
          <w:kern w:val="0"/>
          <w:sz w:val="30"/>
          <w:szCs w:val="30"/>
          <w:highlight w:val="none"/>
          <w:u w:val="single"/>
        </w:rPr>
      </w:pPr>
      <w:r>
        <w:rPr>
          <w:rFonts w:hint="default" w:ascii="Times New Roman" w:hAnsi="Times New Roman" w:eastAsia="仿宋_GB2312" w:cs="Times New Roman"/>
          <w:kern w:val="0"/>
          <w:sz w:val="30"/>
          <w:szCs w:val="30"/>
          <w:highlight w:val="none"/>
        </w:rPr>
        <w:t xml:space="preserve"> </w:t>
      </w:r>
      <w:r>
        <w:rPr>
          <w:rFonts w:hint="default" w:ascii="Times New Roman" w:hAnsi="Times New Roman" w:eastAsia="仿宋_GB2312" w:cs="Times New Roman"/>
          <w:kern w:val="0"/>
          <w:sz w:val="30"/>
          <w:szCs w:val="30"/>
          <w:highlight w:val="none"/>
          <w:u w:val="single"/>
        </w:rPr>
        <w:t xml:space="preserve">                                                   </w:t>
      </w:r>
    </w:p>
    <w:p w14:paraId="12A05521">
      <w:pPr>
        <w:shd w:val="clear"/>
        <w:ind w:firstLine="105" w:firstLineChars="50"/>
        <w:rPr>
          <w:rFonts w:hint="default" w:ascii="Times New Roman" w:hAnsi="Times New Roman" w:eastAsia="仿宋_GB2312" w:cs="Times New Roman"/>
          <w:kern w:val="0"/>
          <w:szCs w:val="21"/>
          <w:highlight w:val="none"/>
        </w:rPr>
      </w:pPr>
      <w:r>
        <w:rPr>
          <w:rFonts w:hint="default" w:ascii="Times New Roman" w:hAnsi="Times New Roman" w:eastAsia="仿宋_GB2312" w:cs="Times New Roman"/>
          <w:kern w:val="0"/>
          <w:szCs w:val="21"/>
          <w:highlight w:val="none"/>
        </w:rPr>
        <w:t>（从业人员、营业收入、资产总额填报上一年度数据，无上一年度数据的新成立企业可不填报）</w:t>
      </w:r>
    </w:p>
    <w:p w14:paraId="09C29CC2">
      <w:pPr>
        <w:shd w:val="clea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741CF955">
      <w:pPr>
        <w:pStyle w:val="7"/>
        <w:shd w:val="clear"/>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监狱企业声明函</w:t>
      </w:r>
    </w:p>
    <w:p w14:paraId="21DAED56">
      <w:pPr>
        <w:shd w:val="clear"/>
        <w:spacing w:line="360" w:lineRule="auto"/>
        <w:rPr>
          <w:rFonts w:hint="eastAsia" w:ascii="仿宋" w:hAnsi="仿宋" w:eastAsia="仿宋" w:cs="仿宋"/>
          <w:b/>
          <w:color w:val="auto"/>
          <w:kern w:val="0"/>
          <w:sz w:val="24"/>
          <w:szCs w:val="20"/>
          <w:highlight w:val="none"/>
        </w:rPr>
      </w:pPr>
    </w:p>
    <w:p w14:paraId="181AB507">
      <w:pPr>
        <w:widowControl/>
        <w:shd w:val="clear"/>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本单位郑重声明下列事项（按照实际情况勾选或填空）：</w:t>
      </w:r>
    </w:p>
    <w:p w14:paraId="3E2E7DB2">
      <w:pPr>
        <w:widowControl/>
        <w:shd w:val="clear"/>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本单位为直接供应商，提供本单位制造的货物。</w:t>
      </w:r>
    </w:p>
    <w:p w14:paraId="326053ED">
      <w:pPr>
        <w:widowControl/>
        <w:shd w:val="clear"/>
        <w:spacing w:before="100" w:beforeAutospacing="1" w:after="100" w:afterAutospacing="1" w:line="360" w:lineRule="auto"/>
        <w:ind w:firstLine="360" w:firstLineChars="1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（请填写：是、不是）监狱企业。如果是，后附省级以上监狱管理局、戒毒管理局（含新疆生产建设兵团）出具的属于监狱企业的证明文件。</w:t>
      </w:r>
    </w:p>
    <w:p w14:paraId="32553623">
      <w:pPr>
        <w:widowControl/>
        <w:shd w:val="clear"/>
        <w:spacing w:before="100" w:beforeAutospacing="1" w:after="100" w:afterAutospacing="1" w:line="360" w:lineRule="auto"/>
        <w:ind w:firstLine="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50FD1BA7">
      <w:pPr>
        <w:widowControl/>
        <w:shd w:val="clear"/>
        <w:spacing w:before="100" w:beforeAutospacing="1" w:after="100" w:afterAutospacing="1"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本企业（单位）对上述声明的真实性负责。如有虚假，将依法承担相应责任。</w:t>
      </w:r>
    </w:p>
    <w:p w14:paraId="01E90715">
      <w:pPr>
        <w:widowControl/>
        <w:shd w:val="clear"/>
        <w:spacing w:before="100" w:beforeAutospacing="1" w:after="100" w:afterAutospacing="1" w:line="360" w:lineRule="auto"/>
        <w:jc w:val="left"/>
        <w:rPr>
          <w:rFonts w:hint="eastAsia" w:ascii="仿宋" w:hAnsi="仿宋" w:eastAsia="仿宋" w:cs="仿宋"/>
          <w:b/>
          <w:color w:val="auto"/>
          <w:kern w:val="0"/>
          <w:sz w:val="24"/>
          <w:szCs w:val="20"/>
          <w:highlight w:val="none"/>
        </w:rPr>
      </w:pPr>
      <w:r>
        <w:rPr>
          <w:rFonts w:hint="eastAsia" w:ascii="仿宋" w:hAnsi="仿宋" w:eastAsia="仿宋" w:cs="仿宋"/>
          <w:color w:val="auto"/>
          <w:kern w:val="0"/>
          <w:sz w:val="24"/>
          <w:highlight w:val="none"/>
        </w:rPr>
        <w:t>　</w:t>
      </w:r>
      <w:r>
        <w:rPr>
          <w:rFonts w:hint="eastAsia" w:ascii="仿宋" w:hAnsi="仿宋" w:eastAsia="仿宋" w:cs="仿宋"/>
          <w:b/>
          <w:color w:val="auto"/>
          <w:kern w:val="0"/>
          <w:sz w:val="24"/>
          <w:szCs w:val="20"/>
          <w:highlight w:val="none"/>
        </w:rPr>
        <w:t>　</w:t>
      </w:r>
    </w:p>
    <w:p w14:paraId="666D14EE">
      <w:pPr>
        <w:shd w:val="clea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供应商（盖公章）：</w:t>
      </w:r>
      <w:r>
        <w:rPr>
          <w:rFonts w:hint="eastAsia" w:ascii="仿宋" w:hAnsi="仿宋" w:eastAsia="仿宋" w:cs="仿宋"/>
          <w:color w:val="auto"/>
          <w:sz w:val="24"/>
          <w:highlight w:val="none"/>
          <w:u w:val="single"/>
        </w:rPr>
        <w:t xml:space="preserve">                       </w:t>
      </w:r>
    </w:p>
    <w:p w14:paraId="10C50F18">
      <w:pPr>
        <w:shd w:val="clea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4F0BB759">
      <w:pPr>
        <w:shd w:val="clea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585DCBBF">
      <w:pPr>
        <w:widowControl/>
        <w:shd w:val="clear"/>
        <w:spacing w:before="100" w:beforeAutospacing="1" w:after="100" w:afterAutospacing="1" w:line="360" w:lineRule="auto"/>
        <w:jc w:val="left"/>
        <w:rPr>
          <w:rFonts w:hint="eastAsia" w:ascii="仿宋" w:hAnsi="仿宋" w:eastAsia="仿宋" w:cs="仿宋"/>
          <w:color w:val="auto"/>
          <w:kern w:val="0"/>
          <w:sz w:val="24"/>
          <w:highlight w:val="none"/>
          <w:u w:val="single"/>
        </w:rPr>
      </w:pPr>
    </w:p>
    <w:p w14:paraId="4E209758">
      <w:pPr>
        <w:widowControl/>
        <w:shd w:val="clear"/>
        <w:spacing w:before="100" w:beforeAutospacing="1" w:after="100" w:afterAutospacing="1"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注：符合《关于政府采购支持监狱企业发展有关问题的通知》价格扣减条件的供应商须提交。需提供</w:t>
      </w:r>
      <w:r>
        <w:rPr>
          <w:rFonts w:hint="eastAsia" w:ascii="仿宋" w:hAnsi="仿宋" w:eastAsia="仿宋" w:cs="仿宋"/>
          <w:color w:val="auto"/>
          <w:sz w:val="24"/>
          <w:highlight w:val="none"/>
        </w:rPr>
        <w:t>省级以上监狱管理局、戒毒管理局（含新疆生产建设兵团）出具的属于监狱企业的证明文件。</w:t>
      </w:r>
    </w:p>
    <w:p w14:paraId="3CA410CE">
      <w:pPr>
        <w:shd w:val="clear"/>
        <w:rPr>
          <w:rFonts w:hint="eastAsia" w:ascii="仿宋" w:hAnsi="仿宋" w:eastAsia="仿宋" w:cs="仿宋"/>
          <w:color w:val="auto"/>
          <w:sz w:val="32"/>
          <w:szCs w:val="32"/>
          <w:highlight w:val="none"/>
        </w:rPr>
      </w:pPr>
    </w:p>
    <w:p w14:paraId="36681A43">
      <w:pPr>
        <w:pStyle w:val="7"/>
        <w:shd w:val="clear"/>
        <w:jc w:val="center"/>
        <w:rPr>
          <w:rFonts w:hint="eastAsia" w:ascii="仿宋" w:hAnsi="仿宋" w:eastAsia="仿宋" w:cs="仿宋"/>
          <w:b/>
          <w:color w:val="auto"/>
          <w:sz w:val="32"/>
          <w:szCs w:val="32"/>
          <w:highlight w:val="none"/>
        </w:rPr>
      </w:pPr>
      <w:bookmarkStart w:id="513" w:name="_Toc7005134"/>
      <w:r>
        <w:rPr>
          <w:rFonts w:hint="eastAsia" w:ascii="仿宋" w:hAnsi="仿宋" w:eastAsia="仿宋" w:cs="仿宋"/>
          <w:color w:val="auto"/>
          <w:sz w:val="32"/>
          <w:szCs w:val="32"/>
          <w:highlight w:val="none"/>
        </w:rPr>
        <w:br w:type="page"/>
      </w:r>
      <w:r>
        <w:rPr>
          <w:rFonts w:hint="eastAsia" w:ascii="仿宋" w:hAnsi="仿宋" w:eastAsia="仿宋" w:cs="仿宋"/>
          <w:b/>
          <w:bCs/>
          <w:color w:val="auto"/>
          <w:sz w:val="28"/>
          <w:szCs w:val="36"/>
          <w:highlight w:val="none"/>
        </w:rPr>
        <w:t>残疾人福利性单位声明函</w:t>
      </w:r>
      <w:bookmarkEnd w:id="513"/>
    </w:p>
    <w:p w14:paraId="41D881C1">
      <w:pPr>
        <w:shd w:val="clear"/>
        <w:spacing w:after="120"/>
        <w:rPr>
          <w:rFonts w:hint="eastAsia" w:ascii="仿宋" w:hAnsi="仿宋" w:eastAsia="仿宋" w:cs="仿宋"/>
          <w:color w:val="auto"/>
          <w:highlight w:val="none"/>
        </w:rPr>
      </w:pPr>
    </w:p>
    <w:p w14:paraId="407D0ED8">
      <w:pPr>
        <w:shd w:val="clea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（注：符合条件的残疾人福利性单位请提供本函，不符合的不提供本函）</w:t>
      </w:r>
    </w:p>
    <w:p w14:paraId="1F01D748">
      <w:pPr>
        <w:shd w:val="clear"/>
        <w:rPr>
          <w:rFonts w:hint="eastAsia" w:ascii="仿宋" w:hAnsi="仿宋" w:eastAsia="仿宋" w:cs="仿宋"/>
          <w:color w:val="auto"/>
          <w:sz w:val="24"/>
          <w:highlight w:val="none"/>
        </w:rPr>
      </w:pPr>
    </w:p>
    <w:p w14:paraId="7257241F">
      <w:pPr>
        <w:shd w:val="clear"/>
        <w:spacing w:line="360" w:lineRule="auto"/>
        <w:rPr>
          <w:rFonts w:hint="eastAsia" w:ascii="仿宋" w:hAnsi="仿宋" w:eastAsia="仿宋" w:cs="仿宋"/>
          <w:color w:val="auto"/>
          <w:sz w:val="24"/>
          <w:highlight w:val="none"/>
        </w:rPr>
      </w:pPr>
    </w:p>
    <w:p w14:paraId="78963EC1">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B025F9">
      <w:pPr>
        <w:shd w:val="clea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3785364">
      <w:pPr>
        <w:shd w:val="clear"/>
        <w:spacing w:line="360" w:lineRule="auto"/>
        <w:rPr>
          <w:rFonts w:hint="eastAsia" w:ascii="仿宋" w:hAnsi="仿宋" w:eastAsia="仿宋" w:cs="仿宋"/>
          <w:color w:val="auto"/>
          <w:sz w:val="24"/>
          <w:highlight w:val="none"/>
        </w:rPr>
      </w:pPr>
    </w:p>
    <w:p w14:paraId="7BD8BB88">
      <w:pPr>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63641C70">
      <w:pPr>
        <w:shd w:val="clear"/>
        <w:rPr>
          <w:rFonts w:hint="eastAsia" w:ascii="仿宋" w:hAnsi="仿宋" w:eastAsia="仿宋" w:cs="仿宋"/>
          <w:color w:val="auto"/>
          <w:sz w:val="24"/>
          <w:highlight w:val="none"/>
        </w:rPr>
      </w:pPr>
    </w:p>
    <w:p w14:paraId="219F2E70">
      <w:pPr>
        <w:shd w:val="clea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供应商（盖公章）：</w:t>
      </w:r>
      <w:r>
        <w:rPr>
          <w:rFonts w:hint="eastAsia" w:ascii="仿宋" w:hAnsi="仿宋" w:eastAsia="仿宋" w:cs="仿宋"/>
          <w:color w:val="auto"/>
          <w:sz w:val="24"/>
          <w:highlight w:val="none"/>
          <w:u w:val="single"/>
        </w:rPr>
        <w:t xml:space="preserve">                       </w:t>
      </w:r>
    </w:p>
    <w:p w14:paraId="02367B0D">
      <w:pPr>
        <w:shd w:val="clea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745DCA4F">
      <w:pPr>
        <w:shd w:val="clea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08C6E135">
      <w:pPr>
        <w:shd w:val="clear"/>
        <w:ind w:firstLine="3600" w:firstLineChars="1500"/>
        <w:rPr>
          <w:rFonts w:hint="eastAsia" w:ascii="仿宋" w:hAnsi="仿宋" w:eastAsia="仿宋" w:cs="仿宋"/>
          <w:color w:val="auto"/>
          <w:sz w:val="24"/>
          <w:highlight w:val="none"/>
        </w:rPr>
      </w:pPr>
    </w:p>
    <w:p w14:paraId="7957408E">
      <w:pPr>
        <w:shd w:val="clear"/>
        <w:rPr>
          <w:rFonts w:hint="eastAsia" w:ascii="仿宋" w:hAnsi="仿宋" w:eastAsia="仿宋" w:cs="仿宋"/>
          <w:color w:val="auto"/>
          <w:sz w:val="24"/>
          <w:highlight w:val="none"/>
        </w:rPr>
      </w:pPr>
    </w:p>
    <w:p w14:paraId="764E3A64">
      <w:pPr>
        <w:shd w:val="clear"/>
        <w:snapToGrid w:val="0"/>
        <w:spacing w:before="120" w:beforeLines="50"/>
        <w:jc w:val="center"/>
        <w:rPr>
          <w:rFonts w:hint="eastAsia" w:ascii="仿宋" w:hAnsi="仿宋" w:eastAsia="仿宋" w:cs="仿宋"/>
          <w:b/>
          <w:color w:val="auto"/>
          <w:sz w:val="24"/>
          <w:szCs w:val="21"/>
          <w:highlight w:val="none"/>
        </w:rPr>
      </w:pPr>
    </w:p>
    <w:p w14:paraId="48FD6FEA">
      <w:pPr>
        <w:widowControl/>
        <w:shd w:val="clea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56247F16">
      <w:pPr>
        <w:shd w:val="clear" w:color="auto"/>
        <w:autoSpaceDE w:val="0"/>
        <w:autoSpaceDN w:val="0"/>
        <w:adjustRightInd w:val="0"/>
        <w:snapToGrid w:val="0"/>
        <w:spacing w:line="360" w:lineRule="auto"/>
        <w:ind w:right="482" w:firstLine="161" w:firstLineChars="50"/>
        <w:jc w:val="center"/>
        <w:outlineLvl w:val="1"/>
        <w:rPr>
          <w:rStyle w:val="299"/>
          <w:rFonts w:hint="eastAsia" w:ascii="仿宋" w:hAnsi="仿宋" w:eastAsia="仿宋" w:cs="仿宋"/>
          <w:color w:val="auto"/>
          <w:highlight w:val="none"/>
        </w:rPr>
      </w:pPr>
      <w:bookmarkStart w:id="514" w:name="_Toc105438112"/>
      <w:bookmarkStart w:id="515" w:name="_Toc15845"/>
      <w:bookmarkStart w:id="516" w:name="_Toc9430"/>
      <w:bookmarkStart w:id="517" w:name="_Toc17082"/>
      <w:bookmarkStart w:id="518" w:name="_Toc30792"/>
      <w:bookmarkStart w:id="519" w:name="_Toc114840471"/>
      <w:bookmarkStart w:id="520" w:name="_Toc23814"/>
      <w:bookmarkStart w:id="521" w:name="_Toc29999"/>
      <w:r>
        <w:rPr>
          <w:rFonts w:hint="eastAsia" w:ascii="仿宋" w:hAnsi="仿宋" w:eastAsia="仿宋" w:cs="仿宋"/>
          <w:b/>
          <w:bCs/>
          <w:color w:val="auto"/>
          <w:sz w:val="32"/>
          <w:szCs w:val="32"/>
          <w:highlight w:val="none"/>
          <w:lang w:val="zh-CN"/>
        </w:rPr>
        <w:t xml:space="preserve">第五部分  </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lang w:val="zh-CN"/>
        </w:rPr>
        <w:t>参加政府采购活动承诺书</w:t>
      </w:r>
      <w:bookmarkEnd w:id="514"/>
      <w:bookmarkEnd w:id="515"/>
      <w:bookmarkEnd w:id="516"/>
      <w:bookmarkEnd w:id="517"/>
      <w:bookmarkEnd w:id="518"/>
      <w:bookmarkEnd w:id="519"/>
      <w:bookmarkEnd w:id="520"/>
      <w:bookmarkEnd w:id="521"/>
    </w:p>
    <w:p w14:paraId="70033934">
      <w:pPr>
        <w:pStyle w:val="7"/>
        <w:shd w:val="clear" w:color="auto"/>
        <w:ind w:firstLine="0" w:firstLineChars="0"/>
        <w:jc w:val="center"/>
        <w:rPr>
          <w:rFonts w:ascii="Times New Roman" w:hAnsi="Times New Roman" w:eastAsia="仿宋"/>
          <w:b/>
          <w:bCs/>
          <w:color w:val="auto"/>
          <w:sz w:val="32"/>
          <w:szCs w:val="32"/>
          <w:highlight w:val="none"/>
        </w:rPr>
      </w:pPr>
      <w:bookmarkStart w:id="522" w:name="_Toc142559905"/>
      <w:bookmarkStart w:id="523" w:name="_Toc114840473"/>
      <w:bookmarkStart w:id="524" w:name="_Toc17892"/>
      <w:bookmarkStart w:id="525" w:name="_Toc16244"/>
      <w:bookmarkStart w:id="526" w:name="_Toc105505638"/>
      <w:r>
        <w:rPr>
          <w:rFonts w:ascii="Times New Roman" w:hAnsi="Times New Roman" w:eastAsia="仿宋"/>
          <w:b/>
          <w:bCs/>
          <w:color w:val="auto"/>
          <w:sz w:val="32"/>
          <w:szCs w:val="32"/>
          <w:highlight w:val="none"/>
        </w:rPr>
        <w:t>参加政府采购活动行为自律承诺书</w:t>
      </w:r>
      <w:bookmarkEnd w:id="522"/>
      <w:bookmarkEnd w:id="523"/>
      <w:bookmarkEnd w:id="524"/>
      <w:bookmarkEnd w:id="525"/>
      <w:bookmarkEnd w:id="526"/>
    </w:p>
    <w:p w14:paraId="095697EC">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作为参加本次政府采购项目的投标人，我方郑重承诺在参与政府采购活动中遵纪守法、公平竞争、诚实守信，如有违反愿承担一切责任及后果：</w:t>
      </w:r>
    </w:p>
    <w:p w14:paraId="7B5168BD">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1．不与采购人、采购代理机构、政府采购评审专家恶意串通，不向其行贿或提供其他不正当利益；</w:t>
      </w:r>
    </w:p>
    <w:p w14:paraId="2B6D7DA7">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2．不与其他投标人恶意串通，采取“围标、串标、陪标”等商业欺诈手段谋取中标、成交；</w:t>
      </w:r>
    </w:p>
    <w:p w14:paraId="056B297E">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3．不提供虚假或无效证明文件（包括但不限于资格证明文件、合同及验收文件、检验检测报告、从业人员资格证书、机构或所投产品的各类认证证书等）或虚假材料谋取中标、成交；</w:t>
      </w:r>
    </w:p>
    <w:p w14:paraId="3F194D69">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4．不采取不正当手段诋毁、排挤其他投标人；</w:t>
      </w:r>
    </w:p>
    <w:p w14:paraId="7DF1BE5F">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5．不以不正当理由拒不与采购人签订政府采购合同，或逾期签订政府采购合同，或不按照采购文件确定的事项签订政府采购合同；</w:t>
      </w:r>
    </w:p>
    <w:p w14:paraId="310ADE64">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6．不以不正当理由拒绝履行合同义务，不会擅自变更、中止或者终止政府采购合同或将政府采购合同转包；</w:t>
      </w:r>
    </w:p>
    <w:p w14:paraId="5E5A5E0C">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7．不在提供商品、服务实施过程中提供假冒伪劣产品，损害采购人的合法权益或公共利益；</w:t>
      </w:r>
    </w:p>
    <w:p w14:paraId="539B4C9F">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8．不采取捏造事实、提供虚假材料或者以非法手段取得证明材料进行质疑和投诉；</w:t>
      </w:r>
    </w:p>
    <w:p w14:paraId="4C52C44F">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9．不发生其他有悖于政府采购公开、公平、公正和诚信原则的行为。</w:t>
      </w:r>
    </w:p>
    <w:p w14:paraId="2A1E591F">
      <w:pPr>
        <w:shd w:val="clear" w:color="auto"/>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10．尊重和接受政府采购监督管理部门的监督和采购人、采购代理机构的政府采购工作要求，愿意承担因违约行为给采购人造成的损失。</w:t>
      </w:r>
    </w:p>
    <w:p w14:paraId="2A867B2F">
      <w:pPr>
        <w:shd w:val="clear" w:color="auto"/>
        <w:spacing w:line="560" w:lineRule="exact"/>
        <w:ind w:firstLine="3376" w:firstLineChars="1407"/>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供应商：（供应商全称并加盖公章）</w:t>
      </w:r>
    </w:p>
    <w:p w14:paraId="1D13A389">
      <w:pPr>
        <w:shd w:val="clear" w:color="auto"/>
        <w:spacing w:line="560" w:lineRule="exact"/>
        <w:ind w:firstLine="3376" w:firstLineChars="1407"/>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12E6F79A">
      <w:pPr>
        <w:shd w:val="clear"/>
        <w:spacing w:after="120"/>
        <w:rPr>
          <w:rFonts w:hint="eastAsia" w:ascii="仿宋" w:hAnsi="仿宋" w:eastAsia="仿宋" w:cs="仿宋"/>
          <w:b/>
          <w:color w:val="auto"/>
          <w:sz w:val="24"/>
          <w:highlight w:val="none"/>
        </w:rPr>
      </w:pPr>
    </w:p>
    <w:p w14:paraId="28ABF8CB">
      <w:pPr>
        <w:pStyle w:val="50"/>
        <w:numPr>
          <w:ilvl w:val="0"/>
          <w:numId w:val="0"/>
        </w:numPr>
        <w:shd w:val="clear"/>
        <w:ind w:left="0" w:leftChars="0" w:firstLine="0" w:firstLineChars="0"/>
        <w:jc w:val="center"/>
        <w:rPr>
          <w:rStyle w:val="299"/>
          <w:rFonts w:hint="eastAsia" w:ascii="仿宋" w:hAnsi="仿宋" w:eastAsia="仿宋" w:cs="仿宋"/>
          <w:color w:val="auto"/>
          <w:szCs w:val="30"/>
          <w:highlight w:val="none"/>
        </w:rPr>
      </w:pPr>
      <w:bookmarkStart w:id="527" w:name="_Toc105438113"/>
      <w:bookmarkStart w:id="528" w:name="_Toc18250"/>
      <w:bookmarkStart w:id="529" w:name="_Toc26711"/>
      <w:bookmarkStart w:id="530" w:name="_Toc114840474"/>
      <w:r>
        <w:rPr>
          <w:rFonts w:hint="eastAsia" w:ascii="仿宋" w:hAnsi="仿宋" w:eastAsia="仿宋" w:cs="仿宋"/>
          <w:b/>
          <w:bCs/>
          <w:color w:val="auto"/>
          <w:kern w:val="2"/>
          <w:sz w:val="32"/>
          <w:szCs w:val="30"/>
          <w:highlight w:val="none"/>
          <w:lang w:val="en-US" w:eastAsia="zh-CN" w:bidi="ar-SA"/>
        </w:rPr>
        <w:t>第六部分</w:t>
      </w:r>
      <w:r>
        <w:rPr>
          <w:rStyle w:val="299"/>
          <w:rFonts w:hint="eastAsia" w:ascii="仿宋" w:hAnsi="仿宋" w:eastAsia="仿宋" w:cs="仿宋"/>
          <w:color w:val="auto"/>
          <w:szCs w:val="30"/>
          <w:highlight w:val="none"/>
        </w:rPr>
        <w:t xml:space="preserve"> </w:t>
      </w:r>
      <w:r>
        <w:rPr>
          <w:rStyle w:val="299"/>
          <w:rFonts w:hint="eastAsia" w:ascii="仿宋" w:hAnsi="仿宋" w:eastAsia="仿宋" w:cs="仿宋"/>
          <w:color w:val="auto"/>
          <w:szCs w:val="30"/>
          <w:highlight w:val="none"/>
          <w:lang w:val="en-US" w:eastAsia="zh-CN"/>
        </w:rPr>
        <w:t>响应</w:t>
      </w:r>
      <w:r>
        <w:rPr>
          <w:rStyle w:val="299"/>
          <w:rFonts w:hint="eastAsia" w:ascii="仿宋" w:hAnsi="仿宋" w:eastAsia="仿宋" w:cs="仿宋"/>
          <w:color w:val="auto"/>
          <w:szCs w:val="30"/>
          <w:highlight w:val="none"/>
        </w:rPr>
        <w:t>方案</w:t>
      </w:r>
      <w:bookmarkEnd w:id="527"/>
      <w:bookmarkEnd w:id="528"/>
      <w:bookmarkEnd w:id="529"/>
      <w:bookmarkEnd w:id="530"/>
    </w:p>
    <w:p w14:paraId="1BC62D90">
      <w:pPr>
        <w:pStyle w:val="7"/>
        <w:shd w:val="clear"/>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商务、合同条款偏离表</w:t>
      </w:r>
    </w:p>
    <w:p w14:paraId="2EF2531F">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p w14:paraId="0204BBF0">
      <w:pPr>
        <w:pStyle w:val="2"/>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4AC9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62148213">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835" w:type="dxa"/>
          </w:tcPr>
          <w:p w14:paraId="504CCBDA">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磋商文件商务、合同条款</w:t>
            </w:r>
          </w:p>
        </w:tc>
        <w:tc>
          <w:tcPr>
            <w:tcW w:w="1701" w:type="dxa"/>
          </w:tcPr>
          <w:p w14:paraId="2C860D9E">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完全响应</w:t>
            </w:r>
          </w:p>
        </w:tc>
        <w:tc>
          <w:tcPr>
            <w:tcW w:w="1417" w:type="dxa"/>
          </w:tcPr>
          <w:p w14:paraId="63A8D3C9">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有偏离</w:t>
            </w:r>
          </w:p>
        </w:tc>
        <w:tc>
          <w:tcPr>
            <w:tcW w:w="2195" w:type="dxa"/>
          </w:tcPr>
          <w:p w14:paraId="29B67A16">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偏离简述</w:t>
            </w:r>
          </w:p>
        </w:tc>
      </w:tr>
      <w:tr w14:paraId="1A6D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2AF45CA">
            <w:pPr>
              <w:pStyle w:val="29"/>
              <w:shd w:val="clear"/>
              <w:jc w:val="center"/>
              <w:rPr>
                <w:rFonts w:hint="eastAsia" w:ascii="仿宋" w:hAnsi="仿宋" w:eastAsia="仿宋" w:cs="仿宋"/>
                <w:color w:val="auto"/>
                <w:sz w:val="24"/>
                <w:szCs w:val="24"/>
                <w:highlight w:val="none"/>
              </w:rPr>
            </w:pPr>
          </w:p>
        </w:tc>
        <w:tc>
          <w:tcPr>
            <w:tcW w:w="2835" w:type="dxa"/>
            <w:vAlign w:val="top"/>
          </w:tcPr>
          <w:p w14:paraId="30D6D9B1">
            <w:pPr>
              <w:pStyle w:val="29"/>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建设</w:t>
            </w:r>
            <w:r>
              <w:rPr>
                <w:rFonts w:hint="eastAsia" w:ascii="仿宋" w:hAnsi="仿宋" w:eastAsia="仿宋" w:cs="仿宋"/>
                <w:color w:val="auto"/>
                <w:sz w:val="24"/>
                <w:szCs w:val="24"/>
                <w:highlight w:val="none"/>
              </w:rPr>
              <w:t>地点）</w:t>
            </w:r>
          </w:p>
        </w:tc>
        <w:tc>
          <w:tcPr>
            <w:tcW w:w="1701" w:type="dxa"/>
          </w:tcPr>
          <w:p w14:paraId="16DBA33E">
            <w:pPr>
              <w:pStyle w:val="29"/>
              <w:shd w:val="clear"/>
              <w:jc w:val="center"/>
              <w:rPr>
                <w:rFonts w:hint="eastAsia" w:ascii="仿宋" w:hAnsi="仿宋" w:eastAsia="仿宋" w:cs="仿宋"/>
                <w:color w:val="auto"/>
                <w:sz w:val="24"/>
                <w:szCs w:val="24"/>
                <w:highlight w:val="none"/>
              </w:rPr>
            </w:pPr>
          </w:p>
        </w:tc>
        <w:tc>
          <w:tcPr>
            <w:tcW w:w="1417" w:type="dxa"/>
          </w:tcPr>
          <w:p w14:paraId="4EA06BFF">
            <w:pPr>
              <w:pStyle w:val="29"/>
              <w:shd w:val="clear"/>
              <w:jc w:val="center"/>
              <w:rPr>
                <w:rFonts w:hint="eastAsia" w:ascii="仿宋" w:hAnsi="仿宋" w:eastAsia="仿宋" w:cs="仿宋"/>
                <w:color w:val="auto"/>
                <w:sz w:val="24"/>
                <w:szCs w:val="24"/>
                <w:highlight w:val="none"/>
              </w:rPr>
            </w:pPr>
          </w:p>
        </w:tc>
        <w:tc>
          <w:tcPr>
            <w:tcW w:w="2195" w:type="dxa"/>
          </w:tcPr>
          <w:p w14:paraId="1ED6C539">
            <w:pPr>
              <w:pStyle w:val="29"/>
              <w:shd w:val="clear"/>
              <w:jc w:val="center"/>
              <w:rPr>
                <w:rFonts w:hint="eastAsia" w:ascii="仿宋" w:hAnsi="仿宋" w:eastAsia="仿宋" w:cs="仿宋"/>
                <w:color w:val="auto"/>
                <w:sz w:val="24"/>
                <w:szCs w:val="24"/>
                <w:highlight w:val="none"/>
              </w:rPr>
            </w:pPr>
          </w:p>
        </w:tc>
      </w:tr>
      <w:tr w14:paraId="6699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8AEE19C">
            <w:pPr>
              <w:pStyle w:val="29"/>
              <w:shd w:val="clear"/>
              <w:ind w:left="1080" w:leftChars="257" w:hanging="540"/>
              <w:rPr>
                <w:rFonts w:hint="eastAsia" w:ascii="仿宋" w:hAnsi="仿宋" w:eastAsia="仿宋" w:cs="仿宋"/>
                <w:color w:val="auto"/>
                <w:sz w:val="24"/>
                <w:szCs w:val="24"/>
                <w:highlight w:val="none"/>
              </w:rPr>
            </w:pPr>
          </w:p>
        </w:tc>
        <w:tc>
          <w:tcPr>
            <w:tcW w:w="2835" w:type="dxa"/>
            <w:vAlign w:val="center"/>
          </w:tcPr>
          <w:p w14:paraId="428C8BBB">
            <w:pPr>
              <w:shd w:val="clea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w:t>
            </w:r>
            <w:r>
              <w:rPr>
                <w:rFonts w:hint="eastAsia" w:ascii="仿宋" w:hAnsi="仿宋" w:eastAsia="仿宋" w:cs="仿宋"/>
                <w:color w:val="auto"/>
                <w:sz w:val="24"/>
                <w:szCs w:val="24"/>
                <w:highlight w:val="none"/>
                <w:lang w:val="en-US" w:eastAsia="zh-CN"/>
              </w:rPr>
              <w:t>工期</w:t>
            </w:r>
            <w:r>
              <w:rPr>
                <w:rFonts w:hint="eastAsia" w:ascii="仿宋" w:hAnsi="仿宋" w:eastAsia="仿宋" w:cs="仿宋"/>
                <w:bCs/>
                <w:color w:val="auto"/>
                <w:sz w:val="24"/>
                <w:highlight w:val="none"/>
              </w:rPr>
              <w:t>）</w:t>
            </w:r>
          </w:p>
        </w:tc>
        <w:tc>
          <w:tcPr>
            <w:tcW w:w="1701" w:type="dxa"/>
          </w:tcPr>
          <w:p w14:paraId="44F8ABA7">
            <w:pPr>
              <w:pStyle w:val="29"/>
              <w:shd w:val="clear"/>
              <w:ind w:left="1080" w:leftChars="257" w:hanging="540"/>
              <w:jc w:val="center"/>
              <w:rPr>
                <w:rFonts w:hint="eastAsia" w:ascii="仿宋" w:hAnsi="仿宋" w:eastAsia="仿宋" w:cs="仿宋"/>
                <w:color w:val="auto"/>
                <w:sz w:val="24"/>
                <w:szCs w:val="24"/>
                <w:highlight w:val="none"/>
              </w:rPr>
            </w:pPr>
          </w:p>
        </w:tc>
        <w:tc>
          <w:tcPr>
            <w:tcW w:w="1417" w:type="dxa"/>
          </w:tcPr>
          <w:p w14:paraId="329F548C">
            <w:pPr>
              <w:pStyle w:val="29"/>
              <w:shd w:val="clear"/>
              <w:ind w:left="1080" w:leftChars="257" w:hanging="540"/>
              <w:jc w:val="center"/>
              <w:rPr>
                <w:rFonts w:hint="eastAsia" w:ascii="仿宋" w:hAnsi="仿宋" w:eastAsia="仿宋" w:cs="仿宋"/>
                <w:color w:val="auto"/>
                <w:sz w:val="24"/>
                <w:szCs w:val="24"/>
                <w:highlight w:val="none"/>
              </w:rPr>
            </w:pPr>
          </w:p>
        </w:tc>
        <w:tc>
          <w:tcPr>
            <w:tcW w:w="2195" w:type="dxa"/>
          </w:tcPr>
          <w:p w14:paraId="66F45BC2">
            <w:pPr>
              <w:pStyle w:val="29"/>
              <w:shd w:val="clear"/>
              <w:ind w:left="1080" w:leftChars="257" w:hanging="540"/>
              <w:rPr>
                <w:rFonts w:hint="eastAsia" w:ascii="仿宋" w:hAnsi="仿宋" w:eastAsia="仿宋" w:cs="仿宋"/>
                <w:color w:val="auto"/>
                <w:sz w:val="24"/>
                <w:szCs w:val="24"/>
                <w:highlight w:val="none"/>
              </w:rPr>
            </w:pPr>
          </w:p>
        </w:tc>
      </w:tr>
      <w:tr w14:paraId="7FDD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06BE3F0">
            <w:pPr>
              <w:pStyle w:val="29"/>
              <w:shd w:val="clear"/>
              <w:ind w:left="1080" w:leftChars="257" w:hanging="540"/>
              <w:rPr>
                <w:rFonts w:hint="eastAsia" w:ascii="仿宋" w:hAnsi="仿宋" w:eastAsia="仿宋" w:cs="仿宋"/>
                <w:color w:val="auto"/>
                <w:sz w:val="24"/>
                <w:szCs w:val="24"/>
                <w:highlight w:val="none"/>
              </w:rPr>
            </w:pPr>
          </w:p>
        </w:tc>
        <w:tc>
          <w:tcPr>
            <w:tcW w:w="2835" w:type="dxa"/>
            <w:vAlign w:val="center"/>
          </w:tcPr>
          <w:p w14:paraId="4368E98A">
            <w:pPr>
              <w:shd w:val="clea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（付款</w:t>
            </w:r>
            <w:r>
              <w:rPr>
                <w:rFonts w:hint="eastAsia" w:ascii="仿宋" w:hAnsi="仿宋" w:eastAsia="仿宋" w:cs="仿宋"/>
                <w:bCs/>
                <w:color w:val="auto"/>
                <w:sz w:val="24"/>
                <w:highlight w:val="none"/>
                <w:lang w:val="en-US" w:eastAsia="zh-CN"/>
              </w:rPr>
              <w:t>比例</w:t>
            </w:r>
            <w:r>
              <w:rPr>
                <w:rFonts w:hint="eastAsia" w:ascii="仿宋" w:hAnsi="仿宋" w:eastAsia="仿宋" w:cs="仿宋"/>
                <w:bCs/>
                <w:color w:val="auto"/>
                <w:sz w:val="24"/>
                <w:highlight w:val="none"/>
              </w:rPr>
              <w:t>）</w:t>
            </w:r>
          </w:p>
        </w:tc>
        <w:tc>
          <w:tcPr>
            <w:tcW w:w="1701" w:type="dxa"/>
          </w:tcPr>
          <w:p w14:paraId="6D0CCBDB">
            <w:pPr>
              <w:pStyle w:val="29"/>
              <w:shd w:val="clear"/>
              <w:ind w:left="1080" w:leftChars="257" w:hanging="540"/>
              <w:rPr>
                <w:rFonts w:hint="eastAsia" w:ascii="仿宋" w:hAnsi="仿宋" w:eastAsia="仿宋" w:cs="仿宋"/>
                <w:color w:val="auto"/>
                <w:sz w:val="24"/>
                <w:szCs w:val="24"/>
                <w:highlight w:val="none"/>
              </w:rPr>
            </w:pPr>
          </w:p>
        </w:tc>
        <w:tc>
          <w:tcPr>
            <w:tcW w:w="1417" w:type="dxa"/>
          </w:tcPr>
          <w:p w14:paraId="0E0A4D93">
            <w:pPr>
              <w:pStyle w:val="29"/>
              <w:shd w:val="clear"/>
              <w:ind w:left="1080" w:leftChars="257" w:hanging="540"/>
              <w:rPr>
                <w:rFonts w:hint="eastAsia" w:ascii="仿宋" w:hAnsi="仿宋" w:eastAsia="仿宋" w:cs="仿宋"/>
                <w:color w:val="auto"/>
                <w:sz w:val="24"/>
                <w:szCs w:val="24"/>
                <w:highlight w:val="none"/>
              </w:rPr>
            </w:pPr>
          </w:p>
        </w:tc>
        <w:tc>
          <w:tcPr>
            <w:tcW w:w="2195" w:type="dxa"/>
          </w:tcPr>
          <w:p w14:paraId="4D4B6196">
            <w:pPr>
              <w:pStyle w:val="29"/>
              <w:shd w:val="clear"/>
              <w:ind w:left="1080" w:leftChars="257" w:hanging="540"/>
              <w:rPr>
                <w:rFonts w:hint="eastAsia" w:ascii="仿宋" w:hAnsi="仿宋" w:eastAsia="仿宋" w:cs="仿宋"/>
                <w:color w:val="auto"/>
                <w:sz w:val="24"/>
                <w:szCs w:val="24"/>
                <w:highlight w:val="none"/>
              </w:rPr>
            </w:pPr>
          </w:p>
        </w:tc>
      </w:tr>
      <w:tr w14:paraId="6255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F7786ED">
            <w:pPr>
              <w:pStyle w:val="29"/>
              <w:shd w:val="clear"/>
              <w:ind w:left="1080" w:leftChars="257" w:hanging="540"/>
              <w:rPr>
                <w:rFonts w:hint="eastAsia" w:ascii="仿宋" w:hAnsi="仿宋" w:eastAsia="仿宋" w:cs="仿宋"/>
                <w:color w:val="auto"/>
                <w:sz w:val="24"/>
                <w:szCs w:val="24"/>
                <w:highlight w:val="none"/>
              </w:rPr>
            </w:pPr>
          </w:p>
        </w:tc>
        <w:tc>
          <w:tcPr>
            <w:tcW w:w="2835" w:type="dxa"/>
            <w:vAlign w:val="center"/>
          </w:tcPr>
          <w:p w14:paraId="0F2AF866">
            <w:pPr>
              <w:spacing w:line="360" w:lineRule="auto"/>
              <w:jc w:val="center"/>
              <w:rPr>
                <w:rFonts w:hint="default" w:ascii="仿宋" w:hAnsi="仿宋" w:eastAsia="仿宋" w:cs="仿宋"/>
                <w:bCs/>
                <w:color w:val="auto"/>
                <w:sz w:val="24"/>
                <w:highlight w:val="none"/>
                <w:lang w:val="en-US" w:eastAsia="zh-CN"/>
              </w:rPr>
            </w:pPr>
            <w:r>
              <w:rPr>
                <w:rFonts w:hint="eastAsia" w:eastAsia="仿宋_GB2312" w:cs="Times New Roman"/>
                <w:bCs/>
                <w:sz w:val="24"/>
                <w:lang w:val="en-US" w:eastAsia="zh-CN"/>
              </w:rPr>
              <w:t>质保期</w:t>
            </w:r>
          </w:p>
        </w:tc>
        <w:tc>
          <w:tcPr>
            <w:tcW w:w="1701" w:type="dxa"/>
          </w:tcPr>
          <w:p w14:paraId="401E570D">
            <w:pPr>
              <w:pStyle w:val="29"/>
              <w:shd w:val="clear"/>
              <w:ind w:left="1080" w:leftChars="257" w:hanging="540"/>
              <w:rPr>
                <w:rFonts w:hint="eastAsia" w:ascii="仿宋" w:hAnsi="仿宋" w:eastAsia="仿宋" w:cs="仿宋"/>
                <w:color w:val="auto"/>
                <w:sz w:val="24"/>
                <w:szCs w:val="24"/>
                <w:highlight w:val="none"/>
              </w:rPr>
            </w:pPr>
          </w:p>
        </w:tc>
        <w:tc>
          <w:tcPr>
            <w:tcW w:w="1417" w:type="dxa"/>
          </w:tcPr>
          <w:p w14:paraId="71DFE2A4">
            <w:pPr>
              <w:pStyle w:val="29"/>
              <w:shd w:val="clear"/>
              <w:ind w:left="1080" w:leftChars="257" w:hanging="540"/>
              <w:rPr>
                <w:rFonts w:hint="eastAsia" w:ascii="仿宋" w:hAnsi="仿宋" w:eastAsia="仿宋" w:cs="仿宋"/>
                <w:color w:val="auto"/>
                <w:sz w:val="24"/>
                <w:szCs w:val="24"/>
                <w:highlight w:val="none"/>
              </w:rPr>
            </w:pPr>
          </w:p>
        </w:tc>
        <w:tc>
          <w:tcPr>
            <w:tcW w:w="2195" w:type="dxa"/>
          </w:tcPr>
          <w:p w14:paraId="182E4A8E">
            <w:pPr>
              <w:pStyle w:val="29"/>
              <w:shd w:val="clear"/>
              <w:ind w:left="1080" w:leftChars="257" w:hanging="540"/>
              <w:rPr>
                <w:rFonts w:hint="eastAsia" w:ascii="仿宋" w:hAnsi="仿宋" w:eastAsia="仿宋" w:cs="仿宋"/>
                <w:color w:val="auto"/>
                <w:sz w:val="24"/>
                <w:szCs w:val="24"/>
                <w:highlight w:val="none"/>
              </w:rPr>
            </w:pPr>
          </w:p>
        </w:tc>
      </w:tr>
      <w:tr w14:paraId="5691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8E8EDEF">
            <w:pPr>
              <w:pStyle w:val="29"/>
              <w:shd w:val="clear"/>
              <w:ind w:left="1080" w:leftChars="257" w:hanging="540"/>
              <w:rPr>
                <w:rFonts w:hint="eastAsia" w:ascii="仿宋" w:hAnsi="仿宋" w:eastAsia="仿宋" w:cs="仿宋"/>
                <w:color w:val="auto"/>
                <w:sz w:val="24"/>
                <w:szCs w:val="24"/>
                <w:highlight w:val="none"/>
              </w:rPr>
            </w:pPr>
          </w:p>
        </w:tc>
        <w:tc>
          <w:tcPr>
            <w:tcW w:w="2835" w:type="dxa"/>
            <w:vAlign w:val="center"/>
          </w:tcPr>
          <w:p w14:paraId="0145E1FB">
            <w:pPr>
              <w:shd w:val="clear"/>
              <w:spacing w:line="360" w:lineRule="auto"/>
              <w:jc w:val="center"/>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w:t>
            </w:r>
          </w:p>
        </w:tc>
        <w:tc>
          <w:tcPr>
            <w:tcW w:w="1701" w:type="dxa"/>
          </w:tcPr>
          <w:p w14:paraId="657755F3">
            <w:pPr>
              <w:pStyle w:val="29"/>
              <w:shd w:val="clear"/>
              <w:ind w:left="1080" w:leftChars="257" w:hanging="540"/>
              <w:rPr>
                <w:rFonts w:hint="eastAsia" w:ascii="仿宋" w:hAnsi="仿宋" w:eastAsia="仿宋" w:cs="仿宋"/>
                <w:color w:val="auto"/>
                <w:sz w:val="24"/>
                <w:szCs w:val="24"/>
                <w:highlight w:val="none"/>
              </w:rPr>
            </w:pPr>
          </w:p>
        </w:tc>
        <w:tc>
          <w:tcPr>
            <w:tcW w:w="1417" w:type="dxa"/>
          </w:tcPr>
          <w:p w14:paraId="2C5855C6">
            <w:pPr>
              <w:pStyle w:val="29"/>
              <w:shd w:val="clear"/>
              <w:ind w:left="1080" w:leftChars="257" w:hanging="540"/>
              <w:rPr>
                <w:rFonts w:hint="eastAsia" w:ascii="仿宋" w:hAnsi="仿宋" w:eastAsia="仿宋" w:cs="仿宋"/>
                <w:color w:val="auto"/>
                <w:sz w:val="24"/>
                <w:szCs w:val="24"/>
                <w:highlight w:val="none"/>
              </w:rPr>
            </w:pPr>
          </w:p>
        </w:tc>
        <w:tc>
          <w:tcPr>
            <w:tcW w:w="2195" w:type="dxa"/>
          </w:tcPr>
          <w:p w14:paraId="668F6663">
            <w:pPr>
              <w:pStyle w:val="29"/>
              <w:shd w:val="clear"/>
              <w:ind w:left="1080" w:leftChars="257" w:hanging="540"/>
              <w:rPr>
                <w:rFonts w:hint="eastAsia" w:ascii="仿宋" w:hAnsi="仿宋" w:eastAsia="仿宋" w:cs="仿宋"/>
                <w:color w:val="auto"/>
                <w:sz w:val="24"/>
                <w:szCs w:val="24"/>
                <w:highlight w:val="none"/>
              </w:rPr>
            </w:pPr>
          </w:p>
        </w:tc>
      </w:tr>
      <w:tr w14:paraId="1B29E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DD54B5C">
            <w:pPr>
              <w:pStyle w:val="29"/>
              <w:shd w:val="clear"/>
              <w:ind w:left="1080" w:leftChars="257" w:hanging="540"/>
              <w:rPr>
                <w:rFonts w:hint="eastAsia" w:ascii="仿宋" w:hAnsi="仿宋" w:eastAsia="仿宋" w:cs="仿宋"/>
                <w:color w:val="auto"/>
                <w:sz w:val="24"/>
                <w:szCs w:val="24"/>
                <w:highlight w:val="none"/>
              </w:rPr>
            </w:pPr>
          </w:p>
        </w:tc>
        <w:tc>
          <w:tcPr>
            <w:tcW w:w="2835" w:type="dxa"/>
          </w:tcPr>
          <w:p w14:paraId="34EAE9FD">
            <w:pPr>
              <w:pStyle w:val="29"/>
              <w:shd w:val="clear"/>
              <w:ind w:left="1080" w:leftChars="257" w:hanging="540"/>
              <w:rPr>
                <w:rFonts w:hint="eastAsia" w:ascii="仿宋" w:hAnsi="仿宋" w:eastAsia="仿宋" w:cs="仿宋"/>
                <w:color w:val="auto"/>
                <w:sz w:val="24"/>
                <w:szCs w:val="24"/>
                <w:highlight w:val="none"/>
              </w:rPr>
            </w:pPr>
          </w:p>
        </w:tc>
        <w:tc>
          <w:tcPr>
            <w:tcW w:w="1701" w:type="dxa"/>
          </w:tcPr>
          <w:p w14:paraId="25D8305A">
            <w:pPr>
              <w:pStyle w:val="29"/>
              <w:shd w:val="clear"/>
              <w:ind w:left="1080" w:leftChars="257" w:hanging="540"/>
              <w:rPr>
                <w:rFonts w:hint="eastAsia" w:ascii="仿宋" w:hAnsi="仿宋" w:eastAsia="仿宋" w:cs="仿宋"/>
                <w:color w:val="auto"/>
                <w:sz w:val="24"/>
                <w:szCs w:val="24"/>
                <w:highlight w:val="none"/>
              </w:rPr>
            </w:pPr>
          </w:p>
        </w:tc>
        <w:tc>
          <w:tcPr>
            <w:tcW w:w="1417" w:type="dxa"/>
          </w:tcPr>
          <w:p w14:paraId="09263664">
            <w:pPr>
              <w:pStyle w:val="29"/>
              <w:shd w:val="clear"/>
              <w:ind w:left="1080" w:leftChars="257" w:hanging="540"/>
              <w:rPr>
                <w:rFonts w:hint="eastAsia" w:ascii="仿宋" w:hAnsi="仿宋" w:eastAsia="仿宋" w:cs="仿宋"/>
                <w:color w:val="auto"/>
                <w:sz w:val="24"/>
                <w:szCs w:val="24"/>
                <w:highlight w:val="none"/>
              </w:rPr>
            </w:pPr>
          </w:p>
        </w:tc>
        <w:tc>
          <w:tcPr>
            <w:tcW w:w="2195" w:type="dxa"/>
          </w:tcPr>
          <w:p w14:paraId="2213DA6E">
            <w:pPr>
              <w:pStyle w:val="29"/>
              <w:shd w:val="clear"/>
              <w:ind w:left="1080" w:leftChars="257" w:hanging="540"/>
              <w:rPr>
                <w:rFonts w:hint="eastAsia" w:ascii="仿宋" w:hAnsi="仿宋" w:eastAsia="仿宋" w:cs="仿宋"/>
                <w:color w:val="auto"/>
                <w:sz w:val="24"/>
                <w:szCs w:val="24"/>
                <w:highlight w:val="none"/>
              </w:rPr>
            </w:pPr>
          </w:p>
        </w:tc>
      </w:tr>
      <w:tr w14:paraId="4D8E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60627FD">
            <w:pPr>
              <w:pStyle w:val="29"/>
              <w:shd w:val="clear"/>
              <w:ind w:left="1080" w:leftChars="257" w:hanging="540"/>
              <w:rPr>
                <w:rFonts w:hint="eastAsia" w:ascii="仿宋" w:hAnsi="仿宋" w:eastAsia="仿宋" w:cs="仿宋"/>
                <w:color w:val="auto"/>
                <w:sz w:val="24"/>
                <w:szCs w:val="24"/>
                <w:highlight w:val="none"/>
              </w:rPr>
            </w:pPr>
          </w:p>
        </w:tc>
        <w:tc>
          <w:tcPr>
            <w:tcW w:w="2835" w:type="dxa"/>
          </w:tcPr>
          <w:p w14:paraId="04AF425A">
            <w:pPr>
              <w:pStyle w:val="29"/>
              <w:shd w:val="clear"/>
              <w:ind w:left="1080" w:leftChars="257" w:hanging="540"/>
              <w:rPr>
                <w:rFonts w:hint="eastAsia" w:ascii="仿宋" w:hAnsi="仿宋" w:eastAsia="仿宋" w:cs="仿宋"/>
                <w:color w:val="auto"/>
                <w:sz w:val="24"/>
                <w:szCs w:val="24"/>
                <w:highlight w:val="none"/>
              </w:rPr>
            </w:pPr>
          </w:p>
        </w:tc>
        <w:tc>
          <w:tcPr>
            <w:tcW w:w="1701" w:type="dxa"/>
          </w:tcPr>
          <w:p w14:paraId="63C4D089">
            <w:pPr>
              <w:pStyle w:val="29"/>
              <w:shd w:val="clear"/>
              <w:ind w:left="1080" w:leftChars="257" w:hanging="540"/>
              <w:rPr>
                <w:rFonts w:hint="eastAsia" w:ascii="仿宋" w:hAnsi="仿宋" w:eastAsia="仿宋" w:cs="仿宋"/>
                <w:color w:val="auto"/>
                <w:sz w:val="24"/>
                <w:szCs w:val="24"/>
                <w:highlight w:val="none"/>
              </w:rPr>
            </w:pPr>
          </w:p>
        </w:tc>
        <w:tc>
          <w:tcPr>
            <w:tcW w:w="1417" w:type="dxa"/>
          </w:tcPr>
          <w:p w14:paraId="6F9625F4">
            <w:pPr>
              <w:pStyle w:val="29"/>
              <w:shd w:val="clear"/>
              <w:ind w:left="1080" w:leftChars="257" w:hanging="540"/>
              <w:rPr>
                <w:rFonts w:hint="eastAsia" w:ascii="仿宋" w:hAnsi="仿宋" w:eastAsia="仿宋" w:cs="仿宋"/>
                <w:color w:val="auto"/>
                <w:sz w:val="24"/>
                <w:szCs w:val="24"/>
                <w:highlight w:val="none"/>
              </w:rPr>
            </w:pPr>
          </w:p>
        </w:tc>
        <w:tc>
          <w:tcPr>
            <w:tcW w:w="2195" w:type="dxa"/>
          </w:tcPr>
          <w:p w14:paraId="23D6F890">
            <w:pPr>
              <w:pStyle w:val="29"/>
              <w:shd w:val="clear"/>
              <w:ind w:left="1080" w:leftChars="257" w:hanging="540"/>
              <w:rPr>
                <w:rFonts w:hint="eastAsia" w:ascii="仿宋" w:hAnsi="仿宋" w:eastAsia="仿宋" w:cs="仿宋"/>
                <w:color w:val="auto"/>
                <w:sz w:val="24"/>
                <w:szCs w:val="24"/>
                <w:highlight w:val="none"/>
              </w:rPr>
            </w:pPr>
          </w:p>
        </w:tc>
      </w:tr>
    </w:tbl>
    <w:p w14:paraId="64F04DAA">
      <w:pPr>
        <w:pStyle w:val="29"/>
        <w:shd w:val="clear"/>
        <w:ind w:left="1080" w:leftChars="257" w:hanging="540"/>
        <w:rPr>
          <w:rFonts w:hint="eastAsia" w:ascii="仿宋" w:hAnsi="仿宋" w:eastAsia="仿宋" w:cs="仿宋"/>
          <w:color w:val="auto"/>
          <w:sz w:val="24"/>
          <w:szCs w:val="24"/>
          <w:highlight w:val="none"/>
        </w:rPr>
      </w:pPr>
    </w:p>
    <w:p w14:paraId="43B757BD">
      <w:pPr>
        <w:shd w:val="clea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供应商（盖公章）：</w:t>
      </w:r>
      <w:r>
        <w:rPr>
          <w:rFonts w:hint="eastAsia" w:ascii="仿宋" w:hAnsi="仿宋" w:eastAsia="仿宋" w:cs="仿宋"/>
          <w:color w:val="auto"/>
          <w:sz w:val="24"/>
          <w:highlight w:val="none"/>
          <w:u w:val="single"/>
        </w:rPr>
        <w:t xml:space="preserve">                       </w:t>
      </w:r>
    </w:p>
    <w:p w14:paraId="1D0C515A">
      <w:pPr>
        <w:shd w:val="clea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0D3D1928">
      <w:pPr>
        <w:shd w:val="clea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27090989">
      <w:pPr>
        <w:shd w:val="clear"/>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szCs w:val="21"/>
          <w:highlight w:val="none"/>
        </w:rPr>
        <w:t>注：</w:t>
      </w:r>
      <w:r>
        <w:rPr>
          <w:rFonts w:hint="eastAsia" w:ascii="仿宋" w:hAnsi="仿宋" w:eastAsia="仿宋" w:cs="仿宋"/>
          <w:color w:val="auto"/>
          <w:highlight w:val="none"/>
        </w:rPr>
        <w:tab/>
      </w:r>
      <w:r>
        <w:rPr>
          <w:rFonts w:hint="eastAsia" w:ascii="仿宋" w:hAnsi="仿宋" w:eastAsia="仿宋" w:cs="仿宋"/>
          <w:color w:val="auto"/>
          <w:highlight w:val="none"/>
        </w:rPr>
        <w:t>1. 对完全响应的，在下表相应列中标注“○”。对有偏离的条目在本表相应列中标注“正偏离”或“负偏离”，并在“偏离简述”栏中加以说明。</w:t>
      </w:r>
    </w:p>
    <w:p w14:paraId="3D330037">
      <w:pPr>
        <w:shd w:val="clea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2. 正偏离是指应答的条件高于磋商文件要求，负偏离是指应答的条件低于磋商文件要求，正偏离项目不作扣分处理。</w:t>
      </w:r>
    </w:p>
    <w:p w14:paraId="2568374D">
      <w:pPr>
        <w:shd w:val="clea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3. 供应商须完整填写响应表。如果未完整填写本表的各项内容则视作供应商已经对磋商文件相关要求和内容完全理解并同意，其报价为在此基础上的完全价格。</w:t>
      </w:r>
    </w:p>
    <w:p w14:paraId="6A81E37B">
      <w:pPr>
        <w:shd w:val="clea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17D27E70">
      <w:pPr>
        <w:pStyle w:val="29"/>
        <w:shd w:val="clear"/>
        <w:ind w:left="1080" w:leftChars="257" w:hanging="540"/>
        <w:rPr>
          <w:rFonts w:hint="eastAsia" w:ascii="仿宋" w:hAnsi="仿宋" w:eastAsia="仿宋" w:cs="仿宋"/>
          <w:color w:val="auto"/>
          <w:sz w:val="24"/>
          <w:szCs w:val="24"/>
          <w:highlight w:val="none"/>
        </w:rPr>
      </w:pPr>
    </w:p>
    <w:p w14:paraId="0FA23561">
      <w:pPr>
        <w:shd w:val="clear"/>
        <w:rPr>
          <w:rFonts w:hint="eastAsia" w:ascii="仿宋" w:hAnsi="仿宋" w:eastAsia="仿宋" w:cs="仿宋"/>
          <w:b/>
          <w:bCs/>
          <w:color w:val="auto"/>
          <w:sz w:val="28"/>
          <w:szCs w:val="36"/>
          <w:highlight w:val="none"/>
        </w:rPr>
      </w:pPr>
      <w:bookmarkStart w:id="531" w:name="_Toc7005136"/>
      <w:bookmarkStart w:id="532" w:name="_Toc416103825"/>
      <w:bookmarkStart w:id="533" w:name="_Toc410631184"/>
      <w:bookmarkStart w:id="534" w:name="_Toc414445775"/>
      <w:r>
        <w:rPr>
          <w:rFonts w:hint="eastAsia" w:ascii="仿宋" w:hAnsi="仿宋" w:eastAsia="仿宋" w:cs="仿宋"/>
          <w:b/>
          <w:bCs/>
          <w:color w:val="auto"/>
          <w:sz w:val="28"/>
          <w:szCs w:val="36"/>
          <w:highlight w:val="none"/>
        </w:rPr>
        <w:br w:type="page"/>
      </w:r>
    </w:p>
    <w:bookmarkEnd w:id="531"/>
    <w:bookmarkEnd w:id="532"/>
    <w:bookmarkEnd w:id="533"/>
    <w:bookmarkEnd w:id="534"/>
    <w:p w14:paraId="66EA42E3">
      <w:pPr>
        <w:pStyle w:val="4"/>
        <w:shd w:val="clear" w:color="auto"/>
        <w:jc w:val="center"/>
        <w:rPr>
          <w:rFonts w:hint="eastAsia" w:ascii="仿宋" w:hAnsi="仿宋" w:eastAsia="仿宋" w:cs="仿宋"/>
          <w:b/>
          <w:bCs w:val="0"/>
          <w:color w:val="auto"/>
          <w:highlight w:val="none"/>
        </w:rPr>
      </w:pPr>
      <w:bookmarkStart w:id="535" w:name="_Toc19896"/>
      <w:bookmarkStart w:id="536" w:name="_Toc28669"/>
      <w:bookmarkStart w:id="537" w:name="_Toc17807"/>
      <w:bookmarkStart w:id="538" w:name="_Toc22472"/>
      <w:bookmarkStart w:id="539" w:name="_Toc11506"/>
      <w:r>
        <w:rPr>
          <w:rFonts w:hint="eastAsia" w:ascii="仿宋" w:hAnsi="仿宋" w:eastAsia="仿宋" w:cs="仿宋"/>
          <w:b/>
          <w:bCs w:val="0"/>
          <w:color w:val="auto"/>
          <w:highlight w:val="none"/>
        </w:rPr>
        <w:t>响应方案说明</w:t>
      </w:r>
      <w:bookmarkEnd w:id="535"/>
      <w:bookmarkEnd w:id="536"/>
      <w:bookmarkEnd w:id="537"/>
      <w:bookmarkEnd w:id="538"/>
      <w:bookmarkEnd w:id="539"/>
    </w:p>
    <w:p w14:paraId="43562131">
      <w:pPr>
        <w:pStyle w:val="2"/>
        <w:shd w:val="clear" w:color="auto"/>
        <w:rPr>
          <w:rFonts w:hint="eastAsia" w:ascii="仿宋" w:hAnsi="仿宋" w:eastAsia="仿宋" w:cs="仿宋"/>
          <w:color w:val="auto"/>
          <w:highlight w:val="none"/>
          <w:lang w:val="zh-CN"/>
        </w:rPr>
      </w:pPr>
    </w:p>
    <w:p w14:paraId="74356B64">
      <w:pPr>
        <w:shd w:val="clear" w:color="auto"/>
        <w:autoSpaceDE w:val="0"/>
        <w:autoSpaceDN w:val="0"/>
        <w:adjustRightInd w:val="0"/>
        <w:spacing w:line="360"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（格式自拟，内容需符合评审办法中要求的内容要求）</w:t>
      </w:r>
    </w:p>
    <w:p w14:paraId="47927D15">
      <w:pP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br w:type="page"/>
      </w:r>
    </w:p>
    <w:p w14:paraId="4F05CA96">
      <w:pPr>
        <w:shd w:val="clear"/>
        <w:spacing w:before="78" w:line="219"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项目经理简历表</w:t>
      </w:r>
    </w:p>
    <w:p w14:paraId="196D9577">
      <w:pPr>
        <w:shd w:val="clear"/>
        <w:spacing w:before="182" w:line="345" w:lineRule="auto"/>
        <w:ind w:left="357" w:right="349" w:firstLine="48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项目经理应附注册建造师资格证书</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、安全生产考核合格证书、身份证复印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5"/>
          <w:sz w:val="24"/>
          <w:szCs w:val="24"/>
          <w:highlight w:val="none"/>
        </w:rPr>
        <w:t>件</w:t>
      </w:r>
      <w:r>
        <w:rPr>
          <w:rFonts w:hint="eastAsia" w:ascii="仿宋" w:hAnsi="仿宋" w:eastAsia="仿宋" w:cs="仿宋"/>
          <w:color w:val="auto"/>
          <w:spacing w:val="-5"/>
          <w:sz w:val="24"/>
          <w:szCs w:val="24"/>
          <w:highlight w:val="none"/>
          <w:lang w:eastAsia="zh-CN"/>
        </w:rPr>
        <w:t>、</w:t>
      </w:r>
      <w:r>
        <w:rPr>
          <w:rFonts w:hint="eastAsia" w:ascii="仿宋" w:hAnsi="仿宋" w:eastAsia="仿宋" w:cs="仿宋"/>
          <w:color w:val="auto"/>
          <w:spacing w:val="-5"/>
          <w:sz w:val="24"/>
          <w:szCs w:val="24"/>
          <w:highlight w:val="none"/>
          <w:lang w:val="en-US" w:eastAsia="zh-CN"/>
        </w:rPr>
        <w:t>学历</w:t>
      </w:r>
      <w:r>
        <w:rPr>
          <w:rFonts w:hint="eastAsia" w:ascii="仿宋" w:hAnsi="仿宋" w:eastAsia="仿宋" w:cs="仿宋"/>
          <w:color w:val="auto"/>
          <w:spacing w:val="-5"/>
          <w:sz w:val="24"/>
          <w:szCs w:val="24"/>
          <w:highlight w:val="none"/>
        </w:rPr>
        <w:t>。</w:t>
      </w:r>
    </w:p>
    <w:p w14:paraId="3020B666">
      <w:pPr>
        <w:shd w:val="clear"/>
        <w:spacing w:line="19" w:lineRule="auto"/>
        <w:rPr>
          <w:rFonts w:hint="eastAsia" w:ascii="仿宋" w:hAnsi="仿宋" w:eastAsia="仿宋" w:cs="仿宋"/>
          <w:color w:val="auto"/>
          <w:sz w:val="24"/>
          <w:szCs w:val="24"/>
          <w:highlight w:val="none"/>
        </w:rPr>
      </w:pPr>
    </w:p>
    <w:tbl>
      <w:tblPr>
        <w:tblStyle w:val="298"/>
        <w:tblW w:w="89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0"/>
        <w:gridCol w:w="1034"/>
        <w:gridCol w:w="1133"/>
        <w:gridCol w:w="1274"/>
        <w:gridCol w:w="2034"/>
        <w:gridCol w:w="2164"/>
      </w:tblGrid>
      <w:tr w14:paraId="0BCBD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360" w:type="dxa"/>
            <w:vAlign w:val="top"/>
          </w:tcPr>
          <w:p w14:paraId="20363250">
            <w:pPr>
              <w:pStyle w:val="297"/>
              <w:shd w:val="clear"/>
              <w:spacing w:before="172" w:line="228" w:lineRule="auto"/>
              <w:ind w:left="37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w:t>
            </w:r>
            <w:r>
              <w:rPr>
                <w:rFonts w:hint="eastAsia" w:ascii="仿宋" w:hAnsi="仿宋" w:eastAsia="仿宋" w:cs="仿宋"/>
                <w:color w:val="auto"/>
                <w:spacing w:val="10"/>
                <w:sz w:val="24"/>
                <w:szCs w:val="24"/>
                <w:highlight w:val="none"/>
              </w:rPr>
              <w:t xml:space="preserve">  </w:t>
            </w:r>
            <w:r>
              <w:rPr>
                <w:rFonts w:hint="eastAsia" w:ascii="仿宋" w:hAnsi="仿宋" w:eastAsia="仿宋" w:cs="仿宋"/>
                <w:color w:val="auto"/>
                <w:sz w:val="24"/>
                <w:szCs w:val="24"/>
                <w:highlight w:val="none"/>
              </w:rPr>
              <w:t>名</w:t>
            </w:r>
          </w:p>
        </w:tc>
        <w:tc>
          <w:tcPr>
            <w:tcW w:w="1034" w:type="dxa"/>
            <w:vAlign w:val="top"/>
          </w:tcPr>
          <w:p w14:paraId="6D7FE882">
            <w:pPr>
              <w:shd w:val="clear"/>
              <w:rPr>
                <w:rFonts w:hint="eastAsia" w:ascii="仿宋" w:hAnsi="仿宋" w:eastAsia="仿宋" w:cs="仿宋"/>
                <w:color w:val="auto"/>
                <w:sz w:val="24"/>
                <w:szCs w:val="24"/>
                <w:highlight w:val="none"/>
              </w:rPr>
            </w:pPr>
          </w:p>
        </w:tc>
        <w:tc>
          <w:tcPr>
            <w:tcW w:w="1133" w:type="dxa"/>
            <w:vAlign w:val="top"/>
          </w:tcPr>
          <w:p w14:paraId="65663997">
            <w:pPr>
              <w:pStyle w:val="297"/>
              <w:shd w:val="clear"/>
              <w:spacing w:before="172" w:line="228" w:lineRule="auto"/>
              <w:ind w:left="2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pacing w:val="9"/>
                <w:sz w:val="24"/>
                <w:szCs w:val="24"/>
                <w:highlight w:val="none"/>
              </w:rPr>
              <w:t xml:space="preserve">  </w:t>
            </w:r>
            <w:r>
              <w:rPr>
                <w:rFonts w:hint="eastAsia" w:ascii="仿宋" w:hAnsi="仿宋" w:eastAsia="仿宋" w:cs="仿宋"/>
                <w:color w:val="auto"/>
                <w:sz w:val="24"/>
                <w:szCs w:val="24"/>
                <w:highlight w:val="none"/>
              </w:rPr>
              <w:t>龄</w:t>
            </w:r>
          </w:p>
        </w:tc>
        <w:tc>
          <w:tcPr>
            <w:tcW w:w="1274" w:type="dxa"/>
            <w:vAlign w:val="top"/>
          </w:tcPr>
          <w:p w14:paraId="7B3B10E6">
            <w:pPr>
              <w:shd w:val="clear"/>
              <w:rPr>
                <w:rFonts w:hint="eastAsia" w:ascii="仿宋" w:hAnsi="仿宋" w:eastAsia="仿宋" w:cs="仿宋"/>
                <w:color w:val="auto"/>
                <w:sz w:val="24"/>
                <w:szCs w:val="24"/>
                <w:highlight w:val="none"/>
              </w:rPr>
            </w:pPr>
          </w:p>
        </w:tc>
        <w:tc>
          <w:tcPr>
            <w:tcW w:w="2034" w:type="dxa"/>
            <w:vAlign w:val="top"/>
          </w:tcPr>
          <w:p w14:paraId="708796A5">
            <w:pPr>
              <w:pStyle w:val="297"/>
              <w:shd w:val="clear"/>
              <w:spacing w:before="172" w:line="230" w:lineRule="auto"/>
              <w:ind w:left="81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学历</w:t>
            </w:r>
          </w:p>
        </w:tc>
        <w:tc>
          <w:tcPr>
            <w:tcW w:w="2164" w:type="dxa"/>
            <w:vAlign w:val="top"/>
          </w:tcPr>
          <w:p w14:paraId="030401E8">
            <w:pPr>
              <w:shd w:val="clear"/>
              <w:rPr>
                <w:rFonts w:hint="eastAsia" w:ascii="仿宋" w:hAnsi="仿宋" w:eastAsia="仿宋" w:cs="仿宋"/>
                <w:color w:val="auto"/>
                <w:sz w:val="24"/>
                <w:szCs w:val="24"/>
                <w:highlight w:val="none"/>
              </w:rPr>
            </w:pPr>
          </w:p>
        </w:tc>
      </w:tr>
      <w:tr w14:paraId="1FCB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360" w:type="dxa"/>
            <w:vAlign w:val="top"/>
          </w:tcPr>
          <w:p w14:paraId="0544BB17">
            <w:pPr>
              <w:pStyle w:val="297"/>
              <w:shd w:val="clear"/>
              <w:spacing w:before="167" w:line="231" w:lineRule="auto"/>
              <w:ind w:left="37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w:t>
            </w:r>
            <w:r>
              <w:rPr>
                <w:rFonts w:hint="eastAsia" w:ascii="仿宋" w:hAnsi="仿宋" w:eastAsia="仿宋" w:cs="仿宋"/>
                <w:color w:val="auto"/>
                <w:spacing w:val="9"/>
                <w:sz w:val="24"/>
                <w:szCs w:val="24"/>
                <w:highlight w:val="none"/>
              </w:rPr>
              <w:t xml:space="preserve">  </w:t>
            </w:r>
            <w:r>
              <w:rPr>
                <w:rFonts w:hint="eastAsia" w:ascii="仿宋" w:hAnsi="仿宋" w:eastAsia="仿宋" w:cs="仿宋"/>
                <w:color w:val="auto"/>
                <w:sz w:val="24"/>
                <w:szCs w:val="24"/>
                <w:highlight w:val="none"/>
              </w:rPr>
              <w:t>称</w:t>
            </w:r>
          </w:p>
        </w:tc>
        <w:tc>
          <w:tcPr>
            <w:tcW w:w="1034" w:type="dxa"/>
            <w:vAlign w:val="top"/>
          </w:tcPr>
          <w:p w14:paraId="53FD015E">
            <w:pPr>
              <w:shd w:val="clear"/>
              <w:rPr>
                <w:rFonts w:hint="eastAsia" w:ascii="仿宋" w:hAnsi="仿宋" w:eastAsia="仿宋" w:cs="仿宋"/>
                <w:color w:val="auto"/>
                <w:sz w:val="24"/>
                <w:szCs w:val="24"/>
                <w:highlight w:val="none"/>
              </w:rPr>
            </w:pPr>
          </w:p>
        </w:tc>
        <w:tc>
          <w:tcPr>
            <w:tcW w:w="1133" w:type="dxa"/>
            <w:vAlign w:val="top"/>
          </w:tcPr>
          <w:p w14:paraId="5633F179">
            <w:pPr>
              <w:pStyle w:val="297"/>
              <w:shd w:val="clear"/>
              <w:spacing w:before="167" w:line="228" w:lineRule="auto"/>
              <w:ind w:left="2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w:t>
            </w:r>
            <w:r>
              <w:rPr>
                <w:rFonts w:hint="eastAsia" w:ascii="仿宋" w:hAnsi="仿宋" w:eastAsia="仿宋" w:cs="仿宋"/>
                <w:color w:val="auto"/>
                <w:spacing w:val="10"/>
                <w:sz w:val="24"/>
                <w:szCs w:val="24"/>
                <w:highlight w:val="none"/>
              </w:rPr>
              <w:t xml:space="preserve">  </w:t>
            </w:r>
            <w:r>
              <w:rPr>
                <w:rFonts w:hint="eastAsia" w:ascii="仿宋" w:hAnsi="仿宋" w:eastAsia="仿宋" w:cs="仿宋"/>
                <w:color w:val="auto"/>
                <w:sz w:val="24"/>
                <w:szCs w:val="24"/>
                <w:highlight w:val="none"/>
              </w:rPr>
              <w:t>务</w:t>
            </w:r>
          </w:p>
        </w:tc>
        <w:tc>
          <w:tcPr>
            <w:tcW w:w="1274" w:type="dxa"/>
            <w:vAlign w:val="top"/>
          </w:tcPr>
          <w:p w14:paraId="1EBE45C2">
            <w:pPr>
              <w:shd w:val="clear"/>
              <w:rPr>
                <w:rFonts w:hint="eastAsia" w:ascii="仿宋" w:hAnsi="仿宋" w:eastAsia="仿宋" w:cs="仿宋"/>
                <w:color w:val="auto"/>
                <w:sz w:val="24"/>
                <w:szCs w:val="24"/>
                <w:highlight w:val="none"/>
              </w:rPr>
            </w:pPr>
          </w:p>
        </w:tc>
        <w:tc>
          <w:tcPr>
            <w:tcW w:w="2034" w:type="dxa"/>
            <w:vAlign w:val="top"/>
          </w:tcPr>
          <w:p w14:paraId="4E0C0667">
            <w:pPr>
              <w:pStyle w:val="297"/>
              <w:shd w:val="clear"/>
              <w:spacing w:before="167" w:line="228"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拟在本工程任职</w:t>
            </w:r>
          </w:p>
        </w:tc>
        <w:tc>
          <w:tcPr>
            <w:tcW w:w="2164" w:type="dxa"/>
            <w:vAlign w:val="top"/>
          </w:tcPr>
          <w:p w14:paraId="2008176D">
            <w:pPr>
              <w:shd w:val="clear"/>
              <w:rPr>
                <w:rFonts w:hint="eastAsia" w:ascii="仿宋" w:hAnsi="仿宋" w:eastAsia="仿宋" w:cs="仿宋"/>
                <w:color w:val="auto"/>
                <w:sz w:val="24"/>
                <w:szCs w:val="24"/>
                <w:highlight w:val="none"/>
              </w:rPr>
            </w:pPr>
          </w:p>
        </w:tc>
      </w:tr>
      <w:tr w14:paraId="57CD8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527" w:type="dxa"/>
            <w:gridSpan w:val="3"/>
            <w:vAlign w:val="top"/>
          </w:tcPr>
          <w:p w14:paraId="335C72B8">
            <w:pPr>
              <w:pStyle w:val="297"/>
              <w:shd w:val="clear"/>
              <w:spacing w:before="167" w:line="228" w:lineRule="auto"/>
              <w:ind w:left="615"/>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注册建造师执业资格等级</w:t>
            </w:r>
          </w:p>
        </w:tc>
        <w:tc>
          <w:tcPr>
            <w:tcW w:w="1274" w:type="dxa"/>
            <w:vAlign w:val="top"/>
          </w:tcPr>
          <w:p w14:paraId="72858202">
            <w:pPr>
              <w:shd w:val="clear"/>
              <w:rPr>
                <w:rFonts w:hint="eastAsia" w:ascii="仿宋" w:hAnsi="仿宋" w:eastAsia="仿宋" w:cs="仿宋"/>
                <w:color w:val="auto"/>
                <w:sz w:val="24"/>
                <w:szCs w:val="24"/>
                <w:highlight w:val="none"/>
              </w:rPr>
            </w:pPr>
          </w:p>
        </w:tc>
        <w:tc>
          <w:tcPr>
            <w:tcW w:w="2034" w:type="dxa"/>
            <w:vAlign w:val="top"/>
          </w:tcPr>
          <w:p w14:paraId="7A9EC64F">
            <w:pPr>
              <w:pStyle w:val="297"/>
              <w:shd w:val="clear"/>
              <w:spacing w:before="167" w:line="228" w:lineRule="auto"/>
              <w:ind w:left="502"/>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建造师专业</w:t>
            </w:r>
          </w:p>
        </w:tc>
        <w:tc>
          <w:tcPr>
            <w:tcW w:w="2164" w:type="dxa"/>
            <w:vAlign w:val="top"/>
          </w:tcPr>
          <w:p w14:paraId="1618240F">
            <w:pPr>
              <w:shd w:val="clear"/>
              <w:rPr>
                <w:rFonts w:hint="eastAsia" w:ascii="仿宋" w:hAnsi="仿宋" w:eastAsia="仿宋" w:cs="仿宋"/>
                <w:color w:val="auto"/>
                <w:sz w:val="24"/>
                <w:szCs w:val="24"/>
                <w:highlight w:val="none"/>
              </w:rPr>
            </w:pPr>
          </w:p>
        </w:tc>
      </w:tr>
      <w:tr w14:paraId="462AD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527" w:type="dxa"/>
            <w:gridSpan w:val="3"/>
            <w:vAlign w:val="top"/>
          </w:tcPr>
          <w:p w14:paraId="7EA51D0D">
            <w:pPr>
              <w:pStyle w:val="297"/>
              <w:shd w:val="clear"/>
              <w:spacing w:before="167" w:line="228" w:lineRule="auto"/>
              <w:ind w:left="723"/>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安全生产考核合格证书</w:t>
            </w:r>
          </w:p>
        </w:tc>
        <w:tc>
          <w:tcPr>
            <w:tcW w:w="5472" w:type="dxa"/>
            <w:gridSpan w:val="3"/>
            <w:vAlign w:val="top"/>
          </w:tcPr>
          <w:p w14:paraId="4C8E6568">
            <w:pPr>
              <w:shd w:val="clear"/>
              <w:rPr>
                <w:rFonts w:hint="eastAsia" w:ascii="仿宋" w:hAnsi="仿宋" w:eastAsia="仿宋" w:cs="仿宋"/>
                <w:color w:val="auto"/>
                <w:sz w:val="24"/>
                <w:szCs w:val="24"/>
                <w:highlight w:val="none"/>
              </w:rPr>
            </w:pPr>
          </w:p>
        </w:tc>
      </w:tr>
      <w:tr w14:paraId="475C6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999" w:type="dxa"/>
            <w:gridSpan w:val="6"/>
            <w:vAlign w:val="top"/>
          </w:tcPr>
          <w:p w14:paraId="2773AB1A">
            <w:pPr>
              <w:pStyle w:val="297"/>
              <w:shd w:val="clear"/>
              <w:spacing w:before="167" w:line="229" w:lineRule="auto"/>
              <w:ind w:left="387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主要工作经历</w:t>
            </w:r>
          </w:p>
        </w:tc>
      </w:tr>
      <w:tr w14:paraId="62CF6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360" w:type="dxa"/>
            <w:vAlign w:val="top"/>
          </w:tcPr>
          <w:p w14:paraId="19FF1D00">
            <w:pPr>
              <w:pStyle w:val="297"/>
              <w:shd w:val="clear"/>
              <w:spacing w:before="166" w:line="231" w:lineRule="auto"/>
              <w:ind w:left="38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时</w:t>
            </w:r>
            <w:r>
              <w:rPr>
                <w:rFonts w:hint="eastAsia" w:ascii="仿宋" w:hAnsi="仿宋" w:eastAsia="仿宋" w:cs="仿宋"/>
                <w:color w:val="auto"/>
                <w:spacing w:val="17"/>
                <w:sz w:val="24"/>
                <w:szCs w:val="24"/>
                <w:highlight w:val="none"/>
              </w:rPr>
              <w:t xml:space="preserve">  </w:t>
            </w:r>
            <w:r>
              <w:rPr>
                <w:rFonts w:hint="eastAsia" w:ascii="仿宋" w:hAnsi="仿宋" w:eastAsia="仿宋" w:cs="仿宋"/>
                <w:color w:val="auto"/>
                <w:spacing w:val="-5"/>
                <w:sz w:val="24"/>
                <w:szCs w:val="24"/>
                <w:highlight w:val="none"/>
              </w:rPr>
              <w:t>间</w:t>
            </w:r>
          </w:p>
        </w:tc>
        <w:tc>
          <w:tcPr>
            <w:tcW w:w="3441" w:type="dxa"/>
            <w:gridSpan w:val="3"/>
            <w:vAlign w:val="top"/>
          </w:tcPr>
          <w:p w14:paraId="6ECB9DAA">
            <w:pPr>
              <w:pStyle w:val="297"/>
              <w:shd w:val="clear"/>
              <w:spacing w:before="167" w:line="228" w:lineRule="auto"/>
              <w:ind w:left="678"/>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参加过的类似项目名称</w:t>
            </w:r>
          </w:p>
        </w:tc>
        <w:tc>
          <w:tcPr>
            <w:tcW w:w="2034" w:type="dxa"/>
            <w:vAlign w:val="top"/>
          </w:tcPr>
          <w:p w14:paraId="32C9D9D6">
            <w:pPr>
              <w:pStyle w:val="297"/>
              <w:shd w:val="clear"/>
              <w:spacing w:before="167" w:line="228" w:lineRule="auto"/>
              <w:ind w:left="39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工程概况说明</w:t>
            </w:r>
          </w:p>
        </w:tc>
        <w:tc>
          <w:tcPr>
            <w:tcW w:w="2164" w:type="dxa"/>
            <w:vAlign w:val="top"/>
          </w:tcPr>
          <w:p w14:paraId="1E779D35">
            <w:pPr>
              <w:pStyle w:val="297"/>
              <w:shd w:val="clear"/>
              <w:spacing w:before="166" w:line="229" w:lineRule="auto"/>
              <w:ind w:left="25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发包人及联系电话</w:t>
            </w:r>
          </w:p>
        </w:tc>
      </w:tr>
      <w:tr w14:paraId="6DA26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3E3378CA">
            <w:pPr>
              <w:shd w:val="clear"/>
              <w:rPr>
                <w:rFonts w:hint="eastAsia" w:ascii="仿宋" w:hAnsi="仿宋" w:eastAsia="仿宋" w:cs="仿宋"/>
                <w:color w:val="auto"/>
                <w:sz w:val="24"/>
                <w:szCs w:val="24"/>
                <w:highlight w:val="none"/>
              </w:rPr>
            </w:pPr>
          </w:p>
        </w:tc>
        <w:tc>
          <w:tcPr>
            <w:tcW w:w="3441" w:type="dxa"/>
            <w:gridSpan w:val="3"/>
            <w:vAlign w:val="top"/>
          </w:tcPr>
          <w:p w14:paraId="240E0B1F">
            <w:pPr>
              <w:shd w:val="clear"/>
              <w:rPr>
                <w:rFonts w:hint="eastAsia" w:ascii="仿宋" w:hAnsi="仿宋" w:eastAsia="仿宋" w:cs="仿宋"/>
                <w:color w:val="auto"/>
                <w:sz w:val="24"/>
                <w:szCs w:val="24"/>
                <w:highlight w:val="none"/>
              </w:rPr>
            </w:pPr>
          </w:p>
        </w:tc>
        <w:tc>
          <w:tcPr>
            <w:tcW w:w="2034" w:type="dxa"/>
            <w:vAlign w:val="top"/>
          </w:tcPr>
          <w:p w14:paraId="0AB9CD2D">
            <w:pPr>
              <w:shd w:val="clear"/>
              <w:rPr>
                <w:rFonts w:hint="eastAsia" w:ascii="仿宋" w:hAnsi="仿宋" w:eastAsia="仿宋" w:cs="仿宋"/>
                <w:color w:val="auto"/>
                <w:sz w:val="24"/>
                <w:szCs w:val="24"/>
                <w:highlight w:val="none"/>
              </w:rPr>
            </w:pPr>
          </w:p>
        </w:tc>
        <w:tc>
          <w:tcPr>
            <w:tcW w:w="2164" w:type="dxa"/>
            <w:vAlign w:val="top"/>
          </w:tcPr>
          <w:p w14:paraId="545212BB">
            <w:pPr>
              <w:shd w:val="clear"/>
              <w:rPr>
                <w:rFonts w:hint="eastAsia" w:ascii="仿宋" w:hAnsi="仿宋" w:eastAsia="仿宋" w:cs="仿宋"/>
                <w:color w:val="auto"/>
                <w:sz w:val="24"/>
                <w:szCs w:val="24"/>
                <w:highlight w:val="none"/>
              </w:rPr>
            </w:pPr>
          </w:p>
        </w:tc>
      </w:tr>
      <w:tr w14:paraId="3B563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73F8BC4C">
            <w:pPr>
              <w:shd w:val="clear"/>
              <w:rPr>
                <w:rFonts w:hint="eastAsia" w:ascii="仿宋" w:hAnsi="仿宋" w:eastAsia="仿宋" w:cs="仿宋"/>
                <w:color w:val="auto"/>
                <w:sz w:val="24"/>
                <w:szCs w:val="24"/>
                <w:highlight w:val="none"/>
              </w:rPr>
            </w:pPr>
          </w:p>
        </w:tc>
        <w:tc>
          <w:tcPr>
            <w:tcW w:w="3441" w:type="dxa"/>
            <w:gridSpan w:val="3"/>
            <w:vAlign w:val="top"/>
          </w:tcPr>
          <w:p w14:paraId="211764AA">
            <w:pPr>
              <w:shd w:val="clear"/>
              <w:rPr>
                <w:rFonts w:hint="eastAsia" w:ascii="仿宋" w:hAnsi="仿宋" w:eastAsia="仿宋" w:cs="仿宋"/>
                <w:color w:val="auto"/>
                <w:sz w:val="24"/>
                <w:szCs w:val="24"/>
                <w:highlight w:val="none"/>
              </w:rPr>
            </w:pPr>
          </w:p>
        </w:tc>
        <w:tc>
          <w:tcPr>
            <w:tcW w:w="2034" w:type="dxa"/>
            <w:vAlign w:val="top"/>
          </w:tcPr>
          <w:p w14:paraId="63DEA415">
            <w:pPr>
              <w:shd w:val="clear"/>
              <w:rPr>
                <w:rFonts w:hint="eastAsia" w:ascii="仿宋" w:hAnsi="仿宋" w:eastAsia="仿宋" w:cs="仿宋"/>
                <w:color w:val="auto"/>
                <w:sz w:val="24"/>
                <w:szCs w:val="24"/>
                <w:highlight w:val="none"/>
              </w:rPr>
            </w:pPr>
          </w:p>
        </w:tc>
        <w:tc>
          <w:tcPr>
            <w:tcW w:w="2164" w:type="dxa"/>
            <w:vAlign w:val="top"/>
          </w:tcPr>
          <w:p w14:paraId="43E6D016">
            <w:pPr>
              <w:shd w:val="clear"/>
              <w:rPr>
                <w:rFonts w:hint="eastAsia" w:ascii="仿宋" w:hAnsi="仿宋" w:eastAsia="仿宋" w:cs="仿宋"/>
                <w:color w:val="auto"/>
                <w:sz w:val="24"/>
                <w:szCs w:val="24"/>
                <w:highlight w:val="none"/>
              </w:rPr>
            </w:pPr>
          </w:p>
        </w:tc>
      </w:tr>
      <w:tr w14:paraId="27603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242287A5">
            <w:pPr>
              <w:shd w:val="clear"/>
              <w:rPr>
                <w:rFonts w:hint="eastAsia" w:ascii="仿宋" w:hAnsi="仿宋" w:eastAsia="仿宋" w:cs="仿宋"/>
                <w:color w:val="auto"/>
                <w:sz w:val="24"/>
                <w:szCs w:val="24"/>
                <w:highlight w:val="none"/>
              </w:rPr>
            </w:pPr>
          </w:p>
        </w:tc>
        <w:tc>
          <w:tcPr>
            <w:tcW w:w="3441" w:type="dxa"/>
            <w:gridSpan w:val="3"/>
            <w:vAlign w:val="top"/>
          </w:tcPr>
          <w:p w14:paraId="2E7EFF86">
            <w:pPr>
              <w:shd w:val="clear"/>
              <w:rPr>
                <w:rFonts w:hint="eastAsia" w:ascii="仿宋" w:hAnsi="仿宋" w:eastAsia="仿宋" w:cs="仿宋"/>
                <w:color w:val="auto"/>
                <w:sz w:val="24"/>
                <w:szCs w:val="24"/>
                <w:highlight w:val="none"/>
              </w:rPr>
            </w:pPr>
          </w:p>
        </w:tc>
        <w:tc>
          <w:tcPr>
            <w:tcW w:w="2034" w:type="dxa"/>
            <w:vAlign w:val="top"/>
          </w:tcPr>
          <w:p w14:paraId="37FDDF7E">
            <w:pPr>
              <w:shd w:val="clear"/>
              <w:rPr>
                <w:rFonts w:hint="eastAsia" w:ascii="仿宋" w:hAnsi="仿宋" w:eastAsia="仿宋" w:cs="仿宋"/>
                <w:color w:val="auto"/>
                <w:sz w:val="24"/>
                <w:szCs w:val="24"/>
                <w:highlight w:val="none"/>
              </w:rPr>
            </w:pPr>
          </w:p>
        </w:tc>
        <w:tc>
          <w:tcPr>
            <w:tcW w:w="2164" w:type="dxa"/>
            <w:vAlign w:val="top"/>
          </w:tcPr>
          <w:p w14:paraId="0FB6DBF9">
            <w:pPr>
              <w:shd w:val="clear"/>
              <w:rPr>
                <w:rFonts w:hint="eastAsia" w:ascii="仿宋" w:hAnsi="仿宋" w:eastAsia="仿宋" w:cs="仿宋"/>
                <w:color w:val="auto"/>
                <w:sz w:val="24"/>
                <w:szCs w:val="24"/>
                <w:highlight w:val="none"/>
              </w:rPr>
            </w:pPr>
          </w:p>
        </w:tc>
      </w:tr>
      <w:tr w14:paraId="6F2F4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7F5834FD">
            <w:pPr>
              <w:shd w:val="clear"/>
              <w:rPr>
                <w:rFonts w:hint="eastAsia" w:ascii="仿宋" w:hAnsi="仿宋" w:eastAsia="仿宋" w:cs="仿宋"/>
                <w:color w:val="auto"/>
                <w:sz w:val="24"/>
                <w:szCs w:val="24"/>
                <w:highlight w:val="none"/>
              </w:rPr>
            </w:pPr>
          </w:p>
        </w:tc>
        <w:tc>
          <w:tcPr>
            <w:tcW w:w="3441" w:type="dxa"/>
            <w:gridSpan w:val="3"/>
            <w:vAlign w:val="top"/>
          </w:tcPr>
          <w:p w14:paraId="149DA9BA">
            <w:pPr>
              <w:shd w:val="clear"/>
              <w:rPr>
                <w:rFonts w:hint="eastAsia" w:ascii="仿宋" w:hAnsi="仿宋" w:eastAsia="仿宋" w:cs="仿宋"/>
                <w:color w:val="auto"/>
                <w:sz w:val="24"/>
                <w:szCs w:val="24"/>
                <w:highlight w:val="none"/>
              </w:rPr>
            </w:pPr>
          </w:p>
        </w:tc>
        <w:tc>
          <w:tcPr>
            <w:tcW w:w="2034" w:type="dxa"/>
            <w:vAlign w:val="top"/>
          </w:tcPr>
          <w:p w14:paraId="5CBACBAE">
            <w:pPr>
              <w:shd w:val="clear"/>
              <w:rPr>
                <w:rFonts w:hint="eastAsia" w:ascii="仿宋" w:hAnsi="仿宋" w:eastAsia="仿宋" w:cs="仿宋"/>
                <w:color w:val="auto"/>
                <w:sz w:val="24"/>
                <w:szCs w:val="24"/>
                <w:highlight w:val="none"/>
              </w:rPr>
            </w:pPr>
          </w:p>
        </w:tc>
        <w:tc>
          <w:tcPr>
            <w:tcW w:w="2164" w:type="dxa"/>
            <w:vAlign w:val="top"/>
          </w:tcPr>
          <w:p w14:paraId="024977A2">
            <w:pPr>
              <w:shd w:val="clear"/>
              <w:rPr>
                <w:rFonts w:hint="eastAsia" w:ascii="仿宋" w:hAnsi="仿宋" w:eastAsia="仿宋" w:cs="仿宋"/>
                <w:color w:val="auto"/>
                <w:sz w:val="24"/>
                <w:szCs w:val="24"/>
                <w:highlight w:val="none"/>
              </w:rPr>
            </w:pPr>
          </w:p>
        </w:tc>
      </w:tr>
      <w:tr w14:paraId="4C63A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576C0EA6">
            <w:pPr>
              <w:shd w:val="clear"/>
              <w:rPr>
                <w:rFonts w:hint="eastAsia" w:ascii="仿宋" w:hAnsi="仿宋" w:eastAsia="仿宋" w:cs="仿宋"/>
                <w:color w:val="auto"/>
                <w:sz w:val="24"/>
                <w:szCs w:val="24"/>
                <w:highlight w:val="none"/>
              </w:rPr>
            </w:pPr>
          </w:p>
        </w:tc>
        <w:tc>
          <w:tcPr>
            <w:tcW w:w="3441" w:type="dxa"/>
            <w:gridSpan w:val="3"/>
            <w:vAlign w:val="top"/>
          </w:tcPr>
          <w:p w14:paraId="322E8C47">
            <w:pPr>
              <w:shd w:val="clear"/>
              <w:rPr>
                <w:rFonts w:hint="eastAsia" w:ascii="仿宋" w:hAnsi="仿宋" w:eastAsia="仿宋" w:cs="仿宋"/>
                <w:color w:val="auto"/>
                <w:sz w:val="24"/>
                <w:szCs w:val="24"/>
                <w:highlight w:val="none"/>
              </w:rPr>
            </w:pPr>
          </w:p>
        </w:tc>
        <w:tc>
          <w:tcPr>
            <w:tcW w:w="2034" w:type="dxa"/>
            <w:vAlign w:val="top"/>
          </w:tcPr>
          <w:p w14:paraId="3FB65747">
            <w:pPr>
              <w:shd w:val="clear"/>
              <w:rPr>
                <w:rFonts w:hint="eastAsia" w:ascii="仿宋" w:hAnsi="仿宋" w:eastAsia="仿宋" w:cs="仿宋"/>
                <w:color w:val="auto"/>
                <w:sz w:val="24"/>
                <w:szCs w:val="24"/>
                <w:highlight w:val="none"/>
              </w:rPr>
            </w:pPr>
          </w:p>
        </w:tc>
        <w:tc>
          <w:tcPr>
            <w:tcW w:w="2164" w:type="dxa"/>
            <w:vAlign w:val="top"/>
          </w:tcPr>
          <w:p w14:paraId="5ECCBA84">
            <w:pPr>
              <w:shd w:val="clear"/>
              <w:rPr>
                <w:rFonts w:hint="eastAsia" w:ascii="仿宋" w:hAnsi="仿宋" w:eastAsia="仿宋" w:cs="仿宋"/>
                <w:color w:val="auto"/>
                <w:sz w:val="24"/>
                <w:szCs w:val="24"/>
                <w:highlight w:val="none"/>
              </w:rPr>
            </w:pPr>
          </w:p>
        </w:tc>
      </w:tr>
      <w:tr w14:paraId="51AF2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12D0A1DE">
            <w:pPr>
              <w:shd w:val="clear"/>
              <w:rPr>
                <w:rFonts w:hint="eastAsia" w:ascii="仿宋" w:hAnsi="仿宋" w:eastAsia="仿宋" w:cs="仿宋"/>
                <w:color w:val="auto"/>
                <w:sz w:val="24"/>
                <w:szCs w:val="24"/>
                <w:highlight w:val="none"/>
              </w:rPr>
            </w:pPr>
          </w:p>
        </w:tc>
        <w:tc>
          <w:tcPr>
            <w:tcW w:w="3441" w:type="dxa"/>
            <w:gridSpan w:val="3"/>
            <w:vAlign w:val="top"/>
          </w:tcPr>
          <w:p w14:paraId="16C6E9EA">
            <w:pPr>
              <w:shd w:val="clear"/>
              <w:rPr>
                <w:rFonts w:hint="eastAsia" w:ascii="仿宋" w:hAnsi="仿宋" w:eastAsia="仿宋" w:cs="仿宋"/>
                <w:color w:val="auto"/>
                <w:sz w:val="24"/>
                <w:szCs w:val="24"/>
                <w:highlight w:val="none"/>
              </w:rPr>
            </w:pPr>
          </w:p>
        </w:tc>
        <w:tc>
          <w:tcPr>
            <w:tcW w:w="2034" w:type="dxa"/>
            <w:vAlign w:val="top"/>
          </w:tcPr>
          <w:p w14:paraId="0082CE9E">
            <w:pPr>
              <w:shd w:val="clear"/>
              <w:rPr>
                <w:rFonts w:hint="eastAsia" w:ascii="仿宋" w:hAnsi="仿宋" w:eastAsia="仿宋" w:cs="仿宋"/>
                <w:color w:val="auto"/>
                <w:sz w:val="24"/>
                <w:szCs w:val="24"/>
                <w:highlight w:val="none"/>
              </w:rPr>
            </w:pPr>
          </w:p>
        </w:tc>
        <w:tc>
          <w:tcPr>
            <w:tcW w:w="2164" w:type="dxa"/>
            <w:vAlign w:val="top"/>
          </w:tcPr>
          <w:p w14:paraId="6E2004E2">
            <w:pPr>
              <w:shd w:val="clear"/>
              <w:rPr>
                <w:rFonts w:hint="eastAsia" w:ascii="仿宋" w:hAnsi="仿宋" w:eastAsia="仿宋" w:cs="仿宋"/>
                <w:color w:val="auto"/>
                <w:sz w:val="24"/>
                <w:szCs w:val="24"/>
                <w:highlight w:val="none"/>
              </w:rPr>
            </w:pPr>
          </w:p>
        </w:tc>
      </w:tr>
      <w:tr w14:paraId="04ADF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81C8C4E">
            <w:pPr>
              <w:shd w:val="clear"/>
              <w:rPr>
                <w:rFonts w:hint="eastAsia" w:ascii="仿宋" w:hAnsi="仿宋" w:eastAsia="仿宋" w:cs="仿宋"/>
                <w:color w:val="auto"/>
                <w:sz w:val="24"/>
                <w:szCs w:val="24"/>
                <w:highlight w:val="none"/>
              </w:rPr>
            </w:pPr>
          </w:p>
        </w:tc>
        <w:tc>
          <w:tcPr>
            <w:tcW w:w="3441" w:type="dxa"/>
            <w:gridSpan w:val="3"/>
            <w:vAlign w:val="top"/>
          </w:tcPr>
          <w:p w14:paraId="70FBEB83">
            <w:pPr>
              <w:shd w:val="clear"/>
              <w:rPr>
                <w:rFonts w:hint="eastAsia" w:ascii="仿宋" w:hAnsi="仿宋" w:eastAsia="仿宋" w:cs="仿宋"/>
                <w:color w:val="auto"/>
                <w:sz w:val="24"/>
                <w:szCs w:val="24"/>
                <w:highlight w:val="none"/>
              </w:rPr>
            </w:pPr>
          </w:p>
        </w:tc>
        <w:tc>
          <w:tcPr>
            <w:tcW w:w="2034" w:type="dxa"/>
            <w:vAlign w:val="top"/>
          </w:tcPr>
          <w:p w14:paraId="6ACA73E3">
            <w:pPr>
              <w:shd w:val="clear"/>
              <w:rPr>
                <w:rFonts w:hint="eastAsia" w:ascii="仿宋" w:hAnsi="仿宋" w:eastAsia="仿宋" w:cs="仿宋"/>
                <w:color w:val="auto"/>
                <w:sz w:val="24"/>
                <w:szCs w:val="24"/>
                <w:highlight w:val="none"/>
              </w:rPr>
            </w:pPr>
          </w:p>
        </w:tc>
        <w:tc>
          <w:tcPr>
            <w:tcW w:w="2164" w:type="dxa"/>
            <w:vAlign w:val="top"/>
          </w:tcPr>
          <w:p w14:paraId="6C0C85E8">
            <w:pPr>
              <w:shd w:val="clear"/>
              <w:rPr>
                <w:rFonts w:hint="eastAsia" w:ascii="仿宋" w:hAnsi="仿宋" w:eastAsia="仿宋" w:cs="仿宋"/>
                <w:color w:val="auto"/>
                <w:sz w:val="24"/>
                <w:szCs w:val="24"/>
                <w:highlight w:val="none"/>
              </w:rPr>
            </w:pPr>
          </w:p>
        </w:tc>
      </w:tr>
      <w:tr w14:paraId="47B16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0B3AC795">
            <w:pPr>
              <w:shd w:val="clear"/>
              <w:rPr>
                <w:rFonts w:hint="eastAsia" w:ascii="仿宋" w:hAnsi="仿宋" w:eastAsia="仿宋" w:cs="仿宋"/>
                <w:color w:val="auto"/>
                <w:sz w:val="24"/>
                <w:szCs w:val="24"/>
                <w:highlight w:val="none"/>
              </w:rPr>
            </w:pPr>
          </w:p>
        </w:tc>
        <w:tc>
          <w:tcPr>
            <w:tcW w:w="3441" w:type="dxa"/>
            <w:gridSpan w:val="3"/>
            <w:vAlign w:val="top"/>
          </w:tcPr>
          <w:p w14:paraId="2DD5E40E">
            <w:pPr>
              <w:shd w:val="clear"/>
              <w:rPr>
                <w:rFonts w:hint="eastAsia" w:ascii="仿宋" w:hAnsi="仿宋" w:eastAsia="仿宋" w:cs="仿宋"/>
                <w:color w:val="auto"/>
                <w:sz w:val="24"/>
                <w:szCs w:val="24"/>
                <w:highlight w:val="none"/>
              </w:rPr>
            </w:pPr>
          </w:p>
        </w:tc>
        <w:tc>
          <w:tcPr>
            <w:tcW w:w="2034" w:type="dxa"/>
            <w:vAlign w:val="top"/>
          </w:tcPr>
          <w:p w14:paraId="0B95D94D">
            <w:pPr>
              <w:shd w:val="clear"/>
              <w:rPr>
                <w:rFonts w:hint="eastAsia" w:ascii="仿宋" w:hAnsi="仿宋" w:eastAsia="仿宋" w:cs="仿宋"/>
                <w:color w:val="auto"/>
                <w:sz w:val="24"/>
                <w:szCs w:val="24"/>
                <w:highlight w:val="none"/>
              </w:rPr>
            </w:pPr>
          </w:p>
        </w:tc>
        <w:tc>
          <w:tcPr>
            <w:tcW w:w="2164" w:type="dxa"/>
            <w:vAlign w:val="top"/>
          </w:tcPr>
          <w:p w14:paraId="1DC0887A">
            <w:pPr>
              <w:shd w:val="clear"/>
              <w:rPr>
                <w:rFonts w:hint="eastAsia" w:ascii="仿宋" w:hAnsi="仿宋" w:eastAsia="仿宋" w:cs="仿宋"/>
                <w:color w:val="auto"/>
                <w:sz w:val="24"/>
                <w:szCs w:val="24"/>
                <w:highlight w:val="none"/>
              </w:rPr>
            </w:pPr>
          </w:p>
        </w:tc>
      </w:tr>
      <w:tr w14:paraId="5C6CC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2934419">
            <w:pPr>
              <w:shd w:val="clear"/>
              <w:rPr>
                <w:rFonts w:hint="eastAsia" w:ascii="仿宋" w:hAnsi="仿宋" w:eastAsia="仿宋" w:cs="仿宋"/>
                <w:color w:val="auto"/>
                <w:sz w:val="24"/>
                <w:szCs w:val="24"/>
                <w:highlight w:val="none"/>
              </w:rPr>
            </w:pPr>
          </w:p>
        </w:tc>
        <w:tc>
          <w:tcPr>
            <w:tcW w:w="3441" w:type="dxa"/>
            <w:gridSpan w:val="3"/>
            <w:vAlign w:val="top"/>
          </w:tcPr>
          <w:p w14:paraId="6A8BC562">
            <w:pPr>
              <w:shd w:val="clear"/>
              <w:rPr>
                <w:rFonts w:hint="eastAsia" w:ascii="仿宋" w:hAnsi="仿宋" w:eastAsia="仿宋" w:cs="仿宋"/>
                <w:color w:val="auto"/>
                <w:sz w:val="24"/>
                <w:szCs w:val="24"/>
                <w:highlight w:val="none"/>
              </w:rPr>
            </w:pPr>
          </w:p>
        </w:tc>
        <w:tc>
          <w:tcPr>
            <w:tcW w:w="2034" w:type="dxa"/>
            <w:vAlign w:val="top"/>
          </w:tcPr>
          <w:p w14:paraId="43C24B30">
            <w:pPr>
              <w:shd w:val="clear"/>
              <w:rPr>
                <w:rFonts w:hint="eastAsia" w:ascii="仿宋" w:hAnsi="仿宋" w:eastAsia="仿宋" w:cs="仿宋"/>
                <w:color w:val="auto"/>
                <w:sz w:val="24"/>
                <w:szCs w:val="24"/>
                <w:highlight w:val="none"/>
              </w:rPr>
            </w:pPr>
          </w:p>
        </w:tc>
        <w:tc>
          <w:tcPr>
            <w:tcW w:w="2164" w:type="dxa"/>
            <w:vAlign w:val="top"/>
          </w:tcPr>
          <w:p w14:paraId="2534ED60">
            <w:pPr>
              <w:shd w:val="clear"/>
              <w:rPr>
                <w:rFonts w:hint="eastAsia" w:ascii="仿宋" w:hAnsi="仿宋" w:eastAsia="仿宋" w:cs="仿宋"/>
                <w:color w:val="auto"/>
                <w:sz w:val="24"/>
                <w:szCs w:val="24"/>
                <w:highlight w:val="none"/>
              </w:rPr>
            </w:pPr>
          </w:p>
        </w:tc>
      </w:tr>
      <w:tr w14:paraId="1002E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212D9645">
            <w:pPr>
              <w:shd w:val="clear"/>
              <w:rPr>
                <w:rFonts w:hint="eastAsia" w:ascii="仿宋" w:hAnsi="仿宋" w:eastAsia="仿宋" w:cs="仿宋"/>
                <w:color w:val="auto"/>
                <w:sz w:val="24"/>
                <w:szCs w:val="24"/>
                <w:highlight w:val="none"/>
              </w:rPr>
            </w:pPr>
          </w:p>
        </w:tc>
        <w:tc>
          <w:tcPr>
            <w:tcW w:w="3441" w:type="dxa"/>
            <w:gridSpan w:val="3"/>
            <w:vAlign w:val="top"/>
          </w:tcPr>
          <w:p w14:paraId="5B29FF0B">
            <w:pPr>
              <w:shd w:val="clear"/>
              <w:rPr>
                <w:rFonts w:hint="eastAsia" w:ascii="仿宋" w:hAnsi="仿宋" w:eastAsia="仿宋" w:cs="仿宋"/>
                <w:color w:val="auto"/>
                <w:sz w:val="24"/>
                <w:szCs w:val="24"/>
                <w:highlight w:val="none"/>
              </w:rPr>
            </w:pPr>
          </w:p>
        </w:tc>
        <w:tc>
          <w:tcPr>
            <w:tcW w:w="2034" w:type="dxa"/>
            <w:vAlign w:val="top"/>
          </w:tcPr>
          <w:p w14:paraId="5C6DC07F">
            <w:pPr>
              <w:shd w:val="clear"/>
              <w:rPr>
                <w:rFonts w:hint="eastAsia" w:ascii="仿宋" w:hAnsi="仿宋" w:eastAsia="仿宋" w:cs="仿宋"/>
                <w:color w:val="auto"/>
                <w:sz w:val="24"/>
                <w:szCs w:val="24"/>
                <w:highlight w:val="none"/>
              </w:rPr>
            </w:pPr>
          </w:p>
        </w:tc>
        <w:tc>
          <w:tcPr>
            <w:tcW w:w="2164" w:type="dxa"/>
            <w:vAlign w:val="top"/>
          </w:tcPr>
          <w:p w14:paraId="579F2E66">
            <w:pPr>
              <w:shd w:val="clear"/>
              <w:rPr>
                <w:rFonts w:hint="eastAsia" w:ascii="仿宋" w:hAnsi="仿宋" w:eastAsia="仿宋" w:cs="仿宋"/>
                <w:color w:val="auto"/>
                <w:sz w:val="24"/>
                <w:szCs w:val="24"/>
                <w:highlight w:val="none"/>
              </w:rPr>
            </w:pPr>
          </w:p>
        </w:tc>
      </w:tr>
      <w:tr w14:paraId="71BB6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A8F36E7">
            <w:pPr>
              <w:shd w:val="clear"/>
              <w:rPr>
                <w:rFonts w:hint="eastAsia" w:ascii="仿宋" w:hAnsi="仿宋" w:eastAsia="仿宋" w:cs="仿宋"/>
                <w:color w:val="auto"/>
                <w:sz w:val="24"/>
                <w:szCs w:val="24"/>
                <w:highlight w:val="none"/>
              </w:rPr>
            </w:pPr>
          </w:p>
        </w:tc>
        <w:tc>
          <w:tcPr>
            <w:tcW w:w="3441" w:type="dxa"/>
            <w:gridSpan w:val="3"/>
            <w:vAlign w:val="top"/>
          </w:tcPr>
          <w:p w14:paraId="09825206">
            <w:pPr>
              <w:shd w:val="clear"/>
              <w:rPr>
                <w:rFonts w:hint="eastAsia" w:ascii="仿宋" w:hAnsi="仿宋" w:eastAsia="仿宋" w:cs="仿宋"/>
                <w:color w:val="auto"/>
                <w:sz w:val="24"/>
                <w:szCs w:val="24"/>
                <w:highlight w:val="none"/>
              </w:rPr>
            </w:pPr>
          </w:p>
        </w:tc>
        <w:tc>
          <w:tcPr>
            <w:tcW w:w="2034" w:type="dxa"/>
            <w:vAlign w:val="top"/>
          </w:tcPr>
          <w:p w14:paraId="7635EDA3">
            <w:pPr>
              <w:shd w:val="clear"/>
              <w:rPr>
                <w:rFonts w:hint="eastAsia" w:ascii="仿宋" w:hAnsi="仿宋" w:eastAsia="仿宋" w:cs="仿宋"/>
                <w:color w:val="auto"/>
                <w:sz w:val="24"/>
                <w:szCs w:val="24"/>
                <w:highlight w:val="none"/>
              </w:rPr>
            </w:pPr>
          </w:p>
        </w:tc>
        <w:tc>
          <w:tcPr>
            <w:tcW w:w="2164" w:type="dxa"/>
            <w:vAlign w:val="top"/>
          </w:tcPr>
          <w:p w14:paraId="111B01BE">
            <w:pPr>
              <w:shd w:val="clear"/>
              <w:rPr>
                <w:rFonts w:hint="eastAsia" w:ascii="仿宋" w:hAnsi="仿宋" w:eastAsia="仿宋" w:cs="仿宋"/>
                <w:color w:val="auto"/>
                <w:sz w:val="24"/>
                <w:szCs w:val="24"/>
                <w:highlight w:val="none"/>
              </w:rPr>
            </w:pPr>
          </w:p>
        </w:tc>
      </w:tr>
      <w:tr w14:paraId="20E1E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360" w:type="dxa"/>
            <w:vAlign w:val="top"/>
          </w:tcPr>
          <w:p w14:paraId="4332DF8C">
            <w:pPr>
              <w:shd w:val="clear"/>
              <w:rPr>
                <w:rFonts w:hint="eastAsia" w:ascii="仿宋" w:hAnsi="仿宋" w:eastAsia="仿宋" w:cs="仿宋"/>
                <w:color w:val="auto"/>
                <w:sz w:val="24"/>
                <w:szCs w:val="24"/>
                <w:highlight w:val="none"/>
              </w:rPr>
            </w:pPr>
          </w:p>
        </w:tc>
        <w:tc>
          <w:tcPr>
            <w:tcW w:w="3441" w:type="dxa"/>
            <w:gridSpan w:val="3"/>
            <w:vAlign w:val="top"/>
          </w:tcPr>
          <w:p w14:paraId="3D1A637C">
            <w:pPr>
              <w:shd w:val="clear"/>
              <w:rPr>
                <w:rFonts w:hint="eastAsia" w:ascii="仿宋" w:hAnsi="仿宋" w:eastAsia="仿宋" w:cs="仿宋"/>
                <w:color w:val="auto"/>
                <w:sz w:val="24"/>
                <w:szCs w:val="24"/>
                <w:highlight w:val="none"/>
              </w:rPr>
            </w:pPr>
          </w:p>
        </w:tc>
        <w:tc>
          <w:tcPr>
            <w:tcW w:w="2034" w:type="dxa"/>
            <w:vAlign w:val="top"/>
          </w:tcPr>
          <w:p w14:paraId="4EE2BBE8">
            <w:pPr>
              <w:shd w:val="clear"/>
              <w:rPr>
                <w:rFonts w:hint="eastAsia" w:ascii="仿宋" w:hAnsi="仿宋" w:eastAsia="仿宋" w:cs="仿宋"/>
                <w:color w:val="auto"/>
                <w:sz w:val="24"/>
                <w:szCs w:val="24"/>
                <w:highlight w:val="none"/>
              </w:rPr>
            </w:pPr>
          </w:p>
        </w:tc>
        <w:tc>
          <w:tcPr>
            <w:tcW w:w="2164" w:type="dxa"/>
            <w:vAlign w:val="top"/>
          </w:tcPr>
          <w:p w14:paraId="5827319D">
            <w:pPr>
              <w:shd w:val="clear"/>
              <w:rPr>
                <w:rFonts w:hint="eastAsia" w:ascii="仿宋" w:hAnsi="仿宋" w:eastAsia="仿宋" w:cs="仿宋"/>
                <w:color w:val="auto"/>
                <w:sz w:val="24"/>
                <w:szCs w:val="24"/>
                <w:highlight w:val="none"/>
              </w:rPr>
            </w:pPr>
          </w:p>
        </w:tc>
      </w:tr>
    </w:tbl>
    <w:p w14:paraId="7851C35F">
      <w:pPr>
        <w:pStyle w:val="2"/>
        <w:keepNext w:val="0"/>
        <w:keepLines w:val="0"/>
        <w:pageBreakBefore w:val="0"/>
        <w:widowControl w:val="0"/>
        <w:shd w:val="clear"/>
        <w:kinsoku/>
        <w:wordWrap/>
        <w:overflowPunct/>
        <w:topLinePunct w:val="0"/>
        <w:autoSpaceDE/>
        <w:autoSpaceDN/>
        <w:bidi w:val="0"/>
        <w:adjustRightInd/>
        <w:snapToGrid/>
        <w:ind w:firstLine="420" w:firstLineChars="200"/>
        <w:textAlignment w:val="auto"/>
        <w:rPr>
          <w:rFonts w:ascii="Times New Roman" w:hAnsi="Times New Roman" w:eastAsia="仿宋_GB2312"/>
          <w:color w:val="auto"/>
          <w:highlight w:val="none"/>
          <w:lang w:val="zh-CN"/>
        </w:rPr>
        <w:sectPr>
          <w:footerReference r:id="rId8" w:type="default"/>
          <w:pgSz w:w="11906" w:h="16838"/>
          <w:pgMar w:top="1418" w:right="1418" w:bottom="1418" w:left="1418" w:header="851" w:footer="992" w:gutter="0"/>
          <w:pgNumType w:fmt="decimal"/>
          <w:cols w:space="720" w:num="1"/>
          <w:docGrid w:linePitch="312" w:charSpace="0"/>
        </w:sectPr>
      </w:pPr>
    </w:p>
    <w:p w14:paraId="104AF2F2">
      <w:pPr>
        <w:shd w:val="clear"/>
        <w:spacing w:before="65" w:line="228" w:lineRule="auto"/>
        <w:ind w:left="24"/>
        <w:rPr>
          <w:rFonts w:hint="eastAsia" w:ascii="仿宋" w:hAnsi="仿宋" w:eastAsia="仿宋" w:cs="仿宋"/>
          <w:b/>
          <w:bCs/>
          <w:color w:val="auto"/>
          <w:spacing w:val="5"/>
          <w:sz w:val="24"/>
          <w:szCs w:val="24"/>
          <w:highlight w:val="none"/>
        </w:rPr>
      </w:pPr>
      <w:r>
        <w:rPr>
          <w:rFonts w:hint="eastAsia" w:ascii="仿宋" w:hAnsi="仿宋" w:eastAsia="仿宋" w:cs="仿宋"/>
          <w:b/>
          <w:bCs/>
          <w:color w:val="auto"/>
          <w:spacing w:val="5"/>
          <w:sz w:val="24"/>
          <w:szCs w:val="24"/>
          <w:highlight w:val="none"/>
        </w:rPr>
        <w:t>无在建承诺函</w:t>
      </w:r>
    </w:p>
    <w:p w14:paraId="27D2A2AC">
      <w:pPr>
        <w:shd w:val="clear"/>
        <w:spacing w:before="65" w:line="228" w:lineRule="auto"/>
        <w:ind w:left="24"/>
        <w:rPr>
          <w:rFonts w:hint="eastAsia" w:ascii="仿宋" w:hAnsi="仿宋" w:eastAsia="仿宋" w:cs="仿宋"/>
          <w:b/>
          <w:bCs/>
          <w:color w:val="auto"/>
          <w:spacing w:val="5"/>
          <w:sz w:val="24"/>
          <w:szCs w:val="24"/>
          <w:highlight w:val="none"/>
        </w:rPr>
      </w:pPr>
    </w:p>
    <w:p w14:paraId="15906E10">
      <w:pPr>
        <w:shd w:val="clear"/>
        <w:spacing w:before="78" w:line="220" w:lineRule="auto"/>
        <w:ind w:left="382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rPr>
        <w:t>承诺</w:t>
      </w:r>
      <w:r>
        <w:rPr>
          <w:rFonts w:hint="eastAsia" w:ascii="仿宋" w:hAnsi="仿宋" w:eastAsia="仿宋" w:cs="仿宋"/>
          <w:b/>
          <w:bCs/>
          <w:color w:val="auto"/>
          <w:spacing w:val="-2"/>
          <w:sz w:val="24"/>
          <w:szCs w:val="24"/>
          <w:highlight w:val="none"/>
          <w:lang w:val="en-US" w:eastAsia="zh-CN"/>
        </w:rPr>
        <w:t>函</w:t>
      </w:r>
    </w:p>
    <w:p w14:paraId="6C0A70FC">
      <w:pPr>
        <w:shd w:val="clear"/>
        <w:spacing w:before="65" w:line="228" w:lineRule="auto"/>
        <w:ind w:left="22" w:leftChars="0"/>
        <w:rPr>
          <w:rFonts w:hint="eastAsia" w:ascii="仿宋" w:hAnsi="仿宋" w:eastAsia="仿宋" w:cs="仿宋"/>
          <w:b/>
          <w:bCs/>
          <w:color w:val="auto"/>
          <w:spacing w:val="6"/>
          <w:sz w:val="24"/>
          <w:szCs w:val="24"/>
          <w:highlight w:val="none"/>
        </w:rPr>
      </w:pPr>
    </w:p>
    <w:p w14:paraId="4A0C8B31">
      <w:pPr>
        <w:shd w:val="clear"/>
        <w:spacing w:before="65" w:line="228" w:lineRule="auto"/>
        <w:ind w:left="22" w:leftChars="0"/>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致：</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w w:val="100"/>
          <w:kern w:val="0"/>
          <w:sz w:val="24"/>
          <w:szCs w:val="24"/>
          <w:highlight w:val="none"/>
          <w:u w:val="single" w:color="auto"/>
          <w:fitText w:val="3640" w:id="130491225"/>
        </w:rPr>
        <w:t xml:space="preserve"> 陕西省采购招标有限责任公</w:t>
      </w:r>
      <w:r>
        <w:rPr>
          <w:rFonts w:hint="eastAsia" w:ascii="仿宋" w:hAnsi="仿宋" w:eastAsia="仿宋" w:cs="仿宋"/>
          <w:color w:val="auto"/>
          <w:spacing w:val="5"/>
          <w:w w:val="100"/>
          <w:kern w:val="0"/>
          <w:sz w:val="24"/>
          <w:szCs w:val="24"/>
          <w:highlight w:val="none"/>
          <w:u w:val="single" w:color="auto"/>
          <w:fitText w:val="3640" w:id="130491225"/>
        </w:rPr>
        <w:t>司</w:t>
      </w:r>
    </w:p>
    <w:p w14:paraId="4925F4EB">
      <w:pPr>
        <w:pStyle w:val="2"/>
        <w:shd w:val="clear"/>
        <w:spacing w:line="292" w:lineRule="auto"/>
        <w:rPr>
          <w:rFonts w:hint="eastAsia" w:ascii="仿宋" w:hAnsi="仿宋" w:eastAsia="仿宋" w:cs="仿宋"/>
          <w:color w:val="auto"/>
          <w:sz w:val="24"/>
          <w:szCs w:val="24"/>
          <w:highlight w:val="none"/>
        </w:rPr>
      </w:pPr>
    </w:p>
    <w:p w14:paraId="208414B9">
      <w:pPr>
        <w:keepNext w:val="0"/>
        <w:keepLines w:val="0"/>
        <w:pageBreakBefore w:val="0"/>
        <w:widowControl w:val="0"/>
        <w:shd w:val="clear"/>
        <w:kinsoku/>
        <w:wordWrap/>
        <w:overflowPunct/>
        <w:topLinePunct w:val="0"/>
        <w:autoSpaceDE/>
        <w:autoSpaceDN/>
        <w:bidi w:val="0"/>
        <w:adjustRightInd/>
        <w:snapToGrid/>
        <w:spacing w:before="78" w:line="360" w:lineRule="auto"/>
        <w:ind w:firstLine="452" w:firstLineChars="200"/>
        <w:jc w:val="both"/>
        <w:textAlignment w:val="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7"/>
          <w:sz w:val="24"/>
          <w:szCs w:val="24"/>
          <w:highlight w:val="none"/>
        </w:rPr>
        <w:t>我方在此声明，我方拟派往</w:t>
      </w:r>
      <w:r>
        <w:rPr>
          <w:rFonts w:hint="eastAsia" w:ascii="仿宋" w:hAnsi="仿宋" w:eastAsia="仿宋" w:cs="仿宋"/>
          <w:color w:val="auto"/>
          <w:spacing w:val="-7"/>
          <w:sz w:val="24"/>
          <w:szCs w:val="24"/>
          <w:highlight w:val="none"/>
          <w:u w:val="single" w:color="auto"/>
        </w:rPr>
        <w:t xml:space="preserve">    </w:t>
      </w:r>
      <w:r>
        <w:rPr>
          <w:rFonts w:hint="eastAsia" w:ascii="仿宋" w:hAnsi="仿宋" w:eastAsia="仿宋" w:cs="仿宋"/>
          <w:color w:val="auto"/>
          <w:spacing w:val="-8"/>
          <w:sz w:val="24"/>
          <w:szCs w:val="24"/>
          <w:highlight w:val="none"/>
          <w:u w:val="single" w:color="auto"/>
        </w:rPr>
        <w:t xml:space="preserve">  </w:t>
      </w:r>
      <w:r>
        <w:rPr>
          <w:rFonts w:hint="eastAsia" w:ascii="仿宋" w:hAnsi="仿宋" w:eastAsia="仿宋" w:cs="仿宋"/>
          <w:color w:val="auto"/>
          <w:spacing w:val="-8"/>
          <w:sz w:val="24"/>
          <w:szCs w:val="24"/>
          <w:highlight w:val="none"/>
        </w:rPr>
        <w:t>（项目名称</w:t>
      </w:r>
      <w:r>
        <w:rPr>
          <w:rFonts w:hint="eastAsia" w:ascii="仿宋" w:hAnsi="仿宋" w:eastAsia="仿宋" w:cs="仿宋"/>
          <w:color w:val="auto"/>
          <w:spacing w:val="-58"/>
          <w:sz w:val="24"/>
          <w:szCs w:val="24"/>
          <w:highlight w:val="none"/>
        </w:rPr>
        <w:t>）</w:t>
      </w:r>
      <w:r>
        <w:rPr>
          <w:rFonts w:hint="eastAsia" w:ascii="仿宋" w:hAnsi="仿宋" w:eastAsia="仿宋" w:cs="仿宋"/>
          <w:color w:val="auto"/>
          <w:spacing w:val="-58"/>
          <w:sz w:val="24"/>
          <w:szCs w:val="24"/>
          <w:highlight w:val="none"/>
          <w:lang w:val="en-US" w:eastAsia="zh-CN"/>
        </w:rPr>
        <w:t>(</w:t>
      </w:r>
      <w:r>
        <w:rPr>
          <w:rFonts w:hint="eastAsia" w:ascii="仿宋" w:hAnsi="仿宋" w:eastAsia="仿宋" w:cs="仿宋"/>
          <w:color w:val="auto"/>
          <w:spacing w:val="-8"/>
          <w:sz w:val="24"/>
          <w:szCs w:val="24"/>
          <w:highlight w:val="none"/>
        </w:rPr>
        <w:t>以下简称“本工程</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8"/>
          <w:sz w:val="24"/>
          <w:szCs w:val="24"/>
          <w:highlight w:val="none"/>
          <w:lang w:val="en-US" w:eastAsia="zh-CN"/>
        </w:rPr>
        <w:t>)</w:t>
      </w:r>
      <w:r>
        <w:rPr>
          <w:rFonts w:hint="eastAsia" w:ascii="仿宋" w:hAnsi="仿宋" w:eastAsia="仿宋" w:cs="仿宋"/>
          <w:color w:val="auto"/>
          <w:sz w:val="24"/>
          <w:szCs w:val="24"/>
          <w:highlight w:val="none"/>
        </w:rPr>
        <w:t>的项目经理</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z w:val="24"/>
          <w:szCs w:val="24"/>
          <w:highlight w:val="none"/>
        </w:rPr>
        <w:t>（项目经理）现阶段没有担任任何在施建设</w:t>
      </w:r>
      <w:r>
        <w:rPr>
          <w:rFonts w:hint="eastAsia" w:ascii="仿宋" w:hAnsi="仿宋" w:eastAsia="仿宋" w:cs="仿宋"/>
          <w:color w:val="auto"/>
          <w:spacing w:val="-1"/>
          <w:sz w:val="24"/>
          <w:szCs w:val="24"/>
          <w:highlight w:val="none"/>
        </w:rPr>
        <w:t>工程项目</w:t>
      </w:r>
      <w:r>
        <w:rPr>
          <w:rFonts w:hint="eastAsia" w:ascii="仿宋" w:hAnsi="仿宋" w:eastAsia="仿宋" w:cs="仿宋"/>
          <w:color w:val="auto"/>
          <w:spacing w:val="-5"/>
          <w:sz w:val="24"/>
          <w:szCs w:val="24"/>
          <w:highlight w:val="none"/>
        </w:rPr>
        <w:t>的项目经理。</w:t>
      </w:r>
    </w:p>
    <w:p w14:paraId="207B18AC">
      <w:pPr>
        <w:keepNext w:val="0"/>
        <w:keepLines w:val="0"/>
        <w:pageBreakBefore w:val="0"/>
        <w:widowControl w:val="0"/>
        <w:shd w:val="clear"/>
        <w:kinsoku/>
        <w:wordWrap/>
        <w:overflowPunct/>
        <w:topLinePunct w:val="0"/>
        <w:autoSpaceDE/>
        <w:autoSpaceDN/>
        <w:bidi w:val="0"/>
        <w:adjustRightInd/>
        <w:snapToGrid/>
        <w:spacing w:before="78" w:line="360" w:lineRule="auto"/>
        <w:ind w:firstLine="468"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我方保证上述信息的真实和准确，并愿意承担因我方就此弄</w:t>
      </w:r>
      <w:r>
        <w:rPr>
          <w:rFonts w:hint="eastAsia" w:ascii="仿宋" w:hAnsi="仿宋" w:eastAsia="仿宋" w:cs="仿宋"/>
          <w:color w:val="auto"/>
          <w:spacing w:val="-4"/>
          <w:sz w:val="24"/>
          <w:szCs w:val="24"/>
          <w:highlight w:val="none"/>
        </w:rPr>
        <w:t>虚作假所引起的</w:t>
      </w:r>
      <w:r>
        <w:rPr>
          <w:rFonts w:hint="eastAsia" w:ascii="仿宋" w:hAnsi="仿宋" w:eastAsia="仿宋" w:cs="仿宋"/>
          <w:color w:val="auto"/>
          <w:spacing w:val="-2"/>
          <w:sz w:val="24"/>
          <w:szCs w:val="24"/>
          <w:highlight w:val="none"/>
        </w:rPr>
        <w:t>一切法律后果。</w:t>
      </w:r>
    </w:p>
    <w:p w14:paraId="2D2F8616">
      <w:pPr>
        <w:pStyle w:val="2"/>
        <w:shd w:val="clear"/>
        <w:spacing w:line="264" w:lineRule="auto"/>
        <w:rPr>
          <w:rFonts w:hint="eastAsia" w:ascii="仿宋" w:hAnsi="仿宋" w:eastAsia="仿宋" w:cs="仿宋"/>
          <w:color w:val="auto"/>
          <w:sz w:val="24"/>
          <w:szCs w:val="24"/>
          <w:highlight w:val="none"/>
        </w:rPr>
      </w:pPr>
    </w:p>
    <w:p w14:paraId="28FA4600">
      <w:pPr>
        <w:pStyle w:val="2"/>
        <w:shd w:val="clear"/>
        <w:spacing w:line="264" w:lineRule="auto"/>
        <w:rPr>
          <w:rFonts w:hint="eastAsia" w:ascii="仿宋" w:hAnsi="仿宋" w:eastAsia="仿宋" w:cs="仿宋"/>
          <w:color w:val="auto"/>
          <w:sz w:val="24"/>
          <w:szCs w:val="24"/>
          <w:highlight w:val="none"/>
        </w:rPr>
      </w:pPr>
    </w:p>
    <w:p w14:paraId="16E36D01">
      <w:pPr>
        <w:pStyle w:val="2"/>
        <w:shd w:val="clear"/>
        <w:spacing w:line="264" w:lineRule="auto"/>
        <w:rPr>
          <w:rFonts w:hint="eastAsia" w:ascii="仿宋" w:hAnsi="仿宋" w:eastAsia="仿宋" w:cs="仿宋"/>
          <w:color w:val="auto"/>
          <w:sz w:val="24"/>
          <w:szCs w:val="24"/>
          <w:highlight w:val="none"/>
        </w:rPr>
      </w:pPr>
    </w:p>
    <w:p w14:paraId="79AED32D">
      <w:pPr>
        <w:shd w:val="clear"/>
        <w:spacing w:before="78" w:line="220" w:lineRule="auto"/>
        <w:ind w:left="503"/>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特此承诺</w:t>
      </w:r>
    </w:p>
    <w:p w14:paraId="194333FB">
      <w:pPr>
        <w:shd w:val="clear"/>
        <w:spacing w:before="78" w:line="220" w:lineRule="auto"/>
        <w:rPr>
          <w:rFonts w:hint="eastAsia" w:ascii="仿宋" w:hAnsi="仿宋" w:eastAsia="仿宋" w:cs="仿宋"/>
          <w:color w:val="auto"/>
          <w:sz w:val="24"/>
          <w:szCs w:val="24"/>
          <w:highlight w:val="none"/>
        </w:rPr>
      </w:pPr>
    </w:p>
    <w:p w14:paraId="4606B607">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供应商（盖公章）：                       </w:t>
      </w:r>
    </w:p>
    <w:p w14:paraId="02FE468F">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pacing w:val="1"/>
          <w:sz w:val="24"/>
          <w:szCs w:val="24"/>
          <w:highlight w:val="none"/>
        </w:rPr>
        <w:t>或</w:t>
      </w:r>
      <w:r>
        <w:rPr>
          <w:rFonts w:hint="eastAsia" w:ascii="仿宋" w:hAnsi="仿宋" w:eastAsia="仿宋" w:cs="仿宋"/>
          <w:color w:val="auto"/>
          <w:spacing w:val="1"/>
          <w:sz w:val="24"/>
          <w:szCs w:val="24"/>
          <w:highlight w:val="none"/>
          <w:lang w:eastAsia="zh-CN"/>
        </w:rPr>
        <w:t>委托代理人</w:t>
      </w:r>
      <w:r>
        <w:rPr>
          <w:rFonts w:hint="eastAsia" w:ascii="仿宋" w:hAnsi="仿宋" w:eastAsia="仿宋" w:cs="仿宋"/>
          <w:color w:val="auto"/>
          <w:spacing w:val="1"/>
          <w:sz w:val="24"/>
          <w:szCs w:val="24"/>
          <w:highlight w:val="none"/>
        </w:rPr>
        <w:t xml:space="preserve">（签字或盖章）：         </w:t>
      </w:r>
    </w:p>
    <w:p w14:paraId="5E813E27">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日    期：  </w:t>
      </w:r>
    </w:p>
    <w:p w14:paraId="35F31CE5">
      <w:pPr>
        <w:pStyle w:val="50"/>
        <w:numPr>
          <w:ilvl w:val="0"/>
          <w:numId w:val="0"/>
        </w:numPr>
        <w:shd w:val="clear"/>
        <w:ind w:leftChars="0"/>
        <w:jc w:val="center"/>
        <w:rPr>
          <w:rStyle w:val="299"/>
          <w:rFonts w:hint="eastAsia" w:ascii="仿宋" w:hAnsi="仿宋" w:eastAsia="仿宋" w:cs="仿宋"/>
          <w:color w:val="auto"/>
          <w:szCs w:val="30"/>
          <w:highlight w:val="none"/>
        </w:rPr>
      </w:pPr>
    </w:p>
    <w:p w14:paraId="6AAA3395">
      <w:pPr>
        <w:pStyle w:val="50"/>
        <w:numPr>
          <w:ilvl w:val="0"/>
          <w:numId w:val="0"/>
        </w:numPr>
        <w:shd w:val="clear"/>
        <w:ind w:leftChars="0"/>
        <w:jc w:val="center"/>
        <w:rPr>
          <w:rStyle w:val="299"/>
          <w:rFonts w:hint="eastAsia" w:ascii="仿宋" w:hAnsi="仿宋" w:eastAsia="仿宋" w:cs="仿宋"/>
          <w:color w:val="auto"/>
          <w:szCs w:val="30"/>
          <w:highlight w:val="none"/>
        </w:rPr>
      </w:pPr>
    </w:p>
    <w:p w14:paraId="388B13E0">
      <w:pPr>
        <w:pStyle w:val="50"/>
        <w:numPr>
          <w:ilvl w:val="0"/>
          <w:numId w:val="0"/>
        </w:numPr>
        <w:shd w:val="clear"/>
        <w:ind w:leftChars="0"/>
        <w:jc w:val="center"/>
        <w:rPr>
          <w:rStyle w:val="299"/>
          <w:rFonts w:hint="eastAsia" w:ascii="仿宋" w:hAnsi="仿宋" w:eastAsia="仿宋" w:cs="仿宋"/>
          <w:color w:val="auto"/>
          <w:szCs w:val="30"/>
          <w:highlight w:val="none"/>
        </w:rPr>
      </w:pPr>
    </w:p>
    <w:p w14:paraId="22D95DD1">
      <w:pPr>
        <w:pStyle w:val="50"/>
        <w:numPr>
          <w:ilvl w:val="0"/>
          <w:numId w:val="0"/>
        </w:numPr>
        <w:shd w:val="clear"/>
        <w:ind w:leftChars="0"/>
        <w:jc w:val="center"/>
        <w:rPr>
          <w:rStyle w:val="299"/>
          <w:rFonts w:hint="eastAsia" w:ascii="仿宋" w:hAnsi="仿宋" w:eastAsia="仿宋" w:cs="仿宋"/>
          <w:color w:val="auto"/>
          <w:szCs w:val="30"/>
          <w:highlight w:val="none"/>
        </w:rPr>
      </w:pPr>
    </w:p>
    <w:p w14:paraId="5702188D">
      <w:pPr>
        <w:pStyle w:val="50"/>
        <w:numPr>
          <w:ilvl w:val="0"/>
          <w:numId w:val="0"/>
        </w:numPr>
        <w:shd w:val="clear"/>
        <w:ind w:leftChars="0"/>
        <w:jc w:val="center"/>
        <w:rPr>
          <w:rStyle w:val="299"/>
          <w:rFonts w:hint="eastAsia" w:ascii="仿宋" w:hAnsi="仿宋" w:eastAsia="仿宋" w:cs="仿宋"/>
          <w:color w:val="auto"/>
          <w:szCs w:val="30"/>
          <w:highlight w:val="none"/>
        </w:rPr>
      </w:pPr>
    </w:p>
    <w:p w14:paraId="575D1CAB">
      <w:pPr>
        <w:pStyle w:val="2"/>
        <w:rPr>
          <w:rFonts w:hint="eastAsia"/>
          <w:lang w:val="zh-CN"/>
        </w:rPr>
      </w:pPr>
    </w:p>
    <w:p w14:paraId="11EE801C">
      <w:pPr>
        <w:pStyle w:val="50"/>
        <w:numPr>
          <w:ilvl w:val="0"/>
          <w:numId w:val="0"/>
        </w:numPr>
        <w:shd w:val="clear"/>
        <w:ind w:leftChars="0"/>
        <w:jc w:val="center"/>
        <w:rPr>
          <w:rStyle w:val="299"/>
          <w:rFonts w:hint="eastAsia" w:ascii="仿宋" w:hAnsi="仿宋" w:eastAsia="仿宋" w:cs="仿宋"/>
          <w:color w:val="auto"/>
          <w:szCs w:val="30"/>
          <w:highlight w:val="none"/>
        </w:rPr>
      </w:pPr>
    </w:p>
    <w:p w14:paraId="5454F424">
      <w:pPr>
        <w:pStyle w:val="50"/>
        <w:numPr>
          <w:ilvl w:val="0"/>
          <w:numId w:val="0"/>
        </w:numPr>
        <w:shd w:val="clear"/>
        <w:ind w:leftChars="0"/>
        <w:jc w:val="center"/>
        <w:rPr>
          <w:rStyle w:val="299"/>
          <w:rFonts w:hint="eastAsia" w:ascii="仿宋" w:hAnsi="仿宋" w:eastAsia="仿宋" w:cs="仿宋"/>
          <w:color w:val="auto"/>
          <w:szCs w:val="30"/>
          <w:highlight w:val="none"/>
        </w:rPr>
      </w:pPr>
    </w:p>
    <w:p w14:paraId="0C092109">
      <w:pPr>
        <w:pStyle w:val="50"/>
        <w:numPr>
          <w:ilvl w:val="0"/>
          <w:numId w:val="0"/>
        </w:numPr>
        <w:shd w:val="clear"/>
        <w:ind w:leftChars="0"/>
        <w:jc w:val="center"/>
        <w:rPr>
          <w:rStyle w:val="299"/>
          <w:rFonts w:hint="eastAsia" w:ascii="仿宋" w:hAnsi="仿宋" w:eastAsia="仿宋" w:cs="仿宋"/>
          <w:color w:val="auto"/>
          <w:szCs w:val="30"/>
          <w:highlight w:val="none"/>
        </w:rPr>
      </w:pPr>
    </w:p>
    <w:p w14:paraId="5C663E03">
      <w:pPr>
        <w:pStyle w:val="50"/>
        <w:numPr>
          <w:ilvl w:val="0"/>
          <w:numId w:val="0"/>
        </w:numPr>
        <w:shd w:val="clear"/>
        <w:ind w:leftChars="0"/>
        <w:jc w:val="center"/>
        <w:rPr>
          <w:rStyle w:val="299"/>
          <w:rFonts w:hint="eastAsia" w:ascii="仿宋" w:hAnsi="仿宋" w:eastAsia="仿宋" w:cs="仿宋"/>
          <w:color w:val="auto"/>
          <w:szCs w:val="30"/>
          <w:highlight w:val="none"/>
        </w:rPr>
      </w:pPr>
    </w:p>
    <w:p w14:paraId="3BCEFD19">
      <w:pPr>
        <w:pStyle w:val="50"/>
        <w:numPr>
          <w:ilvl w:val="0"/>
          <w:numId w:val="0"/>
        </w:numPr>
        <w:shd w:val="clear"/>
        <w:ind w:leftChars="0"/>
        <w:jc w:val="center"/>
        <w:rPr>
          <w:rStyle w:val="299"/>
          <w:rFonts w:hint="eastAsia" w:ascii="仿宋" w:hAnsi="仿宋" w:eastAsia="仿宋" w:cs="仿宋"/>
          <w:color w:val="auto"/>
          <w:szCs w:val="30"/>
          <w:highlight w:val="none"/>
        </w:rPr>
      </w:pPr>
    </w:p>
    <w:p w14:paraId="3A799FF4">
      <w:pPr>
        <w:pStyle w:val="50"/>
        <w:numPr>
          <w:ilvl w:val="0"/>
          <w:numId w:val="0"/>
        </w:numPr>
        <w:shd w:val="clear"/>
        <w:ind w:leftChars="0"/>
        <w:jc w:val="center"/>
        <w:rPr>
          <w:rStyle w:val="299"/>
          <w:rFonts w:hint="eastAsia" w:ascii="仿宋" w:hAnsi="仿宋" w:eastAsia="仿宋" w:cs="仿宋"/>
          <w:color w:val="auto"/>
          <w:szCs w:val="30"/>
          <w:highlight w:val="none"/>
        </w:rPr>
      </w:pPr>
    </w:p>
    <w:p w14:paraId="1F98033D">
      <w:pPr>
        <w:pStyle w:val="7"/>
        <w:shd w:val="clear" w:color="auto"/>
        <w:jc w:val="center"/>
        <w:rPr>
          <w:rFonts w:hint="eastAsia" w:ascii="仿宋" w:hAnsi="仿宋" w:eastAsia="仿宋" w:cs="仿宋"/>
          <w:b/>
          <w:bCs/>
          <w:color w:val="auto"/>
          <w:sz w:val="32"/>
          <w:szCs w:val="32"/>
          <w:highlight w:val="none"/>
          <w:lang w:val="en-US" w:eastAsia="zh-CN"/>
        </w:rPr>
      </w:pPr>
      <w:bookmarkStart w:id="540" w:name="_Toc8630"/>
      <w:bookmarkStart w:id="541" w:name="_Toc60928918"/>
      <w:bookmarkStart w:id="542" w:name="_Toc114840479"/>
      <w:bookmarkStart w:id="543" w:name="_Toc60929150"/>
      <w:bookmarkStart w:id="544" w:name="_Toc105505644"/>
      <w:r>
        <w:rPr>
          <w:rFonts w:hint="eastAsia" w:ascii="仿宋" w:hAnsi="仿宋" w:eastAsia="仿宋" w:cs="仿宋"/>
          <w:b/>
          <w:bCs/>
          <w:color w:val="auto"/>
          <w:sz w:val="32"/>
          <w:szCs w:val="32"/>
          <w:highlight w:val="none"/>
          <w:lang w:val="en-US" w:eastAsia="zh-CN"/>
        </w:rPr>
        <w:t>业绩一览表</w:t>
      </w:r>
      <w:bookmarkEnd w:id="540"/>
      <w:bookmarkEnd w:id="541"/>
      <w:bookmarkEnd w:id="542"/>
      <w:bookmarkEnd w:id="543"/>
      <w:bookmarkEnd w:id="544"/>
    </w:p>
    <w:p w14:paraId="0451FC85">
      <w:pPr>
        <w:shd w:val="clear" w:color="auto"/>
        <w:rPr>
          <w:rFonts w:hint="eastAsia" w:ascii="仿宋" w:hAnsi="仿宋" w:eastAsia="仿宋" w:cs="仿宋"/>
          <w:color w:val="auto"/>
          <w:sz w:val="24"/>
          <w:highlight w:val="none"/>
          <w:u w:val="single"/>
        </w:rPr>
      </w:pPr>
    </w:p>
    <w:tbl>
      <w:tblPr>
        <w:tblStyle w:val="5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37FC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22AAB5C">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980" w:type="dxa"/>
            <w:noWrap w:val="0"/>
            <w:vAlign w:val="center"/>
          </w:tcPr>
          <w:p w14:paraId="77F24173">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项目名称</w:t>
            </w:r>
          </w:p>
        </w:tc>
        <w:tc>
          <w:tcPr>
            <w:tcW w:w="1800" w:type="dxa"/>
            <w:tcBorders>
              <w:left w:val="single" w:color="auto" w:sz="4" w:space="0"/>
              <w:right w:val="single" w:color="auto" w:sz="4" w:space="0"/>
            </w:tcBorders>
            <w:noWrap w:val="0"/>
            <w:vAlign w:val="center"/>
          </w:tcPr>
          <w:p w14:paraId="0E413AA0">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合同金额（万元）</w:t>
            </w:r>
          </w:p>
        </w:tc>
        <w:tc>
          <w:tcPr>
            <w:tcW w:w="1441" w:type="dxa"/>
            <w:noWrap w:val="0"/>
            <w:vAlign w:val="center"/>
          </w:tcPr>
          <w:p w14:paraId="20500F82">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完成日期</w:t>
            </w:r>
          </w:p>
        </w:tc>
        <w:tc>
          <w:tcPr>
            <w:tcW w:w="2700" w:type="dxa"/>
            <w:noWrap w:val="0"/>
            <w:vAlign w:val="center"/>
          </w:tcPr>
          <w:p w14:paraId="3FD47C48">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业主名称、联系人及电话</w:t>
            </w:r>
          </w:p>
        </w:tc>
      </w:tr>
      <w:tr w14:paraId="770E5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EF3EE86">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980" w:type="dxa"/>
            <w:noWrap w:val="0"/>
            <w:vAlign w:val="center"/>
          </w:tcPr>
          <w:p w14:paraId="5CFF6034">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085D295">
            <w:pPr>
              <w:shd w:val="clear" w:color="auto"/>
              <w:jc w:val="center"/>
              <w:rPr>
                <w:rFonts w:hint="eastAsia" w:ascii="仿宋" w:hAnsi="仿宋" w:eastAsia="仿宋" w:cs="仿宋"/>
                <w:color w:val="auto"/>
                <w:sz w:val="24"/>
                <w:highlight w:val="none"/>
              </w:rPr>
            </w:pPr>
          </w:p>
        </w:tc>
        <w:tc>
          <w:tcPr>
            <w:tcW w:w="1441" w:type="dxa"/>
            <w:noWrap w:val="0"/>
            <w:vAlign w:val="center"/>
          </w:tcPr>
          <w:p w14:paraId="08837A04">
            <w:pPr>
              <w:shd w:val="clear" w:color="auto"/>
              <w:jc w:val="center"/>
              <w:rPr>
                <w:rFonts w:hint="eastAsia" w:ascii="仿宋" w:hAnsi="仿宋" w:eastAsia="仿宋" w:cs="仿宋"/>
                <w:color w:val="auto"/>
                <w:sz w:val="24"/>
                <w:highlight w:val="none"/>
              </w:rPr>
            </w:pPr>
          </w:p>
        </w:tc>
        <w:tc>
          <w:tcPr>
            <w:tcW w:w="2700" w:type="dxa"/>
            <w:noWrap w:val="0"/>
            <w:vAlign w:val="top"/>
          </w:tcPr>
          <w:p w14:paraId="2ABFA7CC">
            <w:pPr>
              <w:shd w:val="clear" w:color="auto"/>
              <w:jc w:val="center"/>
              <w:rPr>
                <w:rFonts w:hint="eastAsia" w:ascii="仿宋" w:hAnsi="仿宋" w:eastAsia="仿宋" w:cs="仿宋"/>
                <w:color w:val="auto"/>
                <w:sz w:val="24"/>
                <w:highlight w:val="none"/>
              </w:rPr>
            </w:pPr>
          </w:p>
        </w:tc>
      </w:tr>
      <w:tr w14:paraId="25360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3815C6E">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980" w:type="dxa"/>
            <w:noWrap w:val="0"/>
            <w:vAlign w:val="center"/>
          </w:tcPr>
          <w:p w14:paraId="45704956">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53E35DC">
            <w:pPr>
              <w:shd w:val="clear" w:color="auto"/>
              <w:jc w:val="center"/>
              <w:rPr>
                <w:rFonts w:hint="eastAsia" w:ascii="仿宋" w:hAnsi="仿宋" w:eastAsia="仿宋" w:cs="仿宋"/>
                <w:color w:val="auto"/>
                <w:sz w:val="24"/>
                <w:highlight w:val="none"/>
              </w:rPr>
            </w:pPr>
          </w:p>
        </w:tc>
        <w:tc>
          <w:tcPr>
            <w:tcW w:w="1441" w:type="dxa"/>
            <w:noWrap w:val="0"/>
            <w:vAlign w:val="center"/>
          </w:tcPr>
          <w:p w14:paraId="03B40B50">
            <w:pPr>
              <w:shd w:val="clear" w:color="auto"/>
              <w:jc w:val="center"/>
              <w:rPr>
                <w:rFonts w:hint="eastAsia" w:ascii="仿宋" w:hAnsi="仿宋" w:eastAsia="仿宋" w:cs="仿宋"/>
                <w:color w:val="auto"/>
                <w:sz w:val="24"/>
                <w:highlight w:val="none"/>
              </w:rPr>
            </w:pPr>
          </w:p>
        </w:tc>
        <w:tc>
          <w:tcPr>
            <w:tcW w:w="2700" w:type="dxa"/>
            <w:noWrap w:val="0"/>
            <w:vAlign w:val="top"/>
          </w:tcPr>
          <w:p w14:paraId="233E5D16">
            <w:pPr>
              <w:shd w:val="clear" w:color="auto"/>
              <w:jc w:val="center"/>
              <w:rPr>
                <w:rFonts w:hint="eastAsia" w:ascii="仿宋" w:hAnsi="仿宋" w:eastAsia="仿宋" w:cs="仿宋"/>
                <w:color w:val="auto"/>
                <w:sz w:val="24"/>
                <w:highlight w:val="none"/>
              </w:rPr>
            </w:pPr>
          </w:p>
        </w:tc>
      </w:tr>
      <w:tr w14:paraId="11183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05BAE90">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980" w:type="dxa"/>
            <w:noWrap w:val="0"/>
            <w:vAlign w:val="center"/>
          </w:tcPr>
          <w:p w14:paraId="225E1834">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9B1A07E">
            <w:pPr>
              <w:shd w:val="clear" w:color="auto"/>
              <w:jc w:val="center"/>
              <w:rPr>
                <w:rFonts w:hint="eastAsia" w:ascii="仿宋" w:hAnsi="仿宋" w:eastAsia="仿宋" w:cs="仿宋"/>
                <w:color w:val="auto"/>
                <w:sz w:val="24"/>
                <w:highlight w:val="none"/>
              </w:rPr>
            </w:pPr>
          </w:p>
        </w:tc>
        <w:tc>
          <w:tcPr>
            <w:tcW w:w="1441" w:type="dxa"/>
            <w:noWrap w:val="0"/>
            <w:vAlign w:val="center"/>
          </w:tcPr>
          <w:p w14:paraId="720EDF2E">
            <w:pPr>
              <w:shd w:val="clear" w:color="auto"/>
              <w:jc w:val="center"/>
              <w:rPr>
                <w:rFonts w:hint="eastAsia" w:ascii="仿宋" w:hAnsi="仿宋" w:eastAsia="仿宋" w:cs="仿宋"/>
                <w:color w:val="auto"/>
                <w:sz w:val="24"/>
                <w:highlight w:val="none"/>
              </w:rPr>
            </w:pPr>
          </w:p>
        </w:tc>
        <w:tc>
          <w:tcPr>
            <w:tcW w:w="2700" w:type="dxa"/>
            <w:noWrap w:val="0"/>
            <w:vAlign w:val="top"/>
          </w:tcPr>
          <w:p w14:paraId="31BBC81C">
            <w:pPr>
              <w:shd w:val="clear" w:color="auto"/>
              <w:jc w:val="center"/>
              <w:rPr>
                <w:rFonts w:hint="eastAsia" w:ascii="仿宋" w:hAnsi="仿宋" w:eastAsia="仿宋" w:cs="仿宋"/>
                <w:color w:val="auto"/>
                <w:sz w:val="24"/>
                <w:highlight w:val="none"/>
              </w:rPr>
            </w:pPr>
          </w:p>
        </w:tc>
      </w:tr>
      <w:tr w14:paraId="3A395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8831218">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980" w:type="dxa"/>
            <w:noWrap w:val="0"/>
            <w:vAlign w:val="center"/>
          </w:tcPr>
          <w:p w14:paraId="679E9C71">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6E023B14">
            <w:pPr>
              <w:shd w:val="clear" w:color="auto"/>
              <w:jc w:val="center"/>
              <w:rPr>
                <w:rFonts w:hint="eastAsia" w:ascii="仿宋" w:hAnsi="仿宋" w:eastAsia="仿宋" w:cs="仿宋"/>
                <w:color w:val="auto"/>
                <w:sz w:val="24"/>
                <w:highlight w:val="none"/>
              </w:rPr>
            </w:pPr>
          </w:p>
        </w:tc>
        <w:tc>
          <w:tcPr>
            <w:tcW w:w="1441" w:type="dxa"/>
            <w:noWrap w:val="0"/>
            <w:vAlign w:val="center"/>
          </w:tcPr>
          <w:p w14:paraId="6BD69C56">
            <w:pPr>
              <w:shd w:val="clear" w:color="auto"/>
              <w:jc w:val="center"/>
              <w:rPr>
                <w:rFonts w:hint="eastAsia" w:ascii="仿宋" w:hAnsi="仿宋" w:eastAsia="仿宋" w:cs="仿宋"/>
                <w:color w:val="auto"/>
                <w:sz w:val="24"/>
                <w:highlight w:val="none"/>
              </w:rPr>
            </w:pPr>
          </w:p>
        </w:tc>
        <w:tc>
          <w:tcPr>
            <w:tcW w:w="2700" w:type="dxa"/>
            <w:noWrap w:val="0"/>
            <w:vAlign w:val="top"/>
          </w:tcPr>
          <w:p w14:paraId="0A11E6C5">
            <w:pPr>
              <w:shd w:val="clear" w:color="auto"/>
              <w:jc w:val="center"/>
              <w:rPr>
                <w:rFonts w:hint="eastAsia" w:ascii="仿宋" w:hAnsi="仿宋" w:eastAsia="仿宋" w:cs="仿宋"/>
                <w:color w:val="auto"/>
                <w:sz w:val="24"/>
                <w:highlight w:val="none"/>
              </w:rPr>
            </w:pPr>
          </w:p>
        </w:tc>
      </w:tr>
      <w:tr w14:paraId="522F9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E068522">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980" w:type="dxa"/>
            <w:noWrap w:val="0"/>
            <w:vAlign w:val="center"/>
          </w:tcPr>
          <w:p w14:paraId="23B0820E">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47E62552">
            <w:pPr>
              <w:shd w:val="clear" w:color="auto"/>
              <w:jc w:val="center"/>
              <w:rPr>
                <w:rFonts w:hint="eastAsia" w:ascii="仿宋" w:hAnsi="仿宋" w:eastAsia="仿宋" w:cs="仿宋"/>
                <w:color w:val="auto"/>
                <w:sz w:val="24"/>
                <w:highlight w:val="none"/>
              </w:rPr>
            </w:pPr>
          </w:p>
        </w:tc>
        <w:tc>
          <w:tcPr>
            <w:tcW w:w="1441" w:type="dxa"/>
            <w:noWrap w:val="0"/>
            <w:vAlign w:val="center"/>
          </w:tcPr>
          <w:p w14:paraId="101A8AC5">
            <w:pPr>
              <w:shd w:val="clear" w:color="auto"/>
              <w:jc w:val="center"/>
              <w:rPr>
                <w:rFonts w:hint="eastAsia" w:ascii="仿宋" w:hAnsi="仿宋" w:eastAsia="仿宋" w:cs="仿宋"/>
                <w:color w:val="auto"/>
                <w:sz w:val="24"/>
                <w:highlight w:val="none"/>
              </w:rPr>
            </w:pPr>
          </w:p>
        </w:tc>
        <w:tc>
          <w:tcPr>
            <w:tcW w:w="2700" w:type="dxa"/>
            <w:noWrap w:val="0"/>
            <w:vAlign w:val="top"/>
          </w:tcPr>
          <w:p w14:paraId="554D2AC7">
            <w:pPr>
              <w:shd w:val="clear" w:color="auto"/>
              <w:jc w:val="center"/>
              <w:rPr>
                <w:rFonts w:hint="eastAsia" w:ascii="仿宋" w:hAnsi="仿宋" w:eastAsia="仿宋" w:cs="仿宋"/>
                <w:color w:val="auto"/>
                <w:sz w:val="24"/>
                <w:highlight w:val="none"/>
              </w:rPr>
            </w:pPr>
          </w:p>
        </w:tc>
      </w:tr>
      <w:tr w14:paraId="158A2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89D8893">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80" w:type="dxa"/>
            <w:noWrap w:val="0"/>
            <w:vAlign w:val="center"/>
          </w:tcPr>
          <w:p w14:paraId="518BDD46">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25A10BE2">
            <w:pPr>
              <w:shd w:val="clear" w:color="auto"/>
              <w:jc w:val="center"/>
              <w:rPr>
                <w:rFonts w:hint="eastAsia" w:ascii="仿宋" w:hAnsi="仿宋" w:eastAsia="仿宋" w:cs="仿宋"/>
                <w:color w:val="auto"/>
                <w:sz w:val="24"/>
                <w:highlight w:val="none"/>
              </w:rPr>
            </w:pPr>
          </w:p>
        </w:tc>
        <w:tc>
          <w:tcPr>
            <w:tcW w:w="1441" w:type="dxa"/>
            <w:noWrap w:val="0"/>
            <w:vAlign w:val="center"/>
          </w:tcPr>
          <w:p w14:paraId="3FEB19BD">
            <w:pPr>
              <w:shd w:val="clear" w:color="auto"/>
              <w:jc w:val="center"/>
              <w:rPr>
                <w:rFonts w:hint="eastAsia" w:ascii="仿宋" w:hAnsi="仿宋" w:eastAsia="仿宋" w:cs="仿宋"/>
                <w:color w:val="auto"/>
                <w:sz w:val="24"/>
                <w:highlight w:val="none"/>
              </w:rPr>
            </w:pPr>
          </w:p>
        </w:tc>
        <w:tc>
          <w:tcPr>
            <w:tcW w:w="2700" w:type="dxa"/>
            <w:noWrap w:val="0"/>
            <w:vAlign w:val="top"/>
          </w:tcPr>
          <w:p w14:paraId="2EC310B4">
            <w:pPr>
              <w:shd w:val="clear" w:color="auto"/>
              <w:jc w:val="center"/>
              <w:rPr>
                <w:rFonts w:hint="eastAsia" w:ascii="仿宋" w:hAnsi="仿宋" w:eastAsia="仿宋" w:cs="仿宋"/>
                <w:color w:val="auto"/>
                <w:sz w:val="24"/>
                <w:highlight w:val="none"/>
              </w:rPr>
            </w:pPr>
          </w:p>
        </w:tc>
      </w:tr>
      <w:tr w14:paraId="57F31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2D260AB">
            <w:pPr>
              <w:shd w:val="clear" w:color="auto"/>
              <w:jc w:val="center"/>
              <w:rPr>
                <w:rFonts w:hint="eastAsia" w:ascii="仿宋" w:hAnsi="仿宋" w:eastAsia="仿宋" w:cs="仿宋"/>
                <w:color w:val="auto"/>
                <w:sz w:val="24"/>
                <w:highlight w:val="none"/>
              </w:rPr>
            </w:pPr>
          </w:p>
        </w:tc>
        <w:tc>
          <w:tcPr>
            <w:tcW w:w="1980" w:type="dxa"/>
            <w:noWrap w:val="0"/>
            <w:vAlign w:val="center"/>
          </w:tcPr>
          <w:p w14:paraId="5B571BAD">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7E1D2D5">
            <w:pPr>
              <w:shd w:val="clear" w:color="auto"/>
              <w:jc w:val="center"/>
              <w:rPr>
                <w:rFonts w:hint="eastAsia" w:ascii="仿宋" w:hAnsi="仿宋" w:eastAsia="仿宋" w:cs="仿宋"/>
                <w:color w:val="auto"/>
                <w:sz w:val="24"/>
                <w:highlight w:val="none"/>
              </w:rPr>
            </w:pPr>
          </w:p>
        </w:tc>
        <w:tc>
          <w:tcPr>
            <w:tcW w:w="1441" w:type="dxa"/>
            <w:noWrap w:val="0"/>
            <w:vAlign w:val="center"/>
          </w:tcPr>
          <w:p w14:paraId="636C92D0">
            <w:pPr>
              <w:shd w:val="clear" w:color="auto"/>
              <w:jc w:val="center"/>
              <w:rPr>
                <w:rFonts w:hint="eastAsia" w:ascii="仿宋" w:hAnsi="仿宋" w:eastAsia="仿宋" w:cs="仿宋"/>
                <w:color w:val="auto"/>
                <w:sz w:val="24"/>
                <w:highlight w:val="none"/>
              </w:rPr>
            </w:pPr>
          </w:p>
        </w:tc>
        <w:tc>
          <w:tcPr>
            <w:tcW w:w="2700" w:type="dxa"/>
            <w:noWrap w:val="0"/>
            <w:vAlign w:val="top"/>
          </w:tcPr>
          <w:p w14:paraId="1396675B">
            <w:pPr>
              <w:shd w:val="clear" w:color="auto"/>
              <w:jc w:val="center"/>
              <w:rPr>
                <w:rFonts w:hint="eastAsia" w:ascii="仿宋" w:hAnsi="仿宋" w:eastAsia="仿宋" w:cs="仿宋"/>
                <w:color w:val="auto"/>
                <w:sz w:val="24"/>
                <w:highlight w:val="none"/>
              </w:rPr>
            </w:pPr>
          </w:p>
        </w:tc>
      </w:tr>
      <w:tr w14:paraId="709B8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7BFA3BC">
            <w:pPr>
              <w:shd w:val="clear" w:color="auto"/>
              <w:jc w:val="center"/>
              <w:rPr>
                <w:rFonts w:hint="eastAsia" w:ascii="仿宋" w:hAnsi="仿宋" w:eastAsia="仿宋" w:cs="仿宋"/>
                <w:color w:val="auto"/>
                <w:sz w:val="24"/>
                <w:highlight w:val="none"/>
              </w:rPr>
            </w:pPr>
          </w:p>
        </w:tc>
        <w:tc>
          <w:tcPr>
            <w:tcW w:w="1980" w:type="dxa"/>
            <w:noWrap w:val="0"/>
            <w:vAlign w:val="center"/>
          </w:tcPr>
          <w:p w14:paraId="71827822">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20D6B284">
            <w:pPr>
              <w:shd w:val="clear" w:color="auto"/>
              <w:jc w:val="center"/>
              <w:rPr>
                <w:rFonts w:hint="eastAsia" w:ascii="仿宋" w:hAnsi="仿宋" w:eastAsia="仿宋" w:cs="仿宋"/>
                <w:color w:val="auto"/>
                <w:sz w:val="24"/>
                <w:highlight w:val="none"/>
              </w:rPr>
            </w:pPr>
          </w:p>
        </w:tc>
        <w:tc>
          <w:tcPr>
            <w:tcW w:w="1441" w:type="dxa"/>
            <w:noWrap w:val="0"/>
            <w:vAlign w:val="center"/>
          </w:tcPr>
          <w:p w14:paraId="62EB3DC8">
            <w:pPr>
              <w:shd w:val="clear" w:color="auto"/>
              <w:jc w:val="center"/>
              <w:rPr>
                <w:rFonts w:hint="eastAsia" w:ascii="仿宋" w:hAnsi="仿宋" w:eastAsia="仿宋" w:cs="仿宋"/>
                <w:color w:val="auto"/>
                <w:sz w:val="24"/>
                <w:highlight w:val="none"/>
              </w:rPr>
            </w:pPr>
          </w:p>
        </w:tc>
        <w:tc>
          <w:tcPr>
            <w:tcW w:w="2700" w:type="dxa"/>
            <w:noWrap w:val="0"/>
            <w:vAlign w:val="top"/>
          </w:tcPr>
          <w:p w14:paraId="6A0B7DD9">
            <w:pPr>
              <w:shd w:val="clear" w:color="auto"/>
              <w:jc w:val="center"/>
              <w:rPr>
                <w:rFonts w:hint="eastAsia" w:ascii="仿宋" w:hAnsi="仿宋" w:eastAsia="仿宋" w:cs="仿宋"/>
                <w:color w:val="auto"/>
                <w:sz w:val="24"/>
                <w:highlight w:val="none"/>
              </w:rPr>
            </w:pPr>
          </w:p>
        </w:tc>
      </w:tr>
      <w:tr w14:paraId="150CC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0A17F27">
            <w:pPr>
              <w:shd w:val="clear" w:color="auto"/>
              <w:jc w:val="center"/>
              <w:rPr>
                <w:rFonts w:hint="eastAsia" w:ascii="仿宋" w:hAnsi="仿宋" w:eastAsia="仿宋" w:cs="仿宋"/>
                <w:color w:val="auto"/>
                <w:sz w:val="24"/>
                <w:highlight w:val="none"/>
              </w:rPr>
            </w:pPr>
          </w:p>
        </w:tc>
        <w:tc>
          <w:tcPr>
            <w:tcW w:w="1980" w:type="dxa"/>
            <w:noWrap w:val="0"/>
            <w:vAlign w:val="center"/>
          </w:tcPr>
          <w:p w14:paraId="184E2AF0">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0734672">
            <w:pPr>
              <w:shd w:val="clear" w:color="auto"/>
              <w:jc w:val="center"/>
              <w:rPr>
                <w:rFonts w:hint="eastAsia" w:ascii="仿宋" w:hAnsi="仿宋" w:eastAsia="仿宋" w:cs="仿宋"/>
                <w:color w:val="auto"/>
                <w:sz w:val="24"/>
                <w:highlight w:val="none"/>
              </w:rPr>
            </w:pPr>
          </w:p>
        </w:tc>
        <w:tc>
          <w:tcPr>
            <w:tcW w:w="1441" w:type="dxa"/>
            <w:noWrap w:val="0"/>
            <w:vAlign w:val="center"/>
          </w:tcPr>
          <w:p w14:paraId="554B0638">
            <w:pPr>
              <w:shd w:val="clear" w:color="auto"/>
              <w:jc w:val="center"/>
              <w:rPr>
                <w:rFonts w:hint="eastAsia" w:ascii="仿宋" w:hAnsi="仿宋" w:eastAsia="仿宋" w:cs="仿宋"/>
                <w:color w:val="auto"/>
                <w:sz w:val="24"/>
                <w:highlight w:val="none"/>
              </w:rPr>
            </w:pPr>
          </w:p>
        </w:tc>
        <w:tc>
          <w:tcPr>
            <w:tcW w:w="2700" w:type="dxa"/>
            <w:noWrap w:val="0"/>
            <w:vAlign w:val="top"/>
          </w:tcPr>
          <w:p w14:paraId="2003422D">
            <w:pPr>
              <w:shd w:val="clear" w:color="auto"/>
              <w:jc w:val="center"/>
              <w:rPr>
                <w:rFonts w:hint="eastAsia" w:ascii="仿宋" w:hAnsi="仿宋" w:eastAsia="仿宋" w:cs="仿宋"/>
                <w:color w:val="auto"/>
                <w:sz w:val="24"/>
                <w:highlight w:val="none"/>
              </w:rPr>
            </w:pPr>
          </w:p>
        </w:tc>
      </w:tr>
      <w:tr w14:paraId="6B377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789BC6B">
            <w:pPr>
              <w:shd w:val="clear" w:color="auto"/>
              <w:jc w:val="center"/>
              <w:rPr>
                <w:rFonts w:hint="eastAsia" w:ascii="仿宋" w:hAnsi="仿宋" w:eastAsia="仿宋" w:cs="仿宋"/>
                <w:color w:val="auto"/>
                <w:sz w:val="24"/>
                <w:highlight w:val="none"/>
              </w:rPr>
            </w:pPr>
          </w:p>
        </w:tc>
        <w:tc>
          <w:tcPr>
            <w:tcW w:w="1980" w:type="dxa"/>
            <w:noWrap w:val="0"/>
            <w:vAlign w:val="center"/>
          </w:tcPr>
          <w:p w14:paraId="5C3F65FE">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F332599">
            <w:pPr>
              <w:shd w:val="clear" w:color="auto"/>
              <w:jc w:val="center"/>
              <w:rPr>
                <w:rFonts w:hint="eastAsia" w:ascii="仿宋" w:hAnsi="仿宋" w:eastAsia="仿宋" w:cs="仿宋"/>
                <w:color w:val="auto"/>
                <w:sz w:val="24"/>
                <w:highlight w:val="none"/>
              </w:rPr>
            </w:pPr>
          </w:p>
        </w:tc>
        <w:tc>
          <w:tcPr>
            <w:tcW w:w="1441" w:type="dxa"/>
            <w:noWrap w:val="0"/>
            <w:vAlign w:val="center"/>
          </w:tcPr>
          <w:p w14:paraId="4734FBBC">
            <w:pPr>
              <w:shd w:val="clear" w:color="auto"/>
              <w:jc w:val="center"/>
              <w:rPr>
                <w:rFonts w:hint="eastAsia" w:ascii="仿宋" w:hAnsi="仿宋" w:eastAsia="仿宋" w:cs="仿宋"/>
                <w:color w:val="auto"/>
                <w:sz w:val="24"/>
                <w:highlight w:val="none"/>
              </w:rPr>
            </w:pPr>
          </w:p>
        </w:tc>
        <w:tc>
          <w:tcPr>
            <w:tcW w:w="2700" w:type="dxa"/>
            <w:noWrap w:val="0"/>
            <w:vAlign w:val="top"/>
          </w:tcPr>
          <w:p w14:paraId="76491465">
            <w:pPr>
              <w:shd w:val="clear" w:color="auto"/>
              <w:jc w:val="center"/>
              <w:rPr>
                <w:rFonts w:hint="eastAsia" w:ascii="仿宋" w:hAnsi="仿宋" w:eastAsia="仿宋" w:cs="仿宋"/>
                <w:color w:val="auto"/>
                <w:sz w:val="24"/>
                <w:highlight w:val="none"/>
              </w:rPr>
            </w:pPr>
          </w:p>
        </w:tc>
      </w:tr>
    </w:tbl>
    <w:p w14:paraId="188B9DF7">
      <w:pPr>
        <w:shd w:val="clear" w:color="auto"/>
        <w:snapToGrid w:val="0"/>
        <w:ind w:left="349" w:hanging="348" w:hangingChars="166"/>
        <w:rPr>
          <w:rFonts w:hint="eastAsia" w:ascii="仿宋" w:hAnsi="仿宋" w:eastAsia="仿宋" w:cs="仿宋"/>
          <w:color w:val="auto"/>
          <w:highlight w:val="none"/>
        </w:rPr>
      </w:pPr>
    </w:p>
    <w:p w14:paraId="010EFEBB">
      <w:pPr>
        <w:shd w:val="clear" w:color="auto"/>
        <w:snapToGrid w:val="0"/>
        <w:ind w:left="349" w:hanging="348" w:hangingChars="166"/>
        <w:rPr>
          <w:rFonts w:hint="eastAsia" w:ascii="仿宋" w:hAnsi="仿宋" w:eastAsia="仿宋" w:cs="仿宋"/>
          <w:color w:val="auto"/>
          <w:highlight w:val="none"/>
        </w:rPr>
      </w:pPr>
      <w:r>
        <w:rPr>
          <w:rFonts w:hint="eastAsia" w:ascii="仿宋" w:hAnsi="仿宋" w:eastAsia="仿宋" w:cs="仿宋"/>
          <w:color w:val="auto"/>
          <w:highlight w:val="none"/>
        </w:rPr>
        <w:t>注：1. 供应商应如实列出以上情况，如有隐瞒，一经查实将导致其投标申请被拒绝。</w:t>
      </w:r>
    </w:p>
    <w:p w14:paraId="2128363E">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t>2、每个项目合同须单独具表，提供双方签订的合同复印件加盖公章，无相关证明的项目在评审时将不予确认。</w:t>
      </w:r>
    </w:p>
    <w:p w14:paraId="3AE048FC">
      <w:pPr>
        <w:pStyle w:val="2"/>
        <w:shd w:val="clear" w:color="auto"/>
        <w:tabs>
          <w:tab w:val="left" w:pos="567"/>
        </w:tabs>
        <w:rPr>
          <w:rFonts w:hint="eastAsia"/>
          <w:color w:val="auto"/>
          <w:highlight w:val="none"/>
        </w:rPr>
      </w:pPr>
    </w:p>
    <w:p w14:paraId="666B9105">
      <w:pPr>
        <w:pStyle w:val="50"/>
        <w:shd w:val="clear" w:color="auto"/>
        <w:rPr>
          <w:rFonts w:hint="eastAsia" w:ascii="仿宋" w:hAnsi="仿宋" w:eastAsia="仿宋" w:cs="仿宋"/>
          <w:color w:val="auto"/>
          <w:szCs w:val="21"/>
          <w:highlight w:val="none"/>
        </w:rPr>
      </w:pPr>
    </w:p>
    <w:p w14:paraId="2EA97D53">
      <w:pPr>
        <w:pStyle w:val="50"/>
        <w:numPr>
          <w:ilvl w:val="0"/>
          <w:numId w:val="0"/>
        </w:numPr>
        <w:shd w:val="clear"/>
        <w:ind w:leftChars="0"/>
        <w:jc w:val="center"/>
        <w:rPr>
          <w:rStyle w:val="299"/>
          <w:rFonts w:hint="eastAsia" w:ascii="仿宋" w:hAnsi="仿宋" w:eastAsia="仿宋" w:cs="仿宋"/>
          <w:color w:val="auto"/>
          <w:szCs w:val="30"/>
          <w:highlight w:val="none"/>
        </w:rPr>
      </w:pPr>
    </w:p>
    <w:sectPr>
      <w:footerReference r:id="rId11" w:type="first"/>
      <w:headerReference r:id="rId9" w:type="default"/>
      <w:footerReference r:id="rId10" w:type="default"/>
      <w:pgSz w:w="11906" w:h="16838"/>
      <w:pgMar w:top="1418" w:right="1418" w:bottom="1418"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7FFAEFF" w:usb1="F9DFFFFF" w:usb2="0000007F" w:usb3="00000000" w:csb0="203F01FF" w:csb1="DFFF0000"/>
    <w:embedRegular r:id="rId1" w:fontKey="{A7A561A8-EFCC-4427-BE41-E1D9A22B4E6E}"/>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方正黑体简体">
    <w:panose1 w:val="02000000000000000000"/>
    <w:charset w:val="86"/>
    <w:family w:val="script"/>
    <w:pitch w:val="default"/>
    <w:sig w:usb0="A00002BF" w:usb1="184F6CFA" w:usb2="00000012" w:usb3="00000000" w:csb0="00040001"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embedRegular r:id="rId2" w:fontKey="{E37F3731-46CF-418E-99F4-5F05858112CC}"/>
  </w:font>
  <w:font w:name="仿宋">
    <w:panose1 w:val="02010609060101010101"/>
    <w:charset w:val="86"/>
    <w:family w:val="modern"/>
    <w:pitch w:val="default"/>
    <w:sig w:usb0="800002BF" w:usb1="38CF7CFA" w:usb2="00000016" w:usb3="00000000" w:csb0="00040001" w:csb1="00000000"/>
    <w:embedRegular r:id="rId3" w:fontKey="{BBC070FB-1F90-4F43-B594-FD8A70AF80A7}"/>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embedRegular r:id="rId4" w:fontKey="{511BC940-0089-48EB-BD35-EA35367242FE}"/>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CEBC6754-D8AD-4370-95C3-B803430A962A}"/>
  </w:font>
  <w:font w:name="ˎ̥">
    <w:altName w:val="Times New Roman"/>
    <w:panose1 w:val="00000000000000000000"/>
    <w:charset w:val="00"/>
    <w:family w:val="roman"/>
    <w:pitch w:val="default"/>
    <w:sig w:usb0="00000000" w:usb1="00000000" w:usb2="00000000" w:usb3="00000000" w:csb0="00040001" w:csb1="00000000"/>
    <w:embedRegular r:id="rId6" w:fontKey="{7B47F42C-18AD-4486-A1E0-0D678942DD6C}"/>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F9F14">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FA204">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480FA204">
                    <w:pPr>
                      <w:pStyle w:val="3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0A8B">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715DE">
                          <w:pPr>
                            <w:pStyle w:val="3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BB715DE">
                    <w:pPr>
                      <w:pStyle w:val="3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CBACF">
                          <w:pPr>
                            <w:pStyle w:val="34"/>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2E3CBACF">
                    <w:pPr>
                      <w:pStyle w:val="34"/>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5"/>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5"/>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8BDD30CF"/>
    <w:multiLevelType w:val="singleLevel"/>
    <w:tmpl w:val="8BDD30CF"/>
    <w:lvl w:ilvl="0" w:tentative="0">
      <w:start w:val="1"/>
      <w:numFmt w:val="decimal"/>
      <w:lvlText w:val="%1."/>
      <w:lvlJc w:val="left"/>
      <w:pPr>
        <w:ind w:left="425" w:hanging="425"/>
      </w:pPr>
      <w:rPr>
        <w:rFonts w:hint="default"/>
      </w:rPr>
    </w:lvl>
  </w:abstractNum>
  <w:abstractNum w:abstractNumId="1">
    <w:nsid w:val="8D75659B"/>
    <w:multiLevelType w:val="singleLevel"/>
    <w:tmpl w:val="8D75659B"/>
    <w:lvl w:ilvl="0" w:tentative="0">
      <w:start w:val="2"/>
      <w:numFmt w:val="chineseCounting"/>
      <w:suff w:val="space"/>
      <w:lvlText w:val="第%1条"/>
      <w:lvlJc w:val="left"/>
      <w:pPr>
        <w:ind w:left="470" w:firstLine="0"/>
      </w:pPr>
      <w:rPr>
        <w:rFonts w:hint="eastAsia"/>
      </w:rPr>
    </w:lvl>
  </w:abstractNum>
  <w:abstractNum w:abstractNumId="2">
    <w:nsid w:val="B83875F2"/>
    <w:multiLevelType w:val="singleLevel"/>
    <w:tmpl w:val="B83875F2"/>
    <w:lvl w:ilvl="0" w:tentative="0">
      <w:start w:val="1"/>
      <w:numFmt w:val="decimal"/>
      <w:lvlText w:val="%1."/>
      <w:lvlJc w:val="left"/>
      <w:pPr>
        <w:ind w:left="425" w:hanging="425"/>
      </w:pPr>
      <w:rPr>
        <w:rFonts w:hint="default"/>
      </w:rPr>
    </w:lvl>
  </w:abstractNum>
  <w:abstractNum w:abstractNumId="3">
    <w:nsid w:val="BDFCF38B"/>
    <w:multiLevelType w:val="singleLevel"/>
    <w:tmpl w:val="BDFCF38B"/>
    <w:lvl w:ilvl="0" w:tentative="0">
      <w:start w:val="12"/>
      <w:numFmt w:val="decimal"/>
      <w:suff w:val="nothing"/>
      <w:lvlText w:val="（%1）"/>
      <w:lvlJc w:val="left"/>
    </w:lvl>
  </w:abstractNum>
  <w:abstractNum w:abstractNumId="4">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5">
    <w:nsid w:val="FA2D3D5B"/>
    <w:multiLevelType w:val="singleLevel"/>
    <w:tmpl w:val="FA2D3D5B"/>
    <w:lvl w:ilvl="0" w:tentative="0">
      <w:start w:val="30"/>
      <w:numFmt w:val="decimal"/>
      <w:suff w:val="space"/>
      <w:lvlText w:val="%1."/>
      <w:lvlJc w:val="left"/>
    </w:lvl>
  </w:abstractNum>
  <w:abstractNum w:abstractNumId="6">
    <w:nsid w:val="0000000E"/>
    <w:multiLevelType w:val="multilevel"/>
    <w:tmpl w:val="0000000E"/>
    <w:lvl w:ilvl="0" w:tentative="0">
      <w:start w:val="1"/>
      <w:numFmt w:val="decimal"/>
      <w:pStyle w:val="93"/>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6"/>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1035497F"/>
    <w:multiLevelType w:val="singleLevel"/>
    <w:tmpl w:val="1035497F"/>
    <w:lvl w:ilvl="0" w:tentative="0">
      <w:start w:val="5"/>
      <w:numFmt w:val="decimal"/>
      <w:suff w:val="space"/>
      <w:lvlText w:val="%1."/>
      <w:lvlJc w:val="left"/>
    </w:lvl>
  </w:abstractNum>
  <w:abstractNum w:abstractNumId="9">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10">
    <w:nsid w:val="537AA372"/>
    <w:multiLevelType w:val="singleLevel"/>
    <w:tmpl w:val="537AA372"/>
    <w:lvl w:ilvl="0" w:tentative="0">
      <w:start w:val="21"/>
      <w:numFmt w:val="decimal"/>
      <w:suff w:val="space"/>
      <w:lvlText w:val="%1."/>
      <w:lvlJc w:val="left"/>
    </w:lvl>
  </w:abstractNum>
  <w:abstractNum w:abstractNumId="11">
    <w:nsid w:val="624D1350"/>
    <w:multiLevelType w:val="singleLevel"/>
    <w:tmpl w:val="624D1350"/>
    <w:lvl w:ilvl="0" w:tentative="0">
      <w:start w:val="25"/>
      <w:numFmt w:val="decimal"/>
      <w:suff w:val="space"/>
      <w:lvlText w:val="%1."/>
      <w:lvlJc w:val="left"/>
    </w:lvl>
  </w:abstractNum>
  <w:abstractNum w:abstractNumId="12">
    <w:nsid w:val="6CEA2025"/>
    <w:multiLevelType w:val="multilevel"/>
    <w:tmpl w:val="6CEA2025"/>
    <w:lvl w:ilvl="0" w:tentative="0">
      <w:start w:val="1"/>
      <w:numFmt w:val="none"/>
      <w:pStyle w:val="240"/>
      <w:suff w:val="nothing"/>
      <w:lvlText w:val="%1"/>
      <w:lvlJc w:val="left"/>
      <w:pPr>
        <w:ind w:left="0" w:firstLine="0"/>
      </w:pPr>
      <w:rPr>
        <w:rFonts w:hint="default" w:ascii="Times New Roman" w:hAnsi="Times New Roman"/>
        <w:b/>
        <w:i w:val="0"/>
        <w:sz w:val="21"/>
      </w:rPr>
    </w:lvl>
    <w:lvl w:ilvl="1" w:tentative="0">
      <w:start w:val="1"/>
      <w:numFmt w:val="decimal"/>
      <w:pStyle w:val="241"/>
      <w:suff w:val="nothing"/>
      <w:lvlText w:val="%1%2　"/>
      <w:lvlJc w:val="left"/>
      <w:pPr>
        <w:ind w:left="315" w:firstLine="0"/>
      </w:pPr>
      <w:rPr>
        <w:rFonts w:hint="eastAsia" w:ascii="黑体" w:hAnsi="Times New Roman" w:eastAsia="黑体"/>
        <w:b w:val="0"/>
        <w:i w:val="0"/>
        <w:sz w:val="21"/>
      </w:rPr>
    </w:lvl>
    <w:lvl w:ilvl="2" w:tentative="0">
      <w:start w:val="1"/>
      <w:numFmt w:val="decimal"/>
      <w:pStyle w:val="242"/>
      <w:suff w:val="nothing"/>
      <w:lvlText w:val="%1%2.%3　"/>
      <w:lvlJc w:val="left"/>
      <w:pPr>
        <w:ind w:left="630" w:firstLine="0"/>
      </w:pPr>
      <w:rPr>
        <w:rFonts w:hint="eastAsia" w:ascii="黑体" w:hAnsi="Times New Roman" w:eastAsia="黑体"/>
        <w:b w:val="0"/>
        <w:i w:val="0"/>
        <w:sz w:val="21"/>
      </w:rPr>
    </w:lvl>
    <w:lvl w:ilvl="3" w:tentative="0">
      <w:start w:val="1"/>
      <w:numFmt w:val="decimal"/>
      <w:pStyle w:val="243"/>
      <w:suff w:val="nothing"/>
      <w:lvlText w:val="%1%2.%3.%4　"/>
      <w:lvlJc w:val="left"/>
      <w:pPr>
        <w:ind w:left="567" w:firstLine="0"/>
      </w:pPr>
      <w:rPr>
        <w:rFonts w:hint="eastAsia" w:ascii="黑体" w:hAnsi="Times New Roman" w:eastAsia="黑体"/>
        <w:b w:val="0"/>
        <w:i w:val="0"/>
        <w:sz w:val="21"/>
      </w:rPr>
    </w:lvl>
    <w:lvl w:ilvl="4" w:tentative="0">
      <w:start w:val="1"/>
      <w:numFmt w:val="decimal"/>
      <w:pStyle w:val="245"/>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6"/>
      <w:suff w:val="nothing"/>
      <w:lvlText w:val="%1%2.%3.%4.%5.%6　"/>
      <w:lvlJc w:val="left"/>
      <w:pPr>
        <w:ind w:left="0" w:firstLine="0"/>
      </w:pPr>
      <w:rPr>
        <w:rFonts w:hint="eastAsia" w:ascii="黑体" w:hAnsi="Times New Roman" w:eastAsia="黑体"/>
        <w:b w:val="0"/>
        <w:i w:val="0"/>
        <w:sz w:val="21"/>
      </w:rPr>
    </w:lvl>
    <w:lvl w:ilvl="6" w:tentative="0">
      <w:start w:val="1"/>
      <w:numFmt w:val="decimal"/>
      <w:pStyle w:val="24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4">
    <w:nsid w:val="76933334"/>
    <w:multiLevelType w:val="multilevel"/>
    <w:tmpl w:val="76933334"/>
    <w:lvl w:ilvl="0" w:tentative="0">
      <w:start w:val="1"/>
      <w:numFmt w:val="none"/>
      <w:pStyle w:val="24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6"/>
  </w:num>
  <w:num w:numId="3">
    <w:abstractNumId w:val="12"/>
  </w:num>
  <w:num w:numId="4">
    <w:abstractNumId w:val="14"/>
  </w:num>
  <w:num w:numId="5">
    <w:abstractNumId w:val="3"/>
  </w:num>
  <w:num w:numId="6">
    <w:abstractNumId w:val="8"/>
  </w:num>
  <w:num w:numId="7">
    <w:abstractNumId w:val="9"/>
  </w:num>
  <w:num w:numId="8">
    <w:abstractNumId w:val="4"/>
  </w:num>
  <w:num w:numId="9">
    <w:abstractNumId w:val="10"/>
  </w:num>
  <w:num w:numId="10">
    <w:abstractNumId w:val="11"/>
  </w:num>
  <w:num w:numId="11">
    <w:abstractNumId w:val="5"/>
  </w:num>
  <w:num w:numId="12">
    <w:abstractNumId w:val="2"/>
  </w:num>
  <w:num w:numId="13">
    <w:abstractNumId w:val="0"/>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A7605"/>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16FF"/>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E0CD4"/>
    <w:rsid w:val="01A56820"/>
    <w:rsid w:val="01B73196"/>
    <w:rsid w:val="01DB0F21"/>
    <w:rsid w:val="01F85948"/>
    <w:rsid w:val="021A6C4F"/>
    <w:rsid w:val="027D1EDC"/>
    <w:rsid w:val="028C11CF"/>
    <w:rsid w:val="02AA6F17"/>
    <w:rsid w:val="02E6429D"/>
    <w:rsid w:val="031418F0"/>
    <w:rsid w:val="032E5AB3"/>
    <w:rsid w:val="03374FA4"/>
    <w:rsid w:val="036219CF"/>
    <w:rsid w:val="0380752A"/>
    <w:rsid w:val="03C4317A"/>
    <w:rsid w:val="03CF5E03"/>
    <w:rsid w:val="03E57195"/>
    <w:rsid w:val="041E1097"/>
    <w:rsid w:val="04207E21"/>
    <w:rsid w:val="044D01DD"/>
    <w:rsid w:val="04616A3E"/>
    <w:rsid w:val="04673CA2"/>
    <w:rsid w:val="0484236C"/>
    <w:rsid w:val="04874841"/>
    <w:rsid w:val="04AF0DC0"/>
    <w:rsid w:val="04B0389B"/>
    <w:rsid w:val="04BB7326"/>
    <w:rsid w:val="04E35F2C"/>
    <w:rsid w:val="04EB4ECE"/>
    <w:rsid w:val="053371D4"/>
    <w:rsid w:val="053B700A"/>
    <w:rsid w:val="0572493D"/>
    <w:rsid w:val="05A9381E"/>
    <w:rsid w:val="05CA3B1B"/>
    <w:rsid w:val="05D40F8A"/>
    <w:rsid w:val="05E97CB2"/>
    <w:rsid w:val="05EC5CFB"/>
    <w:rsid w:val="060D6A3B"/>
    <w:rsid w:val="06193B1E"/>
    <w:rsid w:val="06383C8B"/>
    <w:rsid w:val="06402A94"/>
    <w:rsid w:val="06AB6FF1"/>
    <w:rsid w:val="06C56090"/>
    <w:rsid w:val="06C6067E"/>
    <w:rsid w:val="06DF18E2"/>
    <w:rsid w:val="0707497A"/>
    <w:rsid w:val="07394A3D"/>
    <w:rsid w:val="07416329"/>
    <w:rsid w:val="07501B9E"/>
    <w:rsid w:val="07C548CA"/>
    <w:rsid w:val="07D63618"/>
    <w:rsid w:val="082B0E32"/>
    <w:rsid w:val="0838785B"/>
    <w:rsid w:val="08545BC6"/>
    <w:rsid w:val="08727C1D"/>
    <w:rsid w:val="087D0B78"/>
    <w:rsid w:val="08894DF6"/>
    <w:rsid w:val="089A7E2E"/>
    <w:rsid w:val="0920129B"/>
    <w:rsid w:val="09225EC4"/>
    <w:rsid w:val="09425DCF"/>
    <w:rsid w:val="094E5430"/>
    <w:rsid w:val="0956229B"/>
    <w:rsid w:val="09823E4D"/>
    <w:rsid w:val="098852A8"/>
    <w:rsid w:val="09A06B78"/>
    <w:rsid w:val="09AF4121"/>
    <w:rsid w:val="09D5345C"/>
    <w:rsid w:val="09EA3E64"/>
    <w:rsid w:val="0A123F9D"/>
    <w:rsid w:val="0A47089D"/>
    <w:rsid w:val="0A4B18CE"/>
    <w:rsid w:val="0A59408D"/>
    <w:rsid w:val="0A601059"/>
    <w:rsid w:val="0A6A0048"/>
    <w:rsid w:val="0A8A4B12"/>
    <w:rsid w:val="0A960F84"/>
    <w:rsid w:val="0AB2170F"/>
    <w:rsid w:val="0AB25DFE"/>
    <w:rsid w:val="0AC800D5"/>
    <w:rsid w:val="0AFA19A7"/>
    <w:rsid w:val="0AFC1D7D"/>
    <w:rsid w:val="0B065FC2"/>
    <w:rsid w:val="0B1020C4"/>
    <w:rsid w:val="0B181252"/>
    <w:rsid w:val="0B2543AA"/>
    <w:rsid w:val="0B651CEF"/>
    <w:rsid w:val="0B705986"/>
    <w:rsid w:val="0C0F0EA7"/>
    <w:rsid w:val="0C275A89"/>
    <w:rsid w:val="0C5B456D"/>
    <w:rsid w:val="0C774C9E"/>
    <w:rsid w:val="0CBB5882"/>
    <w:rsid w:val="0CD61017"/>
    <w:rsid w:val="0D1505EF"/>
    <w:rsid w:val="0D531CDF"/>
    <w:rsid w:val="0D7C25A0"/>
    <w:rsid w:val="0D860802"/>
    <w:rsid w:val="0DC67C8B"/>
    <w:rsid w:val="0DCA3125"/>
    <w:rsid w:val="0DDB6C4A"/>
    <w:rsid w:val="0E211365"/>
    <w:rsid w:val="0E2D0919"/>
    <w:rsid w:val="0E416A77"/>
    <w:rsid w:val="0E5057A5"/>
    <w:rsid w:val="0E5B6E42"/>
    <w:rsid w:val="0E5C2657"/>
    <w:rsid w:val="0E5C7CE8"/>
    <w:rsid w:val="0E5E1C72"/>
    <w:rsid w:val="0E9E4764"/>
    <w:rsid w:val="0EA34036"/>
    <w:rsid w:val="0EB049DF"/>
    <w:rsid w:val="0EB63F9D"/>
    <w:rsid w:val="0EDD2A76"/>
    <w:rsid w:val="0EF97BEC"/>
    <w:rsid w:val="0EFA06A7"/>
    <w:rsid w:val="0F227C07"/>
    <w:rsid w:val="0F245037"/>
    <w:rsid w:val="0F54794B"/>
    <w:rsid w:val="0F6A354E"/>
    <w:rsid w:val="0F6E4136"/>
    <w:rsid w:val="0F827CE3"/>
    <w:rsid w:val="0F88478D"/>
    <w:rsid w:val="0F916CE2"/>
    <w:rsid w:val="0FB73DA5"/>
    <w:rsid w:val="0FCE37C4"/>
    <w:rsid w:val="0FDE2587"/>
    <w:rsid w:val="0FE31A6A"/>
    <w:rsid w:val="101271B8"/>
    <w:rsid w:val="101B0BC4"/>
    <w:rsid w:val="103649EC"/>
    <w:rsid w:val="1040315F"/>
    <w:rsid w:val="10507757"/>
    <w:rsid w:val="105772C0"/>
    <w:rsid w:val="107A1082"/>
    <w:rsid w:val="109E7189"/>
    <w:rsid w:val="10BC5375"/>
    <w:rsid w:val="10C72BB3"/>
    <w:rsid w:val="115206FB"/>
    <w:rsid w:val="11531DCE"/>
    <w:rsid w:val="11B40613"/>
    <w:rsid w:val="11BE2022"/>
    <w:rsid w:val="11C37E41"/>
    <w:rsid w:val="11D83EA2"/>
    <w:rsid w:val="120C3966"/>
    <w:rsid w:val="122510EE"/>
    <w:rsid w:val="123757B7"/>
    <w:rsid w:val="12405481"/>
    <w:rsid w:val="124D44D7"/>
    <w:rsid w:val="126E269F"/>
    <w:rsid w:val="127C4272"/>
    <w:rsid w:val="12837EE6"/>
    <w:rsid w:val="12893B74"/>
    <w:rsid w:val="128D1331"/>
    <w:rsid w:val="12C1355D"/>
    <w:rsid w:val="12EA1EE6"/>
    <w:rsid w:val="12EF7289"/>
    <w:rsid w:val="12F7607E"/>
    <w:rsid w:val="13330CAC"/>
    <w:rsid w:val="133D7CD4"/>
    <w:rsid w:val="134D5A81"/>
    <w:rsid w:val="13560D9B"/>
    <w:rsid w:val="13601445"/>
    <w:rsid w:val="136E6899"/>
    <w:rsid w:val="138A175B"/>
    <w:rsid w:val="13AC42B6"/>
    <w:rsid w:val="13B567D8"/>
    <w:rsid w:val="13BF6991"/>
    <w:rsid w:val="13F03DED"/>
    <w:rsid w:val="13F225EB"/>
    <w:rsid w:val="13F95DC4"/>
    <w:rsid w:val="142A3E2D"/>
    <w:rsid w:val="144A7973"/>
    <w:rsid w:val="147037DF"/>
    <w:rsid w:val="148075AE"/>
    <w:rsid w:val="149F40AE"/>
    <w:rsid w:val="14DF1632"/>
    <w:rsid w:val="14E5758A"/>
    <w:rsid w:val="14FB7DA2"/>
    <w:rsid w:val="155247D0"/>
    <w:rsid w:val="15567E44"/>
    <w:rsid w:val="158710F3"/>
    <w:rsid w:val="15920D94"/>
    <w:rsid w:val="15BC1451"/>
    <w:rsid w:val="15C01464"/>
    <w:rsid w:val="15C772F3"/>
    <w:rsid w:val="15CE4C34"/>
    <w:rsid w:val="15D631FF"/>
    <w:rsid w:val="15F0775C"/>
    <w:rsid w:val="1609374C"/>
    <w:rsid w:val="160A0AD0"/>
    <w:rsid w:val="161F262E"/>
    <w:rsid w:val="16401732"/>
    <w:rsid w:val="165B6F79"/>
    <w:rsid w:val="166C5148"/>
    <w:rsid w:val="166E5EB0"/>
    <w:rsid w:val="16BA0E20"/>
    <w:rsid w:val="16C01EAE"/>
    <w:rsid w:val="16F214B3"/>
    <w:rsid w:val="16F50974"/>
    <w:rsid w:val="173F1D8E"/>
    <w:rsid w:val="1766702C"/>
    <w:rsid w:val="177A195D"/>
    <w:rsid w:val="17D56968"/>
    <w:rsid w:val="17D67E1B"/>
    <w:rsid w:val="17E50036"/>
    <w:rsid w:val="17E51656"/>
    <w:rsid w:val="1820060E"/>
    <w:rsid w:val="18205BA9"/>
    <w:rsid w:val="18352A53"/>
    <w:rsid w:val="18370FAA"/>
    <w:rsid w:val="188712FD"/>
    <w:rsid w:val="188D7D42"/>
    <w:rsid w:val="1890464C"/>
    <w:rsid w:val="18C45643"/>
    <w:rsid w:val="19146F58"/>
    <w:rsid w:val="19153875"/>
    <w:rsid w:val="19575882"/>
    <w:rsid w:val="195E155B"/>
    <w:rsid w:val="197321D5"/>
    <w:rsid w:val="199944A6"/>
    <w:rsid w:val="19BE3F0C"/>
    <w:rsid w:val="19D8069E"/>
    <w:rsid w:val="1A0C41D1"/>
    <w:rsid w:val="1A336BE7"/>
    <w:rsid w:val="1A497C7A"/>
    <w:rsid w:val="1A612D7C"/>
    <w:rsid w:val="1A654C99"/>
    <w:rsid w:val="1A7F6A7E"/>
    <w:rsid w:val="1A807E72"/>
    <w:rsid w:val="1A8A2A47"/>
    <w:rsid w:val="1A954C6D"/>
    <w:rsid w:val="1A9C7F5E"/>
    <w:rsid w:val="1AB04461"/>
    <w:rsid w:val="1B16166A"/>
    <w:rsid w:val="1B9E3FF5"/>
    <w:rsid w:val="1BB93E83"/>
    <w:rsid w:val="1BBD7954"/>
    <w:rsid w:val="1BC644B6"/>
    <w:rsid w:val="1BF50CA0"/>
    <w:rsid w:val="1BF56714"/>
    <w:rsid w:val="1BFA3C7C"/>
    <w:rsid w:val="1C613AB1"/>
    <w:rsid w:val="1C763D6F"/>
    <w:rsid w:val="1C8C0466"/>
    <w:rsid w:val="1C8D1904"/>
    <w:rsid w:val="1CB75B90"/>
    <w:rsid w:val="1CC854C2"/>
    <w:rsid w:val="1CFE11EF"/>
    <w:rsid w:val="1D0121D0"/>
    <w:rsid w:val="1D3A7D4E"/>
    <w:rsid w:val="1D525097"/>
    <w:rsid w:val="1D5B524F"/>
    <w:rsid w:val="1D6D3522"/>
    <w:rsid w:val="1D79498D"/>
    <w:rsid w:val="1DAB5588"/>
    <w:rsid w:val="1DC70DBC"/>
    <w:rsid w:val="1DD72694"/>
    <w:rsid w:val="1DDE1DE9"/>
    <w:rsid w:val="1DF5798B"/>
    <w:rsid w:val="1DFA7416"/>
    <w:rsid w:val="1E1668F5"/>
    <w:rsid w:val="1E6A01BF"/>
    <w:rsid w:val="1E8474D2"/>
    <w:rsid w:val="1EDA21FC"/>
    <w:rsid w:val="1EFD5795"/>
    <w:rsid w:val="1F031461"/>
    <w:rsid w:val="1F1F3C4D"/>
    <w:rsid w:val="1F474868"/>
    <w:rsid w:val="1F505606"/>
    <w:rsid w:val="1F6D49F4"/>
    <w:rsid w:val="1F883C9F"/>
    <w:rsid w:val="1F971592"/>
    <w:rsid w:val="1FB94E27"/>
    <w:rsid w:val="1FE57CFE"/>
    <w:rsid w:val="1FF41576"/>
    <w:rsid w:val="20085EE1"/>
    <w:rsid w:val="200A3A73"/>
    <w:rsid w:val="20297D49"/>
    <w:rsid w:val="204A4566"/>
    <w:rsid w:val="208337BA"/>
    <w:rsid w:val="20885230"/>
    <w:rsid w:val="20947DAF"/>
    <w:rsid w:val="20AF20C5"/>
    <w:rsid w:val="20EB717A"/>
    <w:rsid w:val="20ED7306"/>
    <w:rsid w:val="20F96916"/>
    <w:rsid w:val="21091162"/>
    <w:rsid w:val="211106C5"/>
    <w:rsid w:val="213D1BBA"/>
    <w:rsid w:val="21431785"/>
    <w:rsid w:val="219E251A"/>
    <w:rsid w:val="21A2314B"/>
    <w:rsid w:val="21A94E54"/>
    <w:rsid w:val="21C24F4B"/>
    <w:rsid w:val="21D73DBD"/>
    <w:rsid w:val="21FB2187"/>
    <w:rsid w:val="22071464"/>
    <w:rsid w:val="22283C9F"/>
    <w:rsid w:val="2232235C"/>
    <w:rsid w:val="22AA14D2"/>
    <w:rsid w:val="22C24A6D"/>
    <w:rsid w:val="22DD0402"/>
    <w:rsid w:val="23256DAA"/>
    <w:rsid w:val="23291785"/>
    <w:rsid w:val="23473D15"/>
    <w:rsid w:val="23710488"/>
    <w:rsid w:val="2381304A"/>
    <w:rsid w:val="23A7789F"/>
    <w:rsid w:val="23BB002C"/>
    <w:rsid w:val="23C33515"/>
    <w:rsid w:val="23F1680C"/>
    <w:rsid w:val="242E494F"/>
    <w:rsid w:val="2434221F"/>
    <w:rsid w:val="243479AD"/>
    <w:rsid w:val="243E15D5"/>
    <w:rsid w:val="24551238"/>
    <w:rsid w:val="24856290"/>
    <w:rsid w:val="248E2DBA"/>
    <w:rsid w:val="24BA7E43"/>
    <w:rsid w:val="24DF50DC"/>
    <w:rsid w:val="251E570B"/>
    <w:rsid w:val="25224672"/>
    <w:rsid w:val="25250089"/>
    <w:rsid w:val="25252A8D"/>
    <w:rsid w:val="259728A2"/>
    <w:rsid w:val="25A67057"/>
    <w:rsid w:val="25D54115"/>
    <w:rsid w:val="25F72F27"/>
    <w:rsid w:val="260B2287"/>
    <w:rsid w:val="260F4C55"/>
    <w:rsid w:val="261B1938"/>
    <w:rsid w:val="26204388"/>
    <w:rsid w:val="26291B1A"/>
    <w:rsid w:val="26337C4D"/>
    <w:rsid w:val="26763E6F"/>
    <w:rsid w:val="267C3983"/>
    <w:rsid w:val="26D82BDE"/>
    <w:rsid w:val="26EB0757"/>
    <w:rsid w:val="270101AC"/>
    <w:rsid w:val="2719451E"/>
    <w:rsid w:val="27455C6D"/>
    <w:rsid w:val="274D71B2"/>
    <w:rsid w:val="2751147F"/>
    <w:rsid w:val="27706CF6"/>
    <w:rsid w:val="279C6957"/>
    <w:rsid w:val="279F35CF"/>
    <w:rsid w:val="27D05536"/>
    <w:rsid w:val="27D32B77"/>
    <w:rsid w:val="27D5339C"/>
    <w:rsid w:val="27DE5929"/>
    <w:rsid w:val="27E14C4C"/>
    <w:rsid w:val="27E64D5A"/>
    <w:rsid w:val="27EC31AA"/>
    <w:rsid w:val="282160D2"/>
    <w:rsid w:val="286C62A1"/>
    <w:rsid w:val="287D5B6E"/>
    <w:rsid w:val="289E5635"/>
    <w:rsid w:val="28A069B8"/>
    <w:rsid w:val="28AD37B2"/>
    <w:rsid w:val="28B371D1"/>
    <w:rsid w:val="28C21683"/>
    <w:rsid w:val="28F72971"/>
    <w:rsid w:val="290F3C6E"/>
    <w:rsid w:val="295F0E90"/>
    <w:rsid w:val="299373D6"/>
    <w:rsid w:val="2A3073E0"/>
    <w:rsid w:val="2A761A78"/>
    <w:rsid w:val="2A9A0A8F"/>
    <w:rsid w:val="2AAB6A3D"/>
    <w:rsid w:val="2ADA66CC"/>
    <w:rsid w:val="2AE35535"/>
    <w:rsid w:val="2AF41E87"/>
    <w:rsid w:val="2B112090"/>
    <w:rsid w:val="2B496FA3"/>
    <w:rsid w:val="2B532BFE"/>
    <w:rsid w:val="2B6A469F"/>
    <w:rsid w:val="2B893B9F"/>
    <w:rsid w:val="2BAC65A8"/>
    <w:rsid w:val="2BB024B4"/>
    <w:rsid w:val="2BC60F98"/>
    <w:rsid w:val="2BCB45F0"/>
    <w:rsid w:val="2C066A1A"/>
    <w:rsid w:val="2C0B4AE6"/>
    <w:rsid w:val="2C3F7504"/>
    <w:rsid w:val="2C8165FA"/>
    <w:rsid w:val="2C944EC5"/>
    <w:rsid w:val="2CAC7CBD"/>
    <w:rsid w:val="2CB216AE"/>
    <w:rsid w:val="2CCC08A3"/>
    <w:rsid w:val="2D0A514C"/>
    <w:rsid w:val="2D2B7225"/>
    <w:rsid w:val="2D2F30DD"/>
    <w:rsid w:val="2D3F44AA"/>
    <w:rsid w:val="2D883422"/>
    <w:rsid w:val="2DA07759"/>
    <w:rsid w:val="2DB235BF"/>
    <w:rsid w:val="2DB9081B"/>
    <w:rsid w:val="2E0E6DB8"/>
    <w:rsid w:val="2E577392"/>
    <w:rsid w:val="2E6E6547"/>
    <w:rsid w:val="2E8B1B62"/>
    <w:rsid w:val="2E970AE4"/>
    <w:rsid w:val="2EB227A5"/>
    <w:rsid w:val="2EBF4557"/>
    <w:rsid w:val="2F073A7F"/>
    <w:rsid w:val="2F502084"/>
    <w:rsid w:val="2F540DBC"/>
    <w:rsid w:val="2F822BAC"/>
    <w:rsid w:val="2F96630B"/>
    <w:rsid w:val="2FAC7913"/>
    <w:rsid w:val="3017262B"/>
    <w:rsid w:val="301F6139"/>
    <w:rsid w:val="3020562D"/>
    <w:rsid w:val="303074BA"/>
    <w:rsid w:val="30641E74"/>
    <w:rsid w:val="3078676B"/>
    <w:rsid w:val="30810E1D"/>
    <w:rsid w:val="30D616E4"/>
    <w:rsid w:val="30E97669"/>
    <w:rsid w:val="30EE1123"/>
    <w:rsid w:val="30F97581"/>
    <w:rsid w:val="31232B7B"/>
    <w:rsid w:val="314256C4"/>
    <w:rsid w:val="316E48C8"/>
    <w:rsid w:val="31857103"/>
    <w:rsid w:val="31947CF5"/>
    <w:rsid w:val="31C37EBA"/>
    <w:rsid w:val="31C65637"/>
    <w:rsid w:val="32417274"/>
    <w:rsid w:val="324A563C"/>
    <w:rsid w:val="324A57AF"/>
    <w:rsid w:val="32894C60"/>
    <w:rsid w:val="329F04E5"/>
    <w:rsid w:val="32A27980"/>
    <w:rsid w:val="32CB0035"/>
    <w:rsid w:val="32F41D09"/>
    <w:rsid w:val="32F9755F"/>
    <w:rsid w:val="331B2806"/>
    <w:rsid w:val="333214D1"/>
    <w:rsid w:val="33527747"/>
    <w:rsid w:val="3370495E"/>
    <w:rsid w:val="33CC0FC6"/>
    <w:rsid w:val="33DD0EAC"/>
    <w:rsid w:val="340622E0"/>
    <w:rsid w:val="340B78F6"/>
    <w:rsid w:val="341220B6"/>
    <w:rsid w:val="34143D51"/>
    <w:rsid w:val="34302898"/>
    <w:rsid w:val="343230D5"/>
    <w:rsid w:val="344C063B"/>
    <w:rsid w:val="345B460B"/>
    <w:rsid w:val="34692F9B"/>
    <w:rsid w:val="346C4839"/>
    <w:rsid w:val="347B1D25"/>
    <w:rsid w:val="348E2B4F"/>
    <w:rsid w:val="34B87A7E"/>
    <w:rsid w:val="34BB4966"/>
    <w:rsid w:val="34C31023"/>
    <w:rsid w:val="35A10512"/>
    <w:rsid w:val="35C97D56"/>
    <w:rsid w:val="35EA010B"/>
    <w:rsid w:val="35EE5D6B"/>
    <w:rsid w:val="36054F45"/>
    <w:rsid w:val="36301896"/>
    <w:rsid w:val="3637765B"/>
    <w:rsid w:val="363A3F05"/>
    <w:rsid w:val="363A7613"/>
    <w:rsid w:val="365311E6"/>
    <w:rsid w:val="365D4073"/>
    <w:rsid w:val="36687282"/>
    <w:rsid w:val="367112A8"/>
    <w:rsid w:val="368E4F3A"/>
    <w:rsid w:val="37240B56"/>
    <w:rsid w:val="37473FEE"/>
    <w:rsid w:val="375445E4"/>
    <w:rsid w:val="376964D6"/>
    <w:rsid w:val="378D71CC"/>
    <w:rsid w:val="379C0110"/>
    <w:rsid w:val="379C3619"/>
    <w:rsid w:val="37A35753"/>
    <w:rsid w:val="38015BA2"/>
    <w:rsid w:val="384A2F51"/>
    <w:rsid w:val="386F66A6"/>
    <w:rsid w:val="387C3364"/>
    <w:rsid w:val="387E5FB0"/>
    <w:rsid w:val="38CC73F3"/>
    <w:rsid w:val="38D96670"/>
    <w:rsid w:val="38E022EF"/>
    <w:rsid w:val="38F848ED"/>
    <w:rsid w:val="39180AEB"/>
    <w:rsid w:val="39226967"/>
    <w:rsid w:val="39585C49"/>
    <w:rsid w:val="395B66C1"/>
    <w:rsid w:val="395E3B0F"/>
    <w:rsid w:val="3990776B"/>
    <w:rsid w:val="39933832"/>
    <w:rsid w:val="39AD1B7B"/>
    <w:rsid w:val="39AE15AC"/>
    <w:rsid w:val="39E218FD"/>
    <w:rsid w:val="39E83FB4"/>
    <w:rsid w:val="3A153790"/>
    <w:rsid w:val="3A1F11A7"/>
    <w:rsid w:val="3A86575A"/>
    <w:rsid w:val="3AC94052"/>
    <w:rsid w:val="3ADD1FEC"/>
    <w:rsid w:val="3B0F23C2"/>
    <w:rsid w:val="3B115AB0"/>
    <w:rsid w:val="3B226849"/>
    <w:rsid w:val="3B341FC1"/>
    <w:rsid w:val="3B3B6D13"/>
    <w:rsid w:val="3B6C15C2"/>
    <w:rsid w:val="3B6F11E8"/>
    <w:rsid w:val="3B732683"/>
    <w:rsid w:val="3B851216"/>
    <w:rsid w:val="3BBB50BD"/>
    <w:rsid w:val="3C2105FF"/>
    <w:rsid w:val="3C5A766D"/>
    <w:rsid w:val="3C8F3B4A"/>
    <w:rsid w:val="3CBB2697"/>
    <w:rsid w:val="3D084D63"/>
    <w:rsid w:val="3D0B4A9A"/>
    <w:rsid w:val="3D0B5142"/>
    <w:rsid w:val="3D3C45F6"/>
    <w:rsid w:val="3D420A8C"/>
    <w:rsid w:val="3D517AA3"/>
    <w:rsid w:val="3DA349DC"/>
    <w:rsid w:val="3DE421F6"/>
    <w:rsid w:val="3DEC56E0"/>
    <w:rsid w:val="3DFD6502"/>
    <w:rsid w:val="3E0F5C92"/>
    <w:rsid w:val="3E2D6905"/>
    <w:rsid w:val="3E3457B0"/>
    <w:rsid w:val="3E9753EA"/>
    <w:rsid w:val="3E9948D1"/>
    <w:rsid w:val="3EB16D20"/>
    <w:rsid w:val="3ED66CA2"/>
    <w:rsid w:val="3EE200BE"/>
    <w:rsid w:val="3EE41CB3"/>
    <w:rsid w:val="3F43088C"/>
    <w:rsid w:val="3F5E71A0"/>
    <w:rsid w:val="3F7F3F6B"/>
    <w:rsid w:val="3FAA2EEE"/>
    <w:rsid w:val="3FAA346A"/>
    <w:rsid w:val="3FAB317E"/>
    <w:rsid w:val="3FE327A2"/>
    <w:rsid w:val="401C6C4D"/>
    <w:rsid w:val="40273D0A"/>
    <w:rsid w:val="403F2694"/>
    <w:rsid w:val="405E545C"/>
    <w:rsid w:val="40602185"/>
    <w:rsid w:val="406D3C7A"/>
    <w:rsid w:val="408D0A8F"/>
    <w:rsid w:val="40A5703F"/>
    <w:rsid w:val="40D55514"/>
    <w:rsid w:val="40DD4529"/>
    <w:rsid w:val="410F6C78"/>
    <w:rsid w:val="412A3AB2"/>
    <w:rsid w:val="414920DE"/>
    <w:rsid w:val="41550B18"/>
    <w:rsid w:val="416D399E"/>
    <w:rsid w:val="41792343"/>
    <w:rsid w:val="41DC6703"/>
    <w:rsid w:val="41E371A6"/>
    <w:rsid w:val="4206324A"/>
    <w:rsid w:val="42B01A80"/>
    <w:rsid w:val="42B540C6"/>
    <w:rsid w:val="42F82CEE"/>
    <w:rsid w:val="43124DBF"/>
    <w:rsid w:val="43267EE9"/>
    <w:rsid w:val="433D2CCC"/>
    <w:rsid w:val="43411BCB"/>
    <w:rsid w:val="435C4BA0"/>
    <w:rsid w:val="436332AB"/>
    <w:rsid w:val="436A7A26"/>
    <w:rsid w:val="4373005F"/>
    <w:rsid w:val="43C67DCE"/>
    <w:rsid w:val="43CF0940"/>
    <w:rsid w:val="441B7BFE"/>
    <w:rsid w:val="442326F2"/>
    <w:rsid w:val="442418FE"/>
    <w:rsid w:val="447713AF"/>
    <w:rsid w:val="44781DAA"/>
    <w:rsid w:val="44C9249B"/>
    <w:rsid w:val="44CA357E"/>
    <w:rsid w:val="44D54B81"/>
    <w:rsid w:val="44E73246"/>
    <w:rsid w:val="451D00EB"/>
    <w:rsid w:val="4587776E"/>
    <w:rsid w:val="45CF460B"/>
    <w:rsid w:val="45E27E1E"/>
    <w:rsid w:val="45F823D0"/>
    <w:rsid w:val="46142700"/>
    <w:rsid w:val="463B406B"/>
    <w:rsid w:val="46977FA9"/>
    <w:rsid w:val="470316C4"/>
    <w:rsid w:val="470E368E"/>
    <w:rsid w:val="4724670E"/>
    <w:rsid w:val="477631E0"/>
    <w:rsid w:val="47841B24"/>
    <w:rsid w:val="479A75A2"/>
    <w:rsid w:val="47AC7367"/>
    <w:rsid w:val="47AD6319"/>
    <w:rsid w:val="47BA5BC1"/>
    <w:rsid w:val="47C7285C"/>
    <w:rsid w:val="47E7433F"/>
    <w:rsid w:val="480C69CA"/>
    <w:rsid w:val="482F5E51"/>
    <w:rsid w:val="48330A71"/>
    <w:rsid w:val="487519F9"/>
    <w:rsid w:val="49247038"/>
    <w:rsid w:val="49347AA6"/>
    <w:rsid w:val="49366D6C"/>
    <w:rsid w:val="496D392E"/>
    <w:rsid w:val="497F756E"/>
    <w:rsid w:val="498E7313"/>
    <w:rsid w:val="499B629D"/>
    <w:rsid w:val="49C5081B"/>
    <w:rsid w:val="49F66C27"/>
    <w:rsid w:val="4A0A5885"/>
    <w:rsid w:val="4A417799"/>
    <w:rsid w:val="4A525E27"/>
    <w:rsid w:val="4A6859DD"/>
    <w:rsid w:val="4B073A5C"/>
    <w:rsid w:val="4B387880"/>
    <w:rsid w:val="4B44760D"/>
    <w:rsid w:val="4B5C5D27"/>
    <w:rsid w:val="4B5E326D"/>
    <w:rsid w:val="4B840ACD"/>
    <w:rsid w:val="4B8C42AD"/>
    <w:rsid w:val="4BC51F60"/>
    <w:rsid w:val="4BCB1D03"/>
    <w:rsid w:val="4BD2475B"/>
    <w:rsid w:val="4BF72474"/>
    <w:rsid w:val="4C1004D0"/>
    <w:rsid w:val="4C2E5AE5"/>
    <w:rsid w:val="4C4F0B45"/>
    <w:rsid w:val="4C5D5C39"/>
    <w:rsid w:val="4C743A6D"/>
    <w:rsid w:val="4C7F1DD7"/>
    <w:rsid w:val="4C9D075E"/>
    <w:rsid w:val="4D5A571F"/>
    <w:rsid w:val="4D652C2F"/>
    <w:rsid w:val="4D695962"/>
    <w:rsid w:val="4D74458A"/>
    <w:rsid w:val="4D7908B5"/>
    <w:rsid w:val="4DA40847"/>
    <w:rsid w:val="4DA74A82"/>
    <w:rsid w:val="4DA969FC"/>
    <w:rsid w:val="4DAE54FF"/>
    <w:rsid w:val="4DB73FDD"/>
    <w:rsid w:val="4E3B70D2"/>
    <w:rsid w:val="4E504716"/>
    <w:rsid w:val="4E5C3A58"/>
    <w:rsid w:val="4E7B1D31"/>
    <w:rsid w:val="4E865AFC"/>
    <w:rsid w:val="4E8A13C9"/>
    <w:rsid w:val="4EB726FD"/>
    <w:rsid w:val="4EE80B08"/>
    <w:rsid w:val="4F066320"/>
    <w:rsid w:val="4F0C4606"/>
    <w:rsid w:val="4F3D5624"/>
    <w:rsid w:val="4F4E6EBF"/>
    <w:rsid w:val="4F7D4C71"/>
    <w:rsid w:val="4FA80A1B"/>
    <w:rsid w:val="4FCA7073"/>
    <w:rsid w:val="4FD74E04"/>
    <w:rsid w:val="4FE259E9"/>
    <w:rsid w:val="4FE9146D"/>
    <w:rsid w:val="50092961"/>
    <w:rsid w:val="501D7C2E"/>
    <w:rsid w:val="501F67AB"/>
    <w:rsid w:val="502015CC"/>
    <w:rsid w:val="507B4484"/>
    <w:rsid w:val="50963550"/>
    <w:rsid w:val="50BD3A0A"/>
    <w:rsid w:val="50E35A2B"/>
    <w:rsid w:val="50E517A3"/>
    <w:rsid w:val="512C7508"/>
    <w:rsid w:val="512F4230"/>
    <w:rsid w:val="51591CD8"/>
    <w:rsid w:val="518A7817"/>
    <w:rsid w:val="51E91779"/>
    <w:rsid w:val="52321D93"/>
    <w:rsid w:val="52420452"/>
    <w:rsid w:val="524A5FDD"/>
    <w:rsid w:val="52533FC1"/>
    <w:rsid w:val="525C30D5"/>
    <w:rsid w:val="52B85DAB"/>
    <w:rsid w:val="52E95362"/>
    <w:rsid w:val="52F30FD8"/>
    <w:rsid w:val="530973DA"/>
    <w:rsid w:val="53457374"/>
    <w:rsid w:val="539A4AC7"/>
    <w:rsid w:val="53BB70AD"/>
    <w:rsid w:val="53DA43C4"/>
    <w:rsid w:val="53E267AB"/>
    <w:rsid w:val="53FD4057"/>
    <w:rsid w:val="54D02C4B"/>
    <w:rsid w:val="54E86E55"/>
    <w:rsid w:val="54E9053C"/>
    <w:rsid w:val="55010140"/>
    <w:rsid w:val="550D6F8B"/>
    <w:rsid w:val="55112B45"/>
    <w:rsid w:val="55127748"/>
    <w:rsid w:val="551D1A51"/>
    <w:rsid w:val="55254864"/>
    <w:rsid w:val="55351206"/>
    <w:rsid w:val="55653C63"/>
    <w:rsid w:val="558F79BB"/>
    <w:rsid w:val="55A649AE"/>
    <w:rsid w:val="55BD684B"/>
    <w:rsid w:val="55D93627"/>
    <w:rsid w:val="56391200"/>
    <w:rsid w:val="56602AF8"/>
    <w:rsid w:val="566C3EEE"/>
    <w:rsid w:val="56794E67"/>
    <w:rsid w:val="569D1848"/>
    <w:rsid w:val="56B13A64"/>
    <w:rsid w:val="56BA3AA0"/>
    <w:rsid w:val="56BD5448"/>
    <w:rsid w:val="56BE4A22"/>
    <w:rsid w:val="56CF6D97"/>
    <w:rsid w:val="56D66689"/>
    <w:rsid w:val="56E83761"/>
    <w:rsid w:val="57004D88"/>
    <w:rsid w:val="570E46A2"/>
    <w:rsid w:val="572648C3"/>
    <w:rsid w:val="57355C13"/>
    <w:rsid w:val="57770C7B"/>
    <w:rsid w:val="57847C36"/>
    <w:rsid w:val="57C2639A"/>
    <w:rsid w:val="580558FE"/>
    <w:rsid w:val="584E2691"/>
    <w:rsid w:val="586A742C"/>
    <w:rsid w:val="586C2696"/>
    <w:rsid w:val="5881039C"/>
    <w:rsid w:val="5891293E"/>
    <w:rsid w:val="58AB1524"/>
    <w:rsid w:val="58C134D7"/>
    <w:rsid w:val="58C779E0"/>
    <w:rsid w:val="58C94C3F"/>
    <w:rsid w:val="58E41B6D"/>
    <w:rsid w:val="591E42EB"/>
    <w:rsid w:val="592A1676"/>
    <w:rsid w:val="59451E18"/>
    <w:rsid w:val="59570D64"/>
    <w:rsid w:val="5964586E"/>
    <w:rsid w:val="59E051FD"/>
    <w:rsid w:val="59E71DDE"/>
    <w:rsid w:val="59F36CDF"/>
    <w:rsid w:val="5A064D2E"/>
    <w:rsid w:val="5A2865DD"/>
    <w:rsid w:val="5A496D02"/>
    <w:rsid w:val="5A53496E"/>
    <w:rsid w:val="5A7756D8"/>
    <w:rsid w:val="5A96078C"/>
    <w:rsid w:val="5ABB0552"/>
    <w:rsid w:val="5AC87CD6"/>
    <w:rsid w:val="5AE85A5C"/>
    <w:rsid w:val="5AEC799D"/>
    <w:rsid w:val="5B136F0D"/>
    <w:rsid w:val="5B18744E"/>
    <w:rsid w:val="5B21162A"/>
    <w:rsid w:val="5B995664"/>
    <w:rsid w:val="5BC63955"/>
    <w:rsid w:val="5BCE70CE"/>
    <w:rsid w:val="5C4A2BD7"/>
    <w:rsid w:val="5C732359"/>
    <w:rsid w:val="5C990F6F"/>
    <w:rsid w:val="5CAF68F6"/>
    <w:rsid w:val="5CF84E92"/>
    <w:rsid w:val="5D213D72"/>
    <w:rsid w:val="5D375134"/>
    <w:rsid w:val="5D4E247E"/>
    <w:rsid w:val="5D63632E"/>
    <w:rsid w:val="5D89138F"/>
    <w:rsid w:val="5DC364B9"/>
    <w:rsid w:val="5DD63758"/>
    <w:rsid w:val="5DF807B1"/>
    <w:rsid w:val="5E162172"/>
    <w:rsid w:val="5E191903"/>
    <w:rsid w:val="5E2775BD"/>
    <w:rsid w:val="5E326512"/>
    <w:rsid w:val="5E4205CC"/>
    <w:rsid w:val="5E504C73"/>
    <w:rsid w:val="5E84014A"/>
    <w:rsid w:val="5E985E8A"/>
    <w:rsid w:val="5EC057CC"/>
    <w:rsid w:val="5EE54D87"/>
    <w:rsid w:val="5EEC7028"/>
    <w:rsid w:val="5F1A4D0E"/>
    <w:rsid w:val="5F773F0E"/>
    <w:rsid w:val="5FB455AB"/>
    <w:rsid w:val="5FCB7633"/>
    <w:rsid w:val="5FCD120D"/>
    <w:rsid w:val="5FD539BB"/>
    <w:rsid w:val="5FD8479E"/>
    <w:rsid w:val="5FEF4FD0"/>
    <w:rsid w:val="5FF11588"/>
    <w:rsid w:val="5FF7262C"/>
    <w:rsid w:val="60343BAD"/>
    <w:rsid w:val="60585DBB"/>
    <w:rsid w:val="606028E1"/>
    <w:rsid w:val="60747F1B"/>
    <w:rsid w:val="609F50E9"/>
    <w:rsid w:val="60E055DB"/>
    <w:rsid w:val="61394E2C"/>
    <w:rsid w:val="617F4494"/>
    <w:rsid w:val="61A4521B"/>
    <w:rsid w:val="61BF6E9A"/>
    <w:rsid w:val="61FE7898"/>
    <w:rsid w:val="620B4DE2"/>
    <w:rsid w:val="621C7A8F"/>
    <w:rsid w:val="62A11A47"/>
    <w:rsid w:val="62B4089B"/>
    <w:rsid w:val="62E94FF3"/>
    <w:rsid w:val="62F475B6"/>
    <w:rsid w:val="630C6A64"/>
    <w:rsid w:val="631F7E44"/>
    <w:rsid w:val="63376FCF"/>
    <w:rsid w:val="635A3B09"/>
    <w:rsid w:val="635D124F"/>
    <w:rsid w:val="637C04DD"/>
    <w:rsid w:val="637E4C93"/>
    <w:rsid w:val="638B61DA"/>
    <w:rsid w:val="63964CCA"/>
    <w:rsid w:val="63B3451B"/>
    <w:rsid w:val="63B868A3"/>
    <w:rsid w:val="63F1796F"/>
    <w:rsid w:val="648D18F2"/>
    <w:rsid w:val="64A86918"/>
    <w:rsid w:val="64ED07CF"/>
    <w:rsid w:val="64F732A1"/>
    <w:rsid w:val="651842D4"/>
    <w:rsid w:val="65240F2C"/>
    <w:rsid w:val="652A2E44"/>
    <w:rsid w:val="654E4849"/>
    <w:rsid w:val="655A56B4"/>
    <w:rsid w:val="65686657"/>
    <w:rsid w:val="656D5290"/>
    <w:rsid w:val="657131AE"/>
    <w:rsid w:val="65BD69EB"/>
    <w:rsid w:val="65D77D99"/>
    <w:rsid w:val="66100C18"/>
    <w:rsid w:val="663C283C"/>
    <w:rsid w:val="664977CF"/>
    <w:rsid w:val="66886A01"/>
    <w:rsid w:val="66DD4F9F"/>
    <w:rsid w:val="66EC4975"/>
    <w:rsid w:val="66F92550"/>
    <w:rsid w:val="67016B09"/>
    <w:rsid w:val="670D6F06"/>
    <w:rsid w:val="67203D95"/>
    <w:rsid w:val="673D4D65"/>
    <w:rsid w:val="67597141"/>
    <w:rsid w:val="678E607A"/>
    <w:rsid w:val="67AA4E8D"/>
    <w:rsid w:val="67C47F0C"/>
    <w:rsid w:val="67D0240D"/>
    <w:rsid w:val="67E20300"/>
    <w:rsid w:val="67F83FF2"/>
    <w:rsid w:val="681B27B3"/>
    <w:rsid w:val="68203FE7"/>
    <w:rsid w:val="682E5386"/>
    <w:rsid w:val="683116BC"/>
    <w:rsid w:val="68430416"/>
    <w:rsid w:val="688751BF"/>
    <w:rsid w:val="688F3871"/>
    <w:rsid w:val="6893310E"/>
    <w:rsid w:val="68D862F5"/>
    <w:rsid w:val="68DC76F5"/>
    <w:rsid w:val="68E74072"/>
    <w:rsid w:val="69173BDC"/>
    <w:rsid w:val="695B6341"/>
    <w:rsid w:val="696077C1"/>
    <w:rsid w:val="697414BE"/>
    <w:rsid w:val="69BD4674"/>
    <w:rsid w:val="6A036769"/>
    <w:rsid w:val="6A087694"/>
    <w:rsid w:val="6A325674"/>
    <w:rsid w:val="6A4D2C84"/>
    <w:rsid w:val="6A52291B"/>
    <w:rsid w:val="6A7B10E5"/>
    <w:rsid w:val="6A817F02"/>
    <w:rsid w:val="6A8A48EA"/>
    <w:rsid w:val="6ABF2B74"/>
    <w:rsid w:val="6ACC3B31"/>
    <w:rsid w:val="6AD91941"/>
    <w:rsid w:val="6B351E6F"/>
    <w:rsid w:val="6B647ABE"/>
    <w:rsid w:val="6B7A4051"/>
    <w:rsid w:val="6B9B0F84"/>
    <w:rsid w:val="6BBA3B00"/>
    <w:rsid w:val="6BDD581C"/>
    <w:rsid w:val="6BE07043"/>
    <w:rsid w:val="6BE14999"/>
    <w:rsid w:val="6BF427CD"/>
    <w:rsid w:val="6BFB5FD1"/>
    <w:rsid w:val="6C2843DE"/>
    <w:rsid w:val="6C2B3C2F"/>
    <w:rsid w:val="6CDE55CC"/>
    <w:rsid w:val="6D045B43"/>
    <w:rsid w:val="6D12175F"/>
    <w:rsid w:val="6D1852E5"/>
    <w:rsid w:val="6D1F5AF0"/>
    <w:rsid w:val="6D360A02"/>
    <w:rsid w:val="6D42342C"/>
    <w:rsid w:val="6DAD1240"/>
    <w:rsid w:val="6DAD4F9F"/>
    <w:rsid w:val="6DAF51BB"/>
    <w:rsid w:val="6DE64DA7"/>
    <w:rsid w:val="6E1D76E4"/>
    <w:rsid w:val="6E402BE9"/>
    <w:rsid w:val="6E4870A7"/>
    <w:rsid w:val="6E4E6509"/>
    <w:rsid w:val="6E544C48"/>
    <w:rsid w:val="6E67178A"/>
    <w:rsid w:val="6ED54165"/>
    <w:rsid w:val="6EF45FED"/>
    <w:rsid w:val="6F062BB9"/>
    <w:rsid w:val="6F0839A0"/>
    <w:rsid w:val="6F0C74B5"/>
    <w:rsid w:val="6F0F4773"/>
    <w:rsid w:val="6F321C00"/>
    <w:rsid w:val="6F3657AD"/>
    <w:rsid w:val="6F3B10C9"/>
    <w:rsid w:val="6F452D7E"/>
    <w:rsid w:val="6F5B091E"/>
    <w:rsid w:val="6F8A1C5E"/>
    <w:rsid w:val="6F9704AE"/>
    <w:rsid w:val="6F974373"/>
    <w:rsid w:val="6FAF7C66"/>
    <w:rsid w:val="6FC71802"/>
    <w:rsid w:val="6FC74058"/>
    <w:rsid w:val="6FDE7692"/>
    <w:rsid w:val="6FF04731"/>
    <w:rsid w:val="70001CFE"/>
    <w:rsid w:val="70040E87"/>
    <w:rsid w:val="701408E4"/>
    <w:rsid w:val="704871A4"/>
    <w:rsid w:val="70497201"/>
    <w:rsid w:val="70592DFA"/>
    <w:rsid w:val="70694F36"/>
    <w:rsid w:val="7070529C"/>
    <w:rsid w:val="707B781C"/>
    <w:rsid w:val="70880C5C"/>
    <w:rsid w:val="708C17E3"/>
    <w:rsid w:val="70970796"/>
    <w:rsid w:val="70B32524"/>
    <w:rsid w:val="70B523D0"/>
    <w:rsid w:val="70C64CF5"/>
    <w:rsid w:val="70DD3906"/>
    <w:rsid w:val="7109479F"/>
    <w:rsid w:val="719B076B"/>
    <w:rsid w:val="71AF15E9"/>
    <w:rsid w:val="71C160BF"/>
    <w:rsid w:val="71DC2403"/>
    <w:rsid w:val="724D07EA"/>
    <w:rsid w:val="725B146D"/>
    <w:rsid w:val="726013AF"/>
    <w:rsid w:val="72BE1880"/>
    <w:rsid w:val="72DB33D1"/>
    <w:rsid w:val="72EA6253"/>
    <w:rsid w:val="72EC7281"/>
    <w:rsid w:val="72F0165D"/>
    <w:rsid w:val="73393BC2"/>
    <w:rsid w:val="737B44DB"/>
    <w:rsid w:val="73842E33"/>
    <w:rsid w:val="73CD6C4F"/>
    <w:rsid w:val="73D310AD"/>
    <w:rsid w:val="73DB55DA"/>
    <w:rsid w:val="74262B1B"/>
    <w:rsid w:val="74524843"/>
    <w:rsid w:val="745B7503"/>
    <w:rsid w:val="747F1F65"/>
    <w:rsid w:val="74A6094A"/>
    <w:rsid w:val="74C870C1"/>
    <w:rsid w:val="74CC21DF"/>
    <w:rsid w:val="74E16F35"/>
    <w:rsid w:val="7505382E"/>
    <w:rsid w:val="753F3D93"/>
    <w:rsid w:val="754F5D1D"/>
    <w:rsid w:val="75532D3D"/>
    <w:rsid w:val="75557673"/>
    <w:rsid w:val="758805C2"/>
    <w:rsid w:val="7588697C"/>
    <w:rsid w:val="75BE41ED"/>
    <w:rsid w:val="761F2330"/>
    <w:rsid w:val="763F26D5"/>
    <w:rsid w:val="764D0528"/>
    <w:rsid w:val="76621CC3"/>
    <w:rsid w:val="768677C8"/>
    <w:rsid w:val="76C82F19"/>
    <w:rsid w:val="77045A49"/>
    <w:rsid w:val="77266E5A"/>
    <w:rsid w:val="77291B31"/>
    <w:rsid w:val="7733141D"/>
    <w:rsid w:val="775C7088"/>
    <w:rsid w:val="77701354"/>
    <w:rsid w:val="77750DFA"/>
    <w:rsid w:val="77902D8C"/>
    <w:rsid w:val="779A189F"/>
    <w:rsid w:val="77F60E84"/>
    <w:rsid w:val="781F51BA"/>
    <w:rsid w:val="783B61C1"/>
    <w:rsid w:val="78494544"/>
    <w:rsid w:val="78810ADD"/>
    <w:rsid w:val="788E2C97"/>
    <w:rsid w:val="78955947"/>
    <w:rsid w:val="78A21BA4"/>
    <w:rsid w:val="78D36201"/>
    <w:rsid w:val="78DC47E1"/>
    <w:rsid w:val="78E431C4"/>
    <w:rsid w:val="78EB4A40"/>
    <w:rsid w:val="78F03E12"/>
    <w:rsid w:val="791660EE"/>
    <w:rsid w:val="79532003"/>
    <w:rsid w:val="796C6682"/>
    <w:rsid w:val="79BB696B"/>
    <w:rsid w:val="79F944AF"/>
    <w:rsid w:val="79FF7AF6"/>
    <w:rsid w:val="7A2A4A0B"/>
    <w:rsid w:val="7A2F69EB"/>
    <w:rsid w:val="7A4413F9"/>
    <w:rsid w:val="7A5711E4"/>
    <w:rsid w:val="7A822D65"/>
    <w:rsid w:val="7A884DCA"/>
    <w:rsid w:val="7A974B61"/>
    <w:rsid w:val="7AE069B4"/>
    <w:rsid w:val="7AEA0E27"/>
    <w:rsid w:val="7B455A6D"/>
    <w:rsid w:val="7BAF6112"/>
    <w:rsid w:val="7BBE1FE9"/>
    <w:rsid w:val="7BEE5100"/>
    <w:rsid w:val="7BFE07E3"/>
    <w:rsid w:val="7C2F7BF3"/>
    <w:rsid w:val="7C4A702F"/>
    <w:rsid w:val="7C674FA4"/>
    <w:rsid w:val="7C735E4E"/>
    <w:rsid w:val="7C9D6FAC"/>
    <w:rsid w:val="7CDB6490"/>
    <w:rsid w:val="7D071AF5"/>
    <w:rsid w:val="7D394FD8"/>
    <w:rsid w:val="7D742F87"/>
    <w:rsid w:val="7D7E7646"/>
    <w:rsid w:val="7D823D52"/>
    <w:rsid w:val="7D9D3627"/>
    <w:rsid w:val="7DBA7B76"/>
    <w:rsid w:val="7DC26738"/>
    <w:rsid w:val="7E755D64"/>
    <w:rsid w:val="7E81400A"/>
    <w:rsid w:val="7E972C19"/>
    <w:rsid w:val="7EBB2BFC"/>
    <w:rsid w:val="7EC6300D"/>
    <w:rsid w:val="7F3F0303"/>
    <w:rsid w:val="7F6E4E40"/>
    <w:rsid w:val="7F7E2419"/>
    <w:rsid w:val="7F856BE9"/>
    <w:rsid w:val="7FB01E29"/>
    <w:rsid w:val="7FC903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3">
    <w:name w:val="heading 1"/>
    <w:basedOn w:val="1"/>
    <w:next w:val="1"/>
    <w:link w:val="122"/>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4">
    <w:name w:val="heading 2"/>
    <w:basedOn w:val="5"/>
    <w:next w:val="1"/>
    <w:link w:val="299"/>
    <w:autoRedefine/>
    <w:qFormat/>
    <w:uiPriority w:val="99"/>
    <w:pPr>
      <w:tabs>
        <w:tab w:val="left" w:pos="1152"/>
      </w:tabs>
      <w:spacing w:before="260" w:after="260" w:line="416" w:lineRule="atLeast"/>
      <w:outlineLvl w:val="1"/>
    </w:pPr>
    <w:rPr>
      <w:rFonts w:ascii="Cambria" w:hAnsi="Cambria"/>
      <w:sz w:val="32"/>
      <w:szCs w:val="32"/>
    </w:rPr>
  </w:style>
  <w:style w:type="paragraph" w:styleId="7">
    <w:name w:val="heading 3"/>
    <w:basedOn w:val="1"/>
    <w:next w:val="8"/>
    <w:link w:val="114"/>
    <w:autoRedefine/>
    <w:qFormat/>
    <w:uiPriority w:val="99"/>
    <w:pPr>
      <w:tabs>
        <w:tab w:val="left" w:pos="588"/>
      </w:tabs>
      <w:spacing w:line="360" w:lineRule="auto"/>
      <w:outlineLvl w:val="2"/>
    </w:pPr>
    <w:rPr>
      <w:rFonts w:ascii="Tahoma" w:hAnsi="Tahoma"/>
    </w:rPr>
  </w:style>
  <w:style w:type="paragraph" w:styleId="9">
    <w:name w:val="heading 4"/>
    <w:basedOn w:val="1"/>
    <w:next w:val="1"/>
    <w:link w:val="141"/>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link w:val="103"/>
    <w:autoRedefine/>
    <w:qFormat/>
    <w:uiPriority w:val="99"/>
    <w:pPr>
      <w:keepNext/>
      <w:keepLines/>
      <w:spacing w:before="280" w:after="290" w:line="376" w:lineRule="auto"/>
      <w:ind w:left="1008" w:hanging="1008"/>
      <w:outlineLvl w:val="4"/>
    </w:pPr>
    <w:rPr>
      <w:b/>
      <w:bCs/>
      <w:sz w:val="24"/>
      <w:szCs w:val="28"/>
    </w:rPr>
  </w:style>
  <w:style w:type="paragraph" w:styleId="10">
    <w:name w:val="heading 6"/>
    <w:basedOn w:val="1"/>
    <w:next w:val="1"/>
    <w:link w:val="134"/>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11">
    <w:name w:val="heading 7"/>
    <w:basedOn w:val="1"/>
    <w:next w:val="1"/>
    <w:link w:val="124"/>
    <w:autoRedefine/>
    <w:qFormat/>
    <w:uiPriority w:val="99"/>
    <w:pPr>
      <w:keepNext/>
      <w:keepLines/>
      <w:spacing w:before="240" w:after="64" w:line="320" w:lineRule="auto"/>
      <w:ind w:left="1296" w:hanging="1296"/>
      <w:outlineLvl w:val="6"/>
    </w:pPr>
    <w:rPr>
      <w:b/>
      <w:bCs/>
      <w:sz w:val="24"/>
      <w:szCs w:val="28"/>
    </w:rPr>
  </w:style>
  <w:style w:type="paragraph" w:styleId="12">
    <w:name w:val="heading 8"/>
    <w:basedOn w:val="1"/>
    <w:next w:val="1"/>
    <w:link w:val="109"/>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3">
    <w:name w:val="heading 9"/>
    <w:basedOn w:val="1"/>
    <w:next w:val="1"/>
    <w:link w:val="126"/>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35"/>
    <w:autoRedefine/>
    <w:qFormat/>
    <w:uiPriority w:val="99"/>
    <w:pPr>
      <w:spacing w:line="360" w:lineRule="auto"/>
    </w:pPr>
    <w:rPr>
      <w:rFonts w:ascii="Tahoma" w:hAnsi="Tahoma"/>
    </w:rPr>
  </w:style>
  <w:style w:type="paragraph" w:customStyle="1" w:styleId="5">
    <w:name w:val="标题 55"/>
    <w:basedOn w:val="6"/>
    <w:qFormat/>
    <w:uiPriority w:val="0"/>
    <w:pPr>
      <w:tabs>
        <w:tab w:val="left" w:pos="1152"/>
      </w:tabs>
      <w:spacing w:line="376" w:lineRule="auto"/>
    </w:pPr>
    <w:rPr>
      <w:rFonts w:ascii="方正黑体简体" w:eastAsia="方正黑体简体"/>
      <w:b w:val="0"/>
    </w:rPr>
  </w:style>
  <w:style w:type="paragraph" w:styleId="8">
    <w:name w:val="Normal Indent"/>
    <w:basedOn w:val="1"/>
    <w:link w:val="137"/>
    <w:autoRedefine/>
    <w:qFormat/>
    <w:uiPriority w:val="0"/>
    <w:pPr>
      <w:spacing w:line="360" w:lineRule="auto"/>
      <w:ind w:firstLine="200" w:firstLineChars="200"/>
    </w:pPr>
    <w:rPr>
      <w:sz w:val="24"/>
      <w:szCs w:val="20"/>
    </w:rPr>
  </w:style>
  <w:style w:type="paragraph" w:styleId="14">
    <w:name w:val="toc 7"/>
    <w:basedOn w:val="1"/>
    <w:next w:val="1"/>
    <w:autoRedefine/>
    <w:qFormat/>
    <w:uiPriority w:val="39"/>
    <w:pPr>
      <w:spacing w:line="440" w:lineRule="exact"/>
      <w:ind w:left="1680"/>
      <w:jc w:val="left"/>
    </w:pPr>
    <w:rPr>
      <w:rFonts w:ascii="Calibri" w:hAnsi="Calibri"/>
      <w:sz w:val="18"/>
      <w:szCs w:val="18"/>
    </w:rPr>
  </w:style>
  <w:style w:type="paragraph" w:styleId="15">
    <w:name w:val="Note Heading"/>
    <w:basedOn w:val="16"/>
    <w:next w:val="16"/>
    <w:link w:val="200"/>
    <w:autoRedefine/>
    <w:qFormat/>
    <w:uiPriority w:val="0"/>
    <w:rPr>
      <w:rFonts w:ascii="..ì." w:eastAsia="..ì." w:cs="Times New Roman"/>
      <w:color w:val="auto"/>
      <w:szCs w:val="20"/>
    </w:rPr>
  </w:style>
  <w:style w:type="paragraph" w:customStyle="1" w:styleId="16">
    <w:name w:val="Default"/>
    <w:next w:val="1"/>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7">
    <w:name w:val="caption"/>
    <w:basedOn w:val="1"/>
    <w:next w:val="1"/>
    <w:link w:val="95"/>
    <w:autoRedefine/>
    <w:qFormat/>
    <w:uiPriority w:val="0"/>
    <w:pPr>
      <w:spacing w:line="480" w:lineRule="auto"/>
    </w:pPr>
    <w:rPr>
      <w:rFonts w:ascii="华文中宋" w:eastAsia="华文中宋"/>
      <w:sz w:val="36"/>
      <w:szCs w:val="20"/>
    </w:rPr>
  </w:style>
  <w:style w:type="paragraph" w:styleId="18">
    <w:name w:val="index 5"/>
    <w:basedOn w:val="1"/>
    <w:next w:val="1"/>
    <w:autoRedefine/>
    <w:qFormat/>
    <w:uiPriority w:val="99"/>
    <w:pPr>
      <w:ind w:left="800" w:leftChars="800"/>
    </w:pPr>
    <w:rPr>
      <w:rFonts w:eastAsia="宋体"/>
    </w:rPr>
  </w:style>
  <w:style w:type="paragraph" w:styleId="19">
    <w:name w:val="Document Map"/>
    <w:basedOn w:val="1"/>
    <w:link w:val="131"/>
    <w:autoRedefine/>
    <w:qFormat/>
    <w:uiPriority w:val="99"/>
    <w:pPr>
      <w:spacing w:line="440" w:lineRule="exact"/>
    </w:pPr>
    <w:rPr>
      <w:rFonts w:ascii="宋体"/>
      <w:sz w:val="18"/>
      <w:szCs w:val="18"/>
    </w:rPr>
  </w:style>
  <w:style w:type="paragraph" w:styleId="20">
    <w:name w:val="toa heading"/>
    <w:basedOn w:val="1"/>
    <w:next w:val="1"/>
    <w:autoRedefine/>
    <w:unhideWhenUsed/>
    <w:qFormat/>
    <w:uiPriority w:val="99"/>
    <w:pPr>
      <w:spacing w:before="120"/>
    </w:pPr>
    <w:rPr>
      <w:rFonts w:ascii="Cambria" w:hAnsi="Cambria" w:eastAsia="宋体"/>
      <w:sz w:val="24"/>
    </w:rPr>
  </w:style>
  <w:style w:type="paragraph" w:styleId="21">
    <w:name w:val="annotation text"/>
    <w:basedOn w:val="1"/>
    <w:link w:val="101"/>
    <w:autoRedefine/>
    <w:qFormat/>
    <w:uiPriority w:val="0"/>
    <w:pPr>
      <w:jc w:val="left"/>
    </w:pPr>
    <w:rPr>
      <w:rFonts w:ascii="Tahoma" w:hAnsi="Tahoma"/>
    </w:rPr>
  </w:style>
  <w:style w:type="paragraph" w:styleId="22">
    <w:name w:val="Salutation"/>
    <w:basedOn w:val="16"/>
    <w:next w:val="16"/>
    <w:link w:val="199"/>
    <w:autoRedefine/>
    <w:qFormat/>
    <w:uiPriority w:val="0"/>
    <w:rPr>
      <w:rFonts w:ascii="..ì." w:eastAsia="..ì." w:cs="Times New Roman"/>
      <w:color w:val="auto"/>
      <w:szCs w:val="20"/>
    </w:rPr>
  </w:style>
  <w:style w:type="paragraph" w:styleId="23">
    <w:name w:val="Body Text 3"/>
    <w:basedOn w:val="1"/>
    <w:link w:val="207"/>
    <w:autoRedefine/>
    <w:qFormat/>
    <w:uiPriority w:val="99"/>
    <w:pPr>
      <w:spacing w:after="120"/>
    </w:pPr>
    <w:rPr>
      <w:rFonts w:eastAsia="宋体"/>
      <w:sz w:val="16"/>
      <w:szCs w:val="16"/>
    </w:rPr>
  </w:style>
  <w:style w:type="paragraph" w:styleId="24">
    <w:name w:val="Body Text Indent"/>
    <w:basedOn w:val="1"/>
    <w:link w:val="167"/>
    <w:autoRedefine/>
    <w:qFormat/>
    <w:uiPriority w:val="99"/>
    <w:pPr>
      <w:widowControl/>
      <w:spacing w:line="360" w:lineRule="auto"/>
      <w:ind w:firstLine="709"/>
      <w:jc w:val="left"/>
    </w:pPr>
    <w:rPr>
      <w:rFonts w:ascii="Tahoma" w:hAnsi="Tahoma"/>
    </w:rPr>
  </w:style>
  <w:style w:type="paragraph" w:styleId="25">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6">
    <w:name w:val="List Bullet 2"/>
    <w:basedOn w:val="1"/>
    <w:autoRedefine/>
    <w:qFormat/>
    <w:uiPriority w:val="0"/>
    <w:pPr>
      <w:numPr>
        <w:ilvl w:val="1"/>
        <w:numId w:val="1"/>
      </w:numPr>
      <w:spacing w:line="360" w:lineRule="auto"/>
    </w:pPr>
    <w:rPr>
      <w:sz w:val="24"/>
      <w:szCs w:val="28"/>
    </w:rPr>
  </w:style>
  <w:style w:type="paragraph" w:styleId="27">
    <w:name w:val="toc 5"/>
    <w:basedOn w:val="1"/>
    <w:next w:val="1"/>
    <w:autoRedefine/>
    <w:qFormat/>
    <w:uiPriority w:val="39"/>
    <w:pPr>
      <w:spacing w:line="440" w:lineRule="exact"/>
      <w:ind w:left="1120"/>
      <w:jc w:val="left"/>
    </w:pPr>
    <w:rPr>
      <w:rFonts w:ascii="Calibri" w:hAnsi="Calibri"/>
      <w:sz w:val="18"/>
      <w:szCs w:val="18"/>
    </w:rPr>
  </w:style>
  <w:style w:type="paragraph" w:styleId="28">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9">
    <w:name w:val="Plain Text"/>
    <w:basedOn w:val="1"/>
    <w:link w:val="221"/>
    <w:autoRedefine/>
    <w:qFormat/>
    <w:uiPriority w:val="0"/>
    <w:pPr>
      <w:spacing w:line="360" w:lineRule="auto"/>
    </w:pPr>
    <w:rPr>
      <w:rFonts w:ascii="宋体" w:hAnsi="Courier New"/>
      <w:szCs w:val="21"/>
    </w:rPr>
  </w:style>
  <w:style w:type="paragraph" w:styleId="30">
    <w:name w:val="toc 8"/>
    <w:basedOn w:val="1"/>
    <w:next w:val="1"/>
    <w:autoRedefine/>
    <w:qFormat/>
    <w:uiPriority w:val="39"/>
    <w:pPr>
      <w:spacing w:line="440" w:lineRule="exact"/>
      <w:ind w:left="1960"/>
      <w:jc w:val="left"/>
    </w:pPr>
    <w:rPr>
      <w:rFonts w:ascii="Calibri" w:hAnsi="Calibri"/>
      <w:sz w:val="18"/>
      <w:szCs w:val="18"/>
    </w:rPr>
  </w:style>
  <w:style w:type="paragraph" w:styleId="31">
    <w:name w:val="Date"/>
    <w:basedOn w:val="1"/>
    <w:next w:val="1"/>
    <w:link w:val="197"/>
    <w:autoRedefine/>
    <w:qFormat/>
    <w:uiPriority w:val="99"/>
    <w:pPr>
      <w:spacing w:line="360" w:lineRule="auto"/>
      <w:ind w:left="2500" w:leftChars="2500"/>
    </w:pPr>
    <w:rPr>
      <w:rFonts w:ascii="Tahoma" w:hAnsi="Tahoma"/>
    </w:rPr>
  </w:style>
  <w:style w:type="paragraph" w:styleId="32">
    <w:name w:val="Body Text Indent 2"/>
    <w:basedOn w:val="1"/>
    <w:link w:val="163"/>
    <w:autoRedefine/>
    <w:qFormat/>
    <w:uiPriority w:val="99"/>
    <w:pPr>
      <w:adjustRightInd w:val="0"/>
      <w:snapToGrid w:val="0"/>
      <w:spacing w:afterLines="25" w:line="420" w:lineRule="exact"/>
      <w:ind w:left="778" w:leftChars="378"/>
    </w:pPr>
    <w:rPr>
      <w:rFonts w:eastAsia="宋体"/>
      <w:sz w:val="24"/>
      <w:szCs w:val="30"/>
    </w:rPr>
  </w:style>
  <w:style w:type="paragraph" w:styleId="33">
    <w:name w:val="Balloon Text"/>
    <w:basedOn w:val="1"/>
    <w:link w:val="97"/>
    <w:autoRedefine/>
    <w:qFormat/>
    <w:uiPriority w:val="0"/>
    <w:rPr>
      <w:sz w:val="18"/>
      <w:szCs w:val="18"/>
    </w:rPr>
  </w:style>
  <w:style w:type="paragraph" w:styleId="34">
    <w:name w:val="footer"/>
    <w:basedOn w:val="1"/>
    <w:link w:val="138"/>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5">
    <w:name w:val="header"/>
    <w:basedOn w:val="1"/>
    <w:link w:val="123"/>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6">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7">
    <w:name w:val="toc 4"/>
    <w:basedOn w:val="1"/>
    <w:next w:val="1"/>
    <w:autoRedefine/>
    <w:qFormat/>
    <w:uiPriority w:val="39"/>
    <w:pPr>
      <w:spacing w:line="440" w:lineRule="exact"/>
      <w:ind w:left="840"/>
      <w:jc w:val="left"/>
    </w:pPr>
    <w:rPr>
      <w:rFonts w:ascii="Calibri" w:hAnsi="Calibri"/>
      <w:sz w:val="18"/>
      <w:szCs w:val="18"/>
    </w:rPr>
  </w:style>
  <w:style w:type="paragraph" w:styleId="38">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9">
    <w:name w:val="toc 6"/>
    <w:basedOn w:val="1"/>
    <w:next w:val="1"/>
    <w:autoRedefine/>
    <w:qFormat/>
    <w:uiPriority w:val="39"/>
    <w:pPr>
      <w:spacing w:line="440" w:lineRule="exact"/>
      <w:ind w:left="1400"/>
      <w:jc w:val="left"/>
    </w:pPr>
    <w:rPr>
      <w:rFonts w:ascii="Calibri" w:hAnsi="Calibri"/>
      <w:sz w:val="18"/>
      <w:szCs w:val="18"/>
    </w:rPr>
  </w:style>
  <w:style w:type="paragraph" w:styleId="40">
    <w:name w:val="Body Text Indent 3"/>
    <w:basedOn w:val="1"/>
    <w:link w:val="210"/>
    <w:autoRedefine/>
    <w:qFormat/>
    <w:uiPriority w:val="99"/>
    <w:pPr>
      <w:spacing w:after="120"/>
      <w:ind w:left="420" w:leftChars="200"/>
    </w:pPr>
    <w:rPr>
      <w:sz w:val="16"/>
      <w:szCs w:val="16"/>
    </w:rPr>
  </w:style>
  <w:style w:type="paragraph" w:styleId="41">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2">
    <w:name w:val="toc 9"/>
    <w:basedOn w:val="1"/>
    <w:next w:val="1"/>
    <w:autoRedefine/>
    <w:qFormat/>
    <w:uiPriority w:val="39"/>
    <w:pPr>
      <w:spacing w:line="440" w:lineRule="exact"/>
      <w:ind w:left="2240"/>
      <w:jc w:val="left"/>
    </w:pPr>
    <w:rPr>
      <w:rFonts w:ascii="Calibri" w:hAnsi="Calibri"/>
      <w:sz w:val="18"/>
      <w:szCs w:val="18"/>
    </w:rPr>
  </w:style>
  <w:style w:type="paragraph" w:styleId="43">
    <w:name w:val="Body Text 2"/>
    <w:basedOn w:val="1"/>
    <w:link w:val="169"/>
    <w:autoRedefine/>
    <w:qFormat/>
    <w:uiPriority w:val="99"/>
    <w:pPr>
      <w:spacing w:line="360" w:lineRule="auto"/>
      <w:ind w:right="26"/>
    </w:pPr>
    <w:rPr>
      <w:rFonts w:ascii="宋体" w:eastAsia="宋体"/>
      <w:szCs w:val="20"/>
    </w:rPr>
  </w:style>
  <w:style w:type="paragraph" w:styleId="44">
    <w:name w:val="HTML Preformatted"/>
    <w:basedOn w:val="1"/>
    <w:link w:val="29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5">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autoRedefine/>
    <w:qFormat/>
    <w:uiPriority w:val="99"/>
    <w:pPr>
      <w:spacing w:line="220" w:lineRule="exact"/>
      <w:jc w:val="center"/>
    </w:pPr>
    <w:rPr>
      <w:rFonts w:ascii="仿宋_GB2312" w:eastAsia="仿宋_GB2312"/>
      <w:szCs w:val="21"/>
    </w:rPr>
  </w:style>
  <w:style w:type="paragraph" w:styleId="47">
    <w:name w:val="Title"/>
    <w:basedOn w:val="1"/>
    <w:next w:val="1"/>
    <w:link w:val="125"/>
    <w:autoRedefine/>
    <w:qFormat/>
    <w:uiPriority w:val="0"/>
    <w:pPr>
      <w:spacing w:before="240" w:after="60" w:line="440" w:lineRule="exact"/>
      <w:jc w:val="center"/>
      <w:outlineLvl w:val="0"/>
    </w:pPr>
    <w:rPr>
      <w:rFonts w:ascii="Cambria" w:hAnsi="Cambria"/>
      <w:b/>
      <w:bCs/>
      <w:sz w:val="32"/>
      <w:szCs w:val="32"/>
    </w:rPr>
  </w:style>
  <w:style w:type="paragraph" w:styleId="48">
    <w:name w:val="annotation subject"/>
    <w:basedOn w:val="21"/>
    <w:next w:val="21"/>
    <w:link w:val="129"/>
    <w:autoRedefine/>
    <w:unhideWhenUsed/>
    <w:qFormat/>
    <w:uiPriority w:val="99"/>
    <w:pPr>
      <w:spacing w:line="440" w:lineRule="exact"/>
    </w:pPr>
    <w:rPr>
      <w:b/>
      <w:bCs/>
      <w:sz w:val="24"/>
      <w:szCs w:val="28"/>
    </w:rPr>
  </w:style>
  <w:style w:type="paragraph" w:styleId="49">
    <w:name w:val="Body Text First Indent"/>
    <w:basedOn w:val="2"/>
    <w:link w:val="132"/>
    <w:autoRedefine/>
    <w:qFormat/>
    <w:uiPriority w:val="0"/>
    <w:pPr>
      <w:spacing w:after="120" w:line="240" w:lineRule="auto"/>
      <w:ind w:firstLine="100" w:firstLineChars="100"/>
    </w:pPr>
  </w:style>
  <w:style w:type="paragraph" w:styleId="50">
    <w:name w:val="Body Text First Indent 2"/>
    <w:basedOn w:val="24"/>
    <w:link w:val="168"/>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2">
    <w:name w:val="Table Grid"/>
    <w:basedOn w:val="5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basedOn w:val="53"/>
    <w:autoRedefine/>
    <w:qFormat/>
    <w:uiPriority w:val="0"/>
  </w:style>
  <w:style w:type="character" w:styleId="55">
    <w:name w:val="page number"/>
    <w:basedOn w:val="53"/>
    <w:autoRedefine/>
    <w:qFormat/>
    <w:uiPriority w:val="99"/>
  </w:style>
  <w:style w:type="character" w:styleId="56">
    <w:name w:val="FollowedHyperlink"/>
    <w:autoRedefine/>
    <w:unhideWhenUsed/>
    <w:qFormat/>
    <w:uiPriority w:val="99"/>
    <w:rPr>
      <w:color w:val="954F72"/>
      <w:u w:val="single"/>
    </w:rPr>
  </w:style>
  <w:style w:type="character" w:styleId="57">
    <w:name w:val="Emphasis"/>
    <w:autoRedefine/>
    <w:qFormat/>
    <w:uiPriority w:val="0"/>
    <w:rPr>
      <w:i/>
      <w:iCs/>
    </w:rPr>
  </w:style>
  <w:style w:type="character" w:styleId="58">
    <w:name w:val="HTML Definition"/>
    <w:autoRedefine/>
    <w:unhideWhenUsed/>
    <w:qFormat/>
    <w:uiPriority w:val="0"/>
  </w:style>
  <w:style w:type="character" w:styleId="59">
    <w:name w:val="HTML Variable"/>
    <w:autoRedefine/>
    <w:unhideWhenUsed/>
    <w:qFormat/>
    <w:uiPriority w:val="0"/>
  </w:style>
  <w:style w:type="character" w:styleId="60">
    <w:name w:val="Hyperlink"/>
    <w:autoRedefine/>
    <w:qFormat/>
    <w:uiPriority w:val="99"/>
    <w:rPr>
      <w:rFonts w:hint="eastAsia" w:ascii="宋体" w:hAnsi="宋体" w:eastAsia="宋体" w:cs="宋体"/>
      <w:color w:val="004A85"/>
      <w:sz w:val="12"/>
      <w:szCs w:val="12"/>
      <w:u w:val="single"/>
    </w:rPr>
  </w:style>
  <w:style w:type="character" w:styleId="61">
    <w:name w:val="HTML Code"/>
    <w:autoRedefine/>
    <w:unhideWhenUsed/>
    <w:qFormat/>
    <w:uiPriority w:val="0"/>
    <w:rPr>
      <w:rFonts w:ascii="Courier New" w:hAnsi="Courier New"/>
      <w:sz w:val="20"/>
    </w:rPr>
  </w:style>
  <w:style w:type="character" w:styleId="62">
    <w:name w:val="annotation reference"/>
    <w:autoRedefine/>
    <w:qFormat/>
    <w:uiPriority w:val="99"/>
    <w:rPr>
      <w:sz w:val="21"/>
      <w:szCs w:val="21"/>
    </w:rPr>
  </w:style>
  <w:style w:type="character" w:styleId="63">
    <w:name w:val="HTML Cite"/>
    <w:autoRedefine/>
    <w:unhideWhenUsed/>
    <w:qFormat/>
    <w:uiPriority w:val="0"/>
  </w:style>
  <w:style w:type="paragraph" w:customStyle="1" w:styleId="64">
    <w:name w:val="样式1"/>
    <w:basedOn w:val="1"/>
    <w:next w:val="7"/>
    <w:autoRedefine/>
    <w:qFormat/>
    <w:uiPriority w:val="99"/>
    <w:rPr>
      <w:rFonts w:eastAsia="宋体"/>
      <w:sz w:val="24"/>
      <w:szCs w:val="20"/>
    </w:rPr>
  </w:style>
  <w:style w:type="paragraph" w:customStyle="1" w:styleId="65">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6">
    <w:name w:val="列出段落2"/>
    <w:basedOn w:val="1"/>
    <w:autoRedefine/>
    <w:unhideWhenUsed/>
    <w:qFormat/>
    <w:uiPriority w:val="0"/>
    <w:pPr>
      <w:ind w:firstLine="420" w:firstLineChars="200"/>
    </w:pPr>
  </w:style>
  <w:style w:type="paragraph" w:customStyle="1" w:styleId="67">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8">
    <w:name w:val="_Style 67"/>
    <w:basedOn w:val="1"/>
    <w:next w:val="69"/>
    <w:autoRedefine/>
    <w:qFormat/>
    <w:uiPriority w:val="99"/>
    <w:pPr>
      <w:ind w:firstLine="420" w:firstLineChars="200"/>
    </w:pPr>
    <w:rPr>
      <w:rFonts w:ascii="Calibri" w:hAnsi="Calibri"/>
      <w:szCs w:val="22"/>
    </w:rPr>
  </w:style>
  <w:style w:type="paragraph" w:styleId="69">
    <w:name w:val="List Paragraph"/>
    <w:basedOn w:val="1"/>
    <w:autoRedefine/>
    <w:qFormat/>
    <w:uiPriority w:val="34"/>
    <w:pPr>
      <w:ind w:firstLine="420" w:firstLineChars="200"/>
    </w:pPr>
    <w:rPr>
      <w:rFonts w:ascii="Calibri" w:hAnsi="Calibri" w:eastAsia="宋体"/>
      <w:szCs w:val="22"/>
    </w:rPr>
  </w:style>
  <w:style w:type="paragraph" w:customStyle="1" w:styleId="70">
    <w:name w:val="_Style 2"/>
    <w:basedOn w:val="1"/>
    <w:autoRedefine/>
    <w:qFormat/>
    <w:uiPriority w:val="34"/>
    <w:pPr>
      <w:ind w:firstLine="420" w:firstLineChars="200"/>
    </w:pPr>
    <w:rPr>
      <w:rFonts w:ascii="Calibri" w:hAnsi="Calibri"/>
      <w:szCs w:val="22"/>
    </w:rPr>
  </w:style>
  <w:style w:type="paragraph" w:customStyle="1" w:styleId="71">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2">
    <w:name w:val="TOC 标题1"/>
    <w:basedOn w:val="3"/>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3">
    <w:name w:val="封面落款"/>
    <w:basedOn w:val="1"/>
    <w:autoRedefine/>
    <w:qFormat/>
    <w:uiPriority w:val="0"/>
    <w:pPr>
      <w:spacing w:line="360" w:lineRule="auto"/>
      <w:jc w:val="center"/>
    </w:pPr>
    <w:rPr>
      <w:rFonts w:ascii="Arial" w:hAnsi="Arial" w:eastAsia="黑体"/>
      <w:sz w:val="32"/>
      <w:szCs w:val="28"/>
    </w:rPr>
  </w:style>
  <w:style w:type="paragraph" w:customStyle="1" w:styleId="74">
    <w:name w:val="目录"/>
    <w:link w:val="106"/>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5">
    <w:name w:val="表格字体小四"/>
    <w:link w:val="105"/>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6">
    <w:name w:val="样式 标题 5 + 小四"/>
    <w:basedOn w:val="6"/>
    <w:autoRedefine/>
    <w:qFormat/>
    <w:uiPriority w:val="0"/>
    <w:pPr>
      <w:tabs>
        <w:tab w:val="left" w:pos="567"/>
      </w:tabs>
      <w:wordWrap w:val="0"/>
      <w:spacing w:line="377" w:lineRule="auto"/>
      <w:ind w:left="567" w:hanging="567"/>
      <w:jc w:val="left"/>
    </w:pPr>
  </w:style>
  <w:style w:type="paragraph" w:customStyle="1" w:styleId="77">
    <w:name w:val="表格格式"/>
    <w:basedOn w:val="1"/>
    <w:autoRedefine/>
    <w:qFormat/>
    <w:uiPriority w:val="0"/>
    <w:pPr>
      <w:adjustRightInd w:val="0"/>
      <w:snapToGrid w:val="0"/>
      <w:jc w:val="left"/>
      <w:textAlignment w:val="baseline"/>
    </w:pPr>
    <w:rPr>
      <w:rFonts w:ascii="宋体"/>
      <w:kern w:val="0"/>
      <w:szCs w:val="20"/>
    </w:rPr>
  </w:style>
  <w:style w:type="paragraph" w:customStyle="1" w:styleId="78">
    <w:name w:val="样式5"/>
    <w:basedOn w:val="8"/>
    <w:autoRedefine/>
    <w:qFormat/>
    <w:uiPriority w:val="0"/>
    <w:pPr>
      <w:ind w:firstLine="420"/>
    </w:pPr>
    <w:rPr>
      <w:sz w:val="21"/>
      <w:szCs w:val="21"/>
    </w:rPr>
  </w:style>
  <w:style w:type="paragraph" w:customStyle="1" w:styleId="79">
    <w:name w:val="标题2"/>
    <w:basedOn w:val="4"/>
    <w:next w:val="1"/>
    <w:link w:val="96"/>
    <w:autoRedefine/>
    <w:qFormat/>
    <w:uiPriority w:val="0"/>
    <w:pPr>
      <w:widowControl/>
      <w:spacing w:beforeLines="10" w:afterLines="10" w:line="240" w:lineRule="auto"/>
      <w:jc w:val="left"/>
    </w:pPr>
    <w:rPr>
      <w:rFonts w:ascii="Times New Roman" w:hAnsi="Times New Roman" w:eastAsia="黑体"/>
      <w:b/>
      <w:szCs w:val="24"/>
    </w:rPr>
  </w:style>
  <w:style w:type="paragraph" w:customStyle="1" w:styleId="80">
    <w:name w:val="三级"/>
    <w:basedOn w:val="4"/>
    <w:link w:val="107"/>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1">
    <w:name w:val="样式2"/>
    <w:basedOn w:val="1"/>
    <w:link w:val="119"/>
    <w:autoRedefine/>
    <w:qFormat/>
    <w:uiPriority w:val="0"/>
    <w:pPr>
      <w:spacing w:line="300" w:lineRule="auto"/>
      <w:jc w:val="center"/>
      <w:outlineLvl w:val="0"/>
    </w:pPr>
    <w:rPr>
      <w:b/>
      <w:sz w:val="24"/>
    </w:rPr>
  </w:style>
  <w:style w:type="paragraph" w:customStyle="1" w:styleId="82">
    <w:name w:val="Char1"/>
    <w:basedOn w:val="1"/>
    <w:autoRedefine/>
    <w:qFormat/>
    <w:uiPriority w:val="0"/>
    <w:pPr>
      <w:adjustRightInd w:val="0"/>
      <w:spacing w:line="360" w:lineRule="auto"/>
    </w:pPr>
    <w:rPr>
      <w:kern w:val="0"/>
      <w:sz w:val="24"/>
      <w:szCs w:val="20"/>
    </w:rPr>
  </w:style>
  <w:style w:type="paragraph" w:customStyle="1" w:styleId="83">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4">
    <w:name w:val="标题3"/>
    <w:basedOn w:val="7"/>
    <w:next w:val="1"/>
    <w:link w:val="140"/>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5">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6">
    <w:name w:val="表格标题"/>
    <w:basedOn w:val="17"/>
    <w:link w:val="133"/>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7">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8">
    <w:name w:val="图片"/>
    <w:basedOn w:val="1"/>
    <w:link w:val="121"/>
    <w:autoRedefine/>
    <w:qFormat/>
    <w:uiPriority w:val="0"/>
    <w:pPr>
      <w:jc w:val="center"/>
    </w:pPr>
    <w:rPr>
      <w:sz w:val="28"/>
      <w:szCs w:val="28"/>
    </w:rPr>
  </w:style>
  <w:style w:type="paragraph" w:customStyle="1" w:styleId="89">
    <w:name w:val="正文首行缩进1"/>
    <w:basedOn w:val="2"/>
    <w:autoRedefine/>
    <w:qFormat/>
    <w:uiPriority w:val="0"/>
    <w:pPr>
      <w:suppressAutoHyphens/>
      <w:spacing w:line="300" w:lineRule="auto"/>
      <w:ind w:left="426"/>
    </w:pPr>
    <w:rPr>
      <w:rFonts w:ascii="宋体" w:hAnsi="宋体"/>
      <w:szCs w:val="20"/>
    </w:rPr>
  </w:style>
  <w:style w:type="paragraph" w:customStyle="1" w:styleId="90">
    <w:name w:val="纯文本1"/>
    <w:basedOn w:val="1"/>
    <w:autoRedefine/>
    <w:qFormat/>
    <w:uiPriority w:val="0"/>
    <w:rPr>
      <w:rFonts w:ascii="宋体" w:hAnsi="Courier New"/>
    </w:rPr>
  </w:style>
  <w:style w:type="paragraph" w:customStyle="1" w:styleId="91">
    <w:name w:val="样式 首行不缩进"/>
    <w:basedOn w:val="1"/>
    <w:autoRedefine/>
    <w:qFormat/>
    <w:uiPriority w:val="0"/>
    <w:pPr>
      <w:spacing w:before="120" w:after="120" w:line="360" w:lineRule="auto"/>
      <w:jc w:val="center"/>
    </w:pPr>
    <w:rPr>
      <w:rFonts w:cs="宋体"/>
      <w:sz w:val="24"/>
      <w:szCs w:val="20"/>
    </w:rPr>
  </w:style>
  <w:style w:type="paragraph" w:customStyle="1" w:styleId="92">
    <w:name w:val="图题"/>
    <w:link w:val="115"/>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3">
    <w:name w:val="小列表"/>
    <w:basedOn w:val="1"/>
    <w:link w:val="99"/>
    <w:autoRedefine/>
    <w:qFormat/>
    <w:uiPriority w:val="0"/>
    <w:pPr>
      <w:numPr>
        <w:ilvl w:val="0"/>
        <w:numId w:val="2"/>
      </w:numPr>
      <w:autoSpaceDE w:val="0"/>
      <w:autoSpaceDN w:val="0"/>
      <w:spacing w:line="440" w:lineRule="exact"/>
      <w:ind w:firstLine="0"/>
    </w:pPr>
    <w:rPr>
      <w:sz w:val="24"/>
      <w:szCs w:val="28"/>
    </w:rPr>
  </w:style>
  <w:style w:type="paragraph" w:customStyle="1" w:styleId="94">
    <w:name w:val="表格正文"/>
    <w:basedOn w:val="1"/>
    <w:autoRedefine/>
    <w:qFormat/>
    <w:uiPriority w:val="0"/>
    <w:pPr>
      <w:widowControl/>
      <w:snapToGrid w:val="0"/>
      <w:spacing w:before="60" w:after="60"/>
      <w:ind w:left="11"/>
      <w:jc w:val="center"/>
    </w:pPr>
    <w:rPr>
      <w:kern w:val="0"/>
      <w:szCs w:val="21"/>
    </w:rPr>
  </w:style>
  <w:style w:type="character" w:customStyle="1" w:styleId="95">
    <w:name w:val="题注 字符"/>
    <w:link w:val="17"/>
    <w:autoRedefine/>
    <w:qFormat/>
    <w:uiPriority w:val="0"/>
    <w:rPr>
      <w:rFonts w:ascii="华文中宋" w:eastAsia="华文中宋"/>
      <w:kern w:val="2"/>
      <w:sz w:val="36"/>
    </w:rPr>
  </w:style>
  <w:style w:type="character" w:customStyle="1" w:styleId="96">
    <w:name w:val="标题2 Char Char"/>
    <w:link w:val="79"/>
    <w:autoRedefine/>
    <w:qFormat/>
    <w:uiPriority w:val="0"/>
    <w:rPr>
      <w:rFonts w:eastAsia="黑体"/>
      <w:kern w:val="2"/>
      <w:sz w:val="32"/>
      <w:szCs w:val="24"/>
    </w:rPr>
  </w:style>
  <w:style w:type="character" w:customStyle="1" w:styleId="97">
    <w:name w:val="批注框文本 字符"/>
    <w:link w:val="33"/>
    <w:autoRedefine/>
    <w:qFormat/>
    <w:uiPriority w:val="0"/>
    <w:rPr>
      <w:kern w:val="2"/>
      <w:sz w:val="18"/>
      <w:szCs w:val="18"/>
    </w:rPr>
  </w:style>
  <w:style w:type="character" w:customStyle="1" w:styleId="98">
    <w:name w:val="refresh"/>
    <w:basedOn w:val="53"/>
    <w:autoRedefine/>
    <w:qFormat/>
    <w:uiPriority w:val="0"/>
  </w:style>
  <w:style w:type="character" w:customStyle="1" w:styleId="99">
    <w:name w:val="小列表 Char Char"/>
    <w:link w:val="93"/>
    <w:autoRedefine/>
    <w:qFormat/>
    <w:uiPriority w:val="0"/>
    <w:rPr>
      <w:rFonts w:eastAsia="Arial Unicode MS"/>
      <w:kern w:val="2"/>
      <w:sz w:val="24"/>
      <w:szCs w:val="28"/>
    </w:rPr>
  </w:style>
  <w:style w:type="character" w:customStyle="1" w:styleId="100">
    <w:name w:val="del"/>
    <w:basedOn w:val="53"/>
    <w:autoRedefine/>
    <w:qFormat/>
    <w:uiPriority w:val="0"/>
  </w:style>
  <w:style w:type="character" w:customStyle="1" w:styleId="101">
    <w:name w:val="批注文字 字符"/>
    <w:link w:val="21"/>
    <w:autoRedefine/>
    <w:qFormat/>
    <w:uiPriority w:val="0"/>
    <w:rPr>
      <w:rFonts w:ascii="Tahoma" w:hAnsi="Tahoma"/>
      <w:kern w:val="2"/>
      <w:sz w:val="21"/>
      <w:szCs w:val="24"/>
    </w:rPr>
  </w:style>
  <w:style w:type="character" w:customStyle="1" w:styleId="102">
    <w:name w:val="正文缩进 Char1"/>
    <w:autoRedefine/>
    <w:qFormat/>
    <w:uiPriority w:val="0"/>
    <w:rPr>
      <w:rFonts w:eastAsia="宋体"/>
      <w:kern w:val="2"/>
      <w:sz w:val="21"/>
      <w:szCs w:val="24"/>
      <w:lang w:val="en-US" w:eastAsia="zh-CN" w:bidi="ar-SA"/>
    </w:rPr>
  </w:style>
  <w:style w:type="character" w:customStyle="1" w:styleId="103">
    <w:name w:val="标题 5 字符"/>
    <w:link w:val="6"/>
    <w:autoRedefine/>
    <w:qFormat/>
    <w:uiPriority w:val="99"/>
    <w:rPr>
      <w:b/>
      <w:bCs/>
      <w:kern w:val="2"/>
      <w:sz w:val="24"/>
      <w:szCs w:val="28"/>
    </w:rPr>
  </w:style>
  <w:style w:type="character" w:customStyle="1" w:styleId="104">
    <w:name w:val="标题 2 字符"/>
    <w:link w:val="4"/>
    <w:autoRedefine/>
    <w:qFormat/>
    <w:uiPriority w:val="99"/>
    <w:rPr>
      <w:rFonts w:ascii="Cambria" w:hAnsi="Cambria"/>
      <w:b/>
      <w:bCs/>
      <w:kern w:val="2"/>
      <w:sz w:val="32"/>
      <w:szCs w:val="32"/>
    </w:rPr>
  </w:style>
  <w:style w:type="character" w:customStyle="1" w:styleId="105">
    <w:name w:val="表格字体小四 Char Char"/>
    <w:link w:val="75"/>
    <w:autoRedefine/>
    <w:qFormat/>
    <w:uiPriority w:val="0"/>
    <w:rPr>
      <w:kern w:val="2"/>
      <w:sz w:val="24"/>
      <w:szCs w:val="24"/>
      <w:lang w:val="en-US" w:eastAsia="zh-CN" w:bidi="ar-SA"/>
    </w:rPr>
  </w:style>
  <w:style w:type="character" w:customStyle="1" w:styleId="106">
    <w:name w:val="目录 Char Char"/>
    <w:link w:val="74"/>
    <w:autoRedefine/>
    <w:qFormat/>
    <w:uiPriority w:val="0"/>
    <w:rPr>
      <w:rFonts w:ascii="仿宋_GB2312" w:hAnsi="宋体" w:eastAsia="仿宋_GB2312"/>
      <w:sz w:val="28"/>
      <w:szCs w:val="28"/>
      <w:lang w:val="en-US" w:eastAsia="zh-CN" w:bidi="ar-SA"/>
    </w:rPr>
  </w:style>
  <w:style w:type="character" w:customStyle="1" w:styleId="107">
    <w:name w:val="三级 Char Char"/>
    <w:link w:val="80"/>
    <w:autoRedefine/>
    <w:qFormat/>
    <w:uiPriority w:val="0"/>
    <w:rPr>
      <w:rFonts w:eastAsia="黑体"/>
      <w:bCs/>
      <w:kern w:val="2"/>
      <w:sz w:val="30"/>
      <w:szCs w:val="24"/>
    </w:rPr>
  </w:style>
  <w:style w:type="character" w:customStyle="1" w:styleId="108">
    <w:name w:val="label"/>
    <w:basedOn w:val="53"/>
    <w:autoRedefine/>
    <w:qFormat/>
    <w:uiPriority w:val="0"/>
  </w:style>
  <w:style w:type="character" w:customStyle="1" w:styleId="109">
    <w:name w:val="标题 8 字符"/>
    <w:link w:val="12"/>
    <w:autoRedefine/>
    <w:qFormat/>
    <w:uiPriority w:val="99"/>
    <w:rPr>
      <w:rFonts w:ascii="Arial" w:hAnsi="Arial" w:eastAsia="黑体"/>
      <w:kern w:val="2"/>
      <w:sz w:val="24"/>
      <w:szCs w:val="28"/>
    </w:rPr>
  </w:style>
  <w:style w:type="character" w:customStyle="1" w:styleId="110">
    <w:name w:val="open2"/>
    <w:basedOn w:val="53"/>
    <w:autoRedefine/>
    <w:qFormat/>
    <w:uiPriority w:val="0"/>
  </w:style>
  <w:style w:type="character" w:customStyle="1" w:styleId="111">
    <w:name w:val="15"/>
    <w:autoRedefine/>
    <w:qFormat/>
    <w:uiPriority w:val="0"/>
    <w:rPr>
      <w:rFonts w:hint="default" w:ascii="Calibri" w:hAnsi="Calibri" w:cs="Calibri"/>
      <w:color w:val="0000FF"/>
      <w:u w:val="single"/>
    </w:rPr>
  </w:style>
  <w:style w:type="character" w:customStyle="1" w:styleId="112">
    <w:name w:val="trans"/>
    <w:basedOn w:val="53"/>
    <w:autoRedefine/>
    <w:qFormat/>
    <w:uiPriority w:val="0"/>
  </w:style>
  <w:style w:type="character" w:customStyle="1" w:styleId="113">
    <w:name w:val="del2"/>
    <w:basedOn w:val="53"/>
    <w:autoRedefine/>
    <w:qFormat/>
    <w:uiPriority w:val="0"/>
  </w:style>
  <w:style w:type="character" w:customStyle="1" w:styleId="114">
    <w:name w:val="标题 3 字符"/>
    <w:link w:val="7"/>
    <w:autoRedefine/>
    <w:qFormat/>
    <w:uiPriority w:val="99"/>
    <w:rPr>
      <w:rFonts w:ascii="Tahoma" w:hAnsi="Tahoma"/>
      <w:b/>
      <w:bCs/>
      <w:kern w:val="2"/>
      <w:sz w:val="32"/>
      <w:szCs w:val="32"/>
    </w:rPr>
  </w:style>
  <w:style w:type="character" w:customStyle="1" w:styleId="115">
    <w:name w:val="图题 Char Char"/>
    <w:link w:val="92"/>
    <w:autoRedefine/>
    <w:qFormat/>
    <w:uiPriority w:val="0"/>
    <w:rPr>
      <w:kern w:val="2"/>
      <w:sz w:val="24"/>
      <w:szCs w:val="24"/>
      <w:lang w:val="en-US" w:eastAsia="zh-CN" w:bidi="ar-SA"/>
    </w:rPr>
  </w:style>
  <w:style w:type="character" w:customStyle="1" w:styleId="116">
    <w:name w:val="pagelinks"/>
    <w:basedOn w:val="53"/>
    <w:autoRedefine/>
    <w:qFormat/>
    <w:uiPriority w:val="0"/>
  </w:style>
  <w:style w:type="character" w:customStyle="1" w:styleId="117">
    <w:name w:val="morewin"/>
    <w:basedOn w:val="53"/>
    <w:autoRedefine/>
    <w:qFormat/>
    <w:uiPriority w:val="0"/>
  </w:style>
  <w:style w:type="character" w:customStyle="1" w:styleId="118">
    <w:name w:val="open"/>
    <w:basedOn w:val="53"/>
    <w:autoRedefine/>
    <w:qFormat/>
    <w:uiPriority w:val="0"/>
  </w:style>
  <w:style w:type="character" w:customStyle="1" w:styleId="119">
    <w:name w:val="样式2 Char Char"/>
    <w:link w:val="81"/>
    <w:autoRedefine/>
    <w:qFormat/>
    <w:uiPriority w:val="0"/>
    <w:rPr>
      <w:b/>
      <w:kern w:val="2"/>
      <w:sz w:val="24"/>
      <w:szCs w:val="24"/>
    </w:rPr>
  </w:style>
  <w:style w:type="character" w:customStyle="1" w:styleId="120">
    <w:name w:val="批注文字 Char"/>
    <w:autoRedefine/>
    <w:qFormat/>
    <w:uiPriority w:val="99"/>
    <w:rPr>
      <w:kern w:val="2"/>
      <w:sz w:val="24"/>
      <w:szCs w:val="28"/>
    </w:rPr>
  </w:style>
  <w:style w:type="character" w:customStyle="1" w:styleId="121">
    <w:name w:val="图片 Char Char"/>
    <w:link w:val="88"/>
    <w:autoRedefine/>
    <w:qFormat/>
    <w:uiPriority w:val="0"/>
    <w:rPr>
      <w:kern w:val="2"/>
      <w:sz w:val="28"/>
      <w:szCs w:val="28"/>
    </w:rPr>
  </w:style>
  <w:style w:type="character" w:customStyle="1" w:styleId="122">
    <w:name w:val="标题 1 字符"/>
    <w:link w:val="3"/>
    <w:autoRedefine/>
    <w:qFormat/>
    <w:uiPriority w:val="99"/>
    <w:rPr>
      <w:rFonts w:ascii="Tahoma" w:hAnsi="Tahoma"/>
      <w:b/>
      <w:bCs/>
      <w:kern w:val="44"/>
      <w:sz w:val="24"/>
      <w:szCs w:val="44"/>
    </w:rPr>
  </w:style>
  <w:style w:type="character" w:customStyle="1" w:styleId="123">
    <w:name w:val="页眉 字符"/>
    <w:link w:val="35"/>
    <w:autoRedefine/>
    <w:qFormat/>
    <w:uiPriority w:val="99"/>
    <w:rPr>
      <w:rFonts w:ascii="Tahoma" w:hAnsi="Tahoma"/>
      <w:kern w:val="2"/>
      <w:sz w:val="18"/>
      <w:szCs w:val="18"/>
    </w:rPr>
  </w:style>
  <w:style w:type="character" w:customStyle="1" w:styleId="124">
    <w:name w:val="标题 7 字符"/>
    <w:link w:val="11"/>
    <w:autoRedefine/>
    <w:qFormat/>
    <w:uiPriority w:val="99"/>
    <w:rPr>
      <w:b/>
      <w:bCs/>
      <w:kern w:val="2"/>
      <w:sz w:val="24"/>
      <w:szCs w:val="28"/>
    </w:rPr>
  </w:style>
  <w:style w:type="character" w:customStyle="1" w:styleId="125">
    <w:name w:val="标题 字符"/>
    <w:link w:val="47"/>
    <w:autoRedefine/>
    <w:qFormat/>
    <w:uiPriority w:val="0"/>
    <w:rPr>
      <w:rFonts w:ascii="Cambria" w:hAnsi="Cambria"/>
      <w:b/>
      <w:bCs/>
      <w:kern w:val="2"/>
      <w:sz w:val="32"/>
      <w:szCs w:val="32"/>
    </w:rPr>
  </w:style>
  <w:style w:type="character" w:customStyle="1" w:styleId="126">
    <w:name w:val="标题 9 字符"/>
    <w:link w:val="13"/>
    <w:autoRedefine/>
    <w:qFormat/>
    <w:uiPriority w:val="99"/>
    <w:rPr>
      <w:rFonts w:ascii="Arial" w:hAnsi="Arial" w:eastAsia="黑体"/>
      <w:kern w:val="2"/>
      <w:sz w:val="24"/>
      <w:szCs w:val="21"/>
    </w:rPr>
  </w:style>
  <w:style w:type="character" w:customStyle="1" w:styleId="127">
    <w:name w:val="error"/>
    <w:autoRedefine/>
    <w:qFormat/>
    <w:uiPriority w:val="0"/>
    <w:rPr>
      <w:color w:val="CC0000"/>
    </w:rPr>
  </w:style>
  <w:style w:type="character" w:customStyle="1" w:styleId="128">
    <w:name w:val="add"/>
    <w:basedOn w:val="53"/>
    <w:autoRedefine/>
    <w:qFormat/>
    <w:uiPriority w:val="0"/>
  </w:style>
  <w:style w:type="character" w:customStyle="1" w:styleId="129">
    <w:name w:val="批注主题 字符"/>
    <w:link w:val="48"/>
    <w:autoRedefine/>
    <w:qFormat/>
    <w:uiPriority w:val="99"/>
    <w:rPr>
      <w:rFonts w:ascii="Tahoma" w:hAnsi="Tahoma"/>
      <w:b/>
      <w:bCs/>
      <w:kern w:val="2"/>
      <w:sz w:val="24"/>
      <w:szCs w:val="28"/>
    </w:rPr>
  </w:style>
  <w:style w:type="character" w:customStyle="1" w:styleId="130">
    <w:name w:val="pagebanner"/>
    <w:basedOn w:val="53"/>
    <w:autoRedefine/>
    <w:qFormat/>
    <w:uiPriority w:val="0"/>
  </w:style>
  <w:style w:type="character" w:customStyle="1" w:styleId="131">
    <w:name w:val="文档结构图 字符"/>
    <w:link w:val="19"/>
    <w:autoRedefine/>
    <w:qFormat/>
    <w:uiPriority w:val="99"/>
    <w:rPr>
      <w:rFonts w:ascii="宋体"/>
      <w:kern w:val="2"/>
      <w:sz w:val="18"/>
      <w:szCs w:val="18"/>
    </w:rPr>
  </w:style>
  <w:style w:type="character" w:customStyle="1" w:styleId="132">
    <w:name w:val="正文首行缩进 字符"/>
    <w:link w:val="49"/>
    <w:autoRedefine/>
    <w:qFormat/>
    <w:uiPriority w:val="0"/>
    <w:rPr>
      <w:rFonts w:ascii="Tahoma" w:hAnsi="Tahoma"/>
      <w:kern w:val="2"/>
      <w:sz w:val="21"/>
      <w:szCs w:val="24"/>
    </w:rPr>
  </w:style>
  <w:style w:type="character" w:customStyle="1" w:styleId="133">
    <w:name w:val="表格标题 Char Char"/>
    <w:link w:val="86"/>
    <w:autoRedefine/>
    <w:qFormat/>
    <w:uiPriority w:val="0"/>
    <w:rPr>
      <w:rFonts w:ascii="Arial" w:hAnsi="Arial" w:cs="Arial"/>
      <w:kern w:val="2"/>
      <w:sz w:val="24"/>
      <w:szCs w:val="24"/>
    </w:rPr>
  </w:style>
  <w:style w:type="character" w:customStyle="1" w:styleId="134">
    <w:name w:val="标题 6 字符"/>
    <w:link w:val="10"/>
    <w:autoRedefine/>
    <w:qFormat/>
    <w:uiPriority w:val="99"/>
    <w:rPr>
      <w:rFonts w:ascii="Arial" w:hAnsi="Arial" w:eastAsia="黑体"/>
      <w:b/>
      <w:bCs/>
      <w:kern w:val="2"/>
      <w:sz w:val="24"/>
      <w:szCs w:val="28"/>
    </w:rPr>
  </w:style>
  <w:style w:type="character" w:customStyle="1" w:styleId="135">
    <w:name w:val="正文文本 字符1"/>
    <w:link w:val="2"/>
    <w:autoRedefine/>
    <w:qFormat/>
    <w:uiPriority w:val="99"/>
    <w:rPr>
      <w:rFonts w:ascii="Tahoma" w:hAnsi="Tahoma"/>
      <w:kern w:val="2"/>
      <w:sz w:val="21"/>
      <w:szCs w:val="24"/>
    </w:rPr>
  </w:style>
  <w:style w:type="character" w:customStyle="1" w:styleId="136">
    <w:name w:val="10"/>
    <w:autoRedefine/>
    <w:qFormat/>
    <w:uiPriority w:val="0"/>
    <w:rPr>
      <w:rFonts w:hint="default" w:ascii="Calibri" w:hAnsi="Calibri" w:cs="Calibri"/>
    </w:rPr>
  </w:style>
  <w:style w:type="character" w:customStyle="1" w:styleId="137">
    <w:name w:val="正文缩进 字符"/>
    <w:link w:val="8"/>
    <w:autoRedefine/>
    <w:qFormat/>
    <w:uiPriority w:val="0"/>
    <w:rPr>
      <w:kern w:val="2"/>
      <w:sz w:val="24"/>
    </w:rPr>
  </w:style>
  <w:style w:type="character" w:customStyle="1" w:styleId="138">
    <w:name w:val="页脚 字符"/>
    <w:link w:val="34"/>
    <w:autoRedefine/>
    <w:qFormat/>
    <w:uiPriority w:val="99"/>
    <w:rPr>
      <w:rFonts w:ascii="Tahoma" w:hAnsi="Tahoma"/>
      <w:kern w:val="2"/>
      <w:sz w:val="18"/>
      <w:szCs w:val="18"/>
    </w:rPr>
  </w:style>
  <w:style w:type="character" w:customStyle="1" w:styleId="139">
    <w:name w:val="mod"/>
    <w:basedOn w:val="53"/>
    <w:autoRedefine/>
    <w:qFormat/>
    <w:uiPriority w:val="0"/>
  </w:style>
  <w:style w:type="character" w:customStyle="1" w:styleId="140">
    <w:name w:val="标题3 Char Char"/>
    <w:link w:val="84"/>
    <w:autoRedefine/>
    <w:qFormat/>
    <w:uiPriority w:val="0"/>
    <w:rPr>
      <w:rFonts w:eastAsia="黑体"/>
      <w:kern w:val="2"/>
      <w:sz w:val="28"/>
      <w:szCs w:val="32"/>
    </w:rPr>
  </w:style>
  <w:style w:type="character" w:customStyle="1" w:styleId="141">
    <w:name w:val="标题 4 字符"/>
    <w:link w:val="9"/>
    <w:autoRedefine/>
    <w:qFormat/>
    <w:uiPriority w:val="99"/>
    <w:rPr>
      <w:b/>
      <w:sz w:val="24"/>
      <w:szCs w:val="24"/>
    </w:rPr>
  </w:style>
  <w:style w:type="paragraph" w:customStyle="1" w:styleId="142">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3">
    <w:name w:val="redfilefwwh"/>
    <w:basedOn w:val="53"/>
    <w:autoRedefine/>
    <w:qFormat/>
    <w:uiPriority w:val="0"/>
    <w:rPr>
      <w:color w:val="BA2636"/>
      <w:sz w:val="12"/>
      <w:szCs w:val="12"/>
    </w:rPr>
  </w:style>
  <w:style w:type="character" w:customStyle="1" w:styleId="144">
    <w:name w:val="gjfg"/>
    <w:basedOn w:val="53"/>
    <w:autoRedefine/>
    <w:qFormat/>
    <w:uiPriority w:val="0"/>
  </w:style>
  <w:style w:type="character" w:customStyle="1" w:styleId="145">
    <w:name w:val="redfilenumber"/>
    <w:basedOn w:val="53"/>
    <w:autoRedefine/>
    <w:qFormat/>
    <w:uiPriority w:val="0"/>
    <w:rPr>
      <w:color w:val="BA2636"/>
      <w:sz w:val="12"/>
      <w:szCs w:val="12"/>
    </w:rPr>
  </w:style>
  <w:style w:type="character" w:customStyle="1" w:styleId="146">
    <w:name w:val="qxdate"/>
    <w:basedOn w:val="53"/>
    <w:autoRedefine/>
    <w:qFormat/>
    <w:uiPriority w:val="0"/>
    <w:rPr>
      <w:color w:val="333333"/>
      <w:sz w:val="12"/>
      <w:szCs w:val="12"/>
    </w:rPr>
  </w:style>
  <w:style w:type="character" w:customStyle="1" w:styleId="147">
    <w:name w:val="prev"/>
    <w:basedOn w:val="53"/>
    <w:autoRedefine/>
    <w:qFormat/>
    <w:uiPriority w:val="0"/>
    <w:rPr>
      <w:rFonts w:ascii="微软雅黑" w:hAnsi="微软雅黑" w:eastAsia="微软雅黑" w:cs="微软雅黑"/>
      <w:sz w:val="14"/>
      <w:szCs w:val="14"/>
    </w:rPr>
  </w:style>
  <w:style w:type="character" w:customStyle="1" w:styleId="148">
    <w:name w:val="cfdate"/>
    <w:basedOn w:val="53"/>
    <w:autoRedefine/>
    <w:qFormat/>
    <w:uiPriority w:val="0"/>
    <w:rPr>
      <w:color w:val="333333"/>
      <w:sz w:val="12"/>
      <w:szCs w:val="12"/>
    </w:rPr>
  </w:style>
  <w:style w:type="character" w:customStyle="1" w:styleId="149">
    <w:name w:val="displayarti"/>
    <w:basedOn w:val="53"/>
    <w:autoRedefine/>
    <w:qFormat/>
    <w:uiPriority w:val="0"/>
    <w:rPr>
      <w:color w:val="FFFFFF"/>
      <w:shd w:val="clear" w:color="auto" w:fill="A00000"/>
    </w:rPr>
  </w:style>
  <w:style w:type="character" w:customStyle="1" w:styleId="150">
    <w:name w:val="next2"/>
    <w:basedOn w:val="53"/>
    <w:autoRedefine/>
    <w:qFormat/>
    <w:uiPriority w:val="0"/>
    <w:rPr>
      <w:rFonts w:hint="eastAsia" w:ascii="微软雅黑" w:hAnsi="微软雅黑" w:eastAsia="微软雅黑" w:cs="微软雅黑"/>
      <w:sz w:val="14"/>
      <w:szCs w:val="14"/>
    </w:rPr>
  </w:style>
  <w:style w:type="character" w:customStyle="1" w:styleId="151">
    <w:name w:val="next3"/>
    <w:basedOn w:val="53"/>
    <w:autoRedefine/>
    <w:qFormat/>
    <w:uiPriority w:val="0"/>
    <w:rPr>
      <w:color w:val="888888"/>
    </w:rPr>
  </w:style>
  <w:style w:type="character" w:customStyle="1" w:styleId="152">
    <w:name w:val="next"/>
    <w:basedOn w:val="53"/>
    <w:autoRedefine/>
    <w:qFormat/>
    <w:uiPriority w:val="0"/>
    <w:rPr>
      <w:rFonts w:ascii="微软雅黑" w:hAnsi="微软雅黑" w:eastAsia="微软雅黑" w:cs="微软雅黑"/>
      <w:sz w:val="14"/>
      <w:szCs w:val="14"/>
    </w:rPr>
  </w:style>
  <w:style w:type="character" w:customStyle="1" w:styleId="153">
    <w:name w:val="prev1"/>
    <w:basedOn w:val="53"/>
    <w:autoRedefine/>
    <w:qFormat/>
    <w:uiPriority w:val="0"/>
    <w:rPr>
      <w:color w:val="888888"/>
    </w:rPr>
  </w:style>
  <w:style w:type="paragraph" w:customStyle="1" w:styleId="154">
    <w:name w:val="Body text|21"/>
    <w:basedOn w:val="1"/>
    <w:link w:val="156"/>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5">
    <w:name w:val="Body text|2 + Spacing 0 pt"/>
    <w:basedOn w:val="156"/>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6">
    <w:name w:val="Body text|2_"/>
    <w:basedOn w:val="53"/>
    <w:link w:val="154"/>
    <w:autoRedefine/>
    <w:qFormat/>
    <w:uiPriority w:val="0"/>
    <w:rPr>
      <w:rFonts w:ascii="PMingLiU" w:hAnsi="PMingLiU" w:eastAsia="PMingLiU" w:cs="PMingLiU"/>
      <w:spacing w:val="30"/>
    </w:rPr>
  </w:style>
  <w:style w:type="character" w:customStyle="1" w:styleId="157">
    <w:name w:val="Body text|2 + Spacing 3 pt"/>
    <w:basedOn w:val="156"/>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8">
    <w:name w:val="图文"/>
    <w:basedOn w:val="1"/>
    <w:autoRedefine/>
    <w:qFormat/>
    <w:uiPriority w:val="0"/>
    <w:pPr>
      <w:adjustRightInd w:val="0"/>
      <w:snapToGrid w:val="0"/>
      <w:spacing w:after="50" w:line="360" w:lineRule="auto"/>
    </w:pPr>
    <w:rPr>
      <w:sz w:val="24"/>
    </w:rPr>
  </w:style>
  <w:style w:type="paragraph" w:customStyle="1" w:styleId="159">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0">
    <w:name w:val="Char"/>
    <w:basedOn w:val="1"/>
    <w:autoRedefine/>
    <w:qFormat/>
    <w:uiPriority w:val="0"/>
    <w:rPr>
      <w:rFonts w:ascii="仿宋_GB2312" w:eastAsia="仿宋_GB2312"/>
      <w:b/>
      <w:sz w:val="32"/>
      <w:szCs w:val="32"/>
    </w:rPr>
  </w:style>
  <w:style w:type="paragraph" w:customStyle="1" w:styleId="161">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2">
    <w:name w:val="1"/>
    <w:basedOn w:val="1"/>
    <w:next w:val="24"/>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3">
    <w:name w:val="正文文本缩进 2 字符"/>
    <w:basedOn w:val="53"/>
    <w:link w:val="32"/>
    <w:autoRedefine/>
    <w:qFormat/>
    <w:uiPriority w:val="99"/>
    <w:rPr>
      <w:rFonts w:ascii="Times New Roman" w:hAnsi="Times New Roman" w:eastAsia="宋体" w:cs="Times New Roman"/>
      <w:kern w:val="2"/>
      <w:sz w:val="24"/>
      <w:szCs w:val="30"/>
    </w:rPr>
  </w:style>
  <w:style w:type="paragraph" w:customStyle="1" w:styleId="164">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5">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6">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7">
    <w:name w:val="正文文本缩进 字符"/>
    <w:basedOn w:val="53"/>
    <w:link w:val="24"/>
    <w:autoRedefine/>
    <w:qFormat/>
    <w:uiPriority w:val="99"/>
    <w:rPr>
      <w:rFonts w:ascii="Tahoma" w:hAnsi="Tahoma" w:eastAsia="Arial Unicode MS" w:cs="Times New Roman"/>
      <w:kern w:val="2"/>
      <w:sz w:val="21"/>
      <w:szCs w:val="24"/>
    </w:rPr>
  </w:style>
  <w:style w:type="character" w:customStyle="1" w:styleId="168">
    <w:name w:val="正文首行缩进 2 字符"/>
    <w:basedOn w:val="167"/>
    <w:link w:val="50"/>
    <w:autoRedefine/>
    <w:qFormat/>
    <w:uiPriority w:val="0"/>
    <w:rPr>
      <w:rFonts w:ascii="Times New Roman" w:hAnsi="Times New Roman" w:eastAsia="宋体" w:cs="Times New Roman"/>
      <w:kern w:val="2"/>
      <w:sz w:val="21"/>
      <w:szCs w:val="24"/>
    </w:rPr>
  </w:style>
  <w:style w:type="character" w:customStyle="1" w:styleId="169">
    <w:name w:val="正文文本 2 字符"/>
    <w:basedOn w:val="53"/>
    <w:link w:val="43"/>
    <w:autoRedefine/>
    <w:qFormat/>
    <w:uiPriority w:val="99"/>
    <w:rPr>
      <w:rFonts w:ascii="宋体" w:hAnsi="Times New Roman" w:eastAsia="宋体" w:cs="Times New Roman"/>
      <w:kern w:val="2"/>
      <w:sz w:val="21"/>
    </w:rPr>
  </w:style>
  <w:style w:type="paragraph" w:customStyle="1" w:styleId="170">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1">
    <w:name w:val="样式 标题 2 + (符号) 宋体 小四"/>
    <w:basedOn w:val="4"/>
    <w:autoRedefine/>
    <w:qFormat/>
    <w:uiPriority w:val="0"/>
    <w:pPr>
      <w:keepNext/>
      <w:keepLines/>
      <w:spacing w:line="416" w:lineRule="auto"/>
    </w:pPr>
    <w:rPr>
      <w:rFonts w:ascii="Arial" w:hAnsi="Arial" w:eastAsia="宋体"/>
      <w:sz w:val="24"/>
    </w:rPr>
  </w:style>
  <w:style w:type="character" w:customStyle="1" w:styleId="172">
    <w:name w:val="Char2"/>
    <w:autoRedefine/>
    <w:qFormat/>
    <w:uiPriority w:val="0"/>
    <w:rPr>
      <w:rFonts w:ascii="Arial" w:hAnsi="Arial" w:eastAsia="黑体"/>
      <w:b/>
      <w:bCs/>
      <w:kern w:val="2"/>
      <w:sz w:val="32"/>
      <w:szCs w:val="32"/>
      <w:lang w:val="en-US" w:eastAsia="zh-CN" w:bidi="ar-SA"/>
    </w:rPr>
  </w:style>
  <w:style w:type="character" w:customStyle="1" w:styleId="173">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4">
    <w:name w:val="默认段落字体 Para Char Char Char Char Char Char Char Char Char Char"/>
    <w:basedOn w:val="19"/>
    <w:autoRedefine/>
    <w:qFormat/>
    <w:uiPriority w:val="0"/>
    <w:pPr>
      <w:shd w:val="clear" w:color="auto" w:fill="000080"/>
      <w:spacing w:line="240" w:lineRule="auto"/>
    </w:pPr>
    <w:rPr>
      <w:rFonts w:ascii="Tahoma" w:hAnsi="Tahoma" w:eastAsia="宋体"/>
      <w:sz w:val="24"/>
      <w:szCs w:val="24"/>
    </w:rPr>
  </w:style>
  <w:style w:type="paragraph" w:customStyle="1" w:styleId="175">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6">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6">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8">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5">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6">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7">
    <w:name w:val="日期 字符"/>
    <w:link w:val="31"/>
    <w:autoRedefine/>
    <w:qFormat/>
    <w:uiPriority w:val="99"/>
    <w:rPr>
      <w:rFonts w:ascii="Tahoma" w:hAnsi="Tahoma" w:eastAsia="Arial Unicode MS" w:cs="Times New Roman"/>
      <w:kern w:val="2"/>
      <w:sz w:val="21"/>
      <w:szCs w:val="24"/>
    </w:rPr>
  </w:style>
  <w:style w:type="character" w:customStyle="1" w:styleId="198">
    <w:name w:val="Char Char"/>
    <w:autoRedefine/>
    <w:qFormat/>
    <w:uiPriority w:val="0"/>
    <w:rPr>
      <w:rFonts w:eastAsia="宋体"/>
      <w:kern w:val="2"/>
      <w:sz w:val="24"/>
      <w:lang w:val="en-US" w:eastAsia="zh-CN" w:bidi="ar-SA"/>
    </w:rPr>
  </w:style>
  <w:style w:type="character" w:customStyle="1" w:styleId="199">
    <w:name w:val="称呼 字符"/>
    <w:basedOn w:val="53"/>
    <w:link w:val="22"/>
    <w:autoRedefine/>
    <w:qFormat/>
    <w:uiPriority w:val="0"/>
    <w:rPr>
      <w:rFonts w:ascii="..ì." w:hAnsi="Times New Roman" w:eastAsia="..ì." w:cs="Times New Roman"/>
      <w:sz w:val="24"/>
    </w:rPr>
  </w:style>
  <w:style w:type="character" w:customStyle="1" w:styleId="200">
    <w:name w:val="注释标题 字符"/>
    <w:basedOn w:val="53"/>
    <w:link w:val="15"/>
    <w:autoRedefine/>
    <w:qFormat/>
    <w:uiPriority w:val="0"/>
    <w:rPr>
      <w:rFonts w:ascii="..ì." w:hAnsi="Times New Roman" w:eastAsia="..ì." w:cs="Times New Roman"/>
      <w:sz w:val="24"/>
    </w:rPr>
  </w:style>
  <w:style w:type="paragraph" w:customStyle="1" w:styleId="201">
    <w:name w:val="1 Char Char Char Char"/>
    <w:basedOn w:val="1"/>
    <w:autoRedefine/>
    <w:qFormat/>
    <w:uiPriority w:val="0"/>
    <w:rPr>
      <w:rFonts w:ascii="Tahoma" w:hAnsi="Tahoma" w:eastAsia="宋体"/>
      <w:sz w:val="24"/>
      <w:szCs w:val="20"/>
    </w:rPr>
  </w:style>
  <w:style w:type="paragraph" w:customStyle="1" w:styleId="202">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3">
    <w:name w:val="TOC 标题2"/>
    <w:basedOn w:val="3"/>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4">
    <w:name w:val="标题 1 Char1"/>
    <w:autoRedefine/>
    <w:qFormat/>
    <w:uiPriority w:val="99"/>
    <w:rPr>
      <w:rFonts w:ascii="黑体" w:eastAsia="黑体"/>
      <w:sz w:val="52"/>
      <w:lang w:bidi="ar-SA"/>
    </w:rPr>
  </w:style>
  <w:style w:type="paragraph" w:customStyle="1" w:styleId="205">
    <w:name w:val="样式 标题 2 + Times New Roman 四号 非加粗 段前: 5 磅 段后: 0 磅 行距: 固定值 20..."/>
    <w:basedOn w:val="4"/>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6">
    <w:name w:val="3"/>
    <w:basedOn w:val="1"/>
    <w:next w:val="23"/>
    <w:autoRedefine/>
    <w:qFormat/>
    <w:uiPriority w:val="99"/>
    <w:rPr>
      <w:rFonts w:ascii="宋体" w:eastAsia="宋体"/>
      <w:sz w:val="24"/>
      <w:szCs w:val="20"/>
    </w:rPr>
  </w:style>
  <w:style w:type="character" w:customStyle="1" w:styleId="207">
    <w:name w:val="正文文本 3 字符"/>
    <w:basedOn w:val="53"/>
    <w:link w:val="23"/>
    <w:autoRedefine/>
    <w:qFormat/>
    <w:uiPriority w:val="99"/>
    <w:rPr>
      <w:rFonts w:ascii="Times New Roman" w:hAnsi="Times New Roman" w:eastAsia="宋体" w:cs="Times New Roman"/>
      <w:kern w:val="2"/>
      <w:sz w:val="16"/>
      <w:szCs w:val="16"/>
    </w:rPr>
  </w:style>
  <w:style w:type="paragraph" w:customStyle="1" w:styleId="208">
    <w:name w:val="样式 标题 3 + (中文) 黑体 小四 非加粗 段前: 7.8 磅 段后: 0 磅 行距: 固定值 20 磅"/>
    <w:basedOn w:val="7"/>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9">
    <w:name w:val="2"/>
    <w:basedOn w:val="1"/>
    <w:next w:val="24"/>
    <w:autoRedefine/>
    <w:qFormat/>
    <w:uiPriority w:val="99"/>
    <w:pPr>
      <w:ind w:left="432"/>
    </w:pPr>
    <w:rPr>
      <w:rFonts w:eastAsia="宋体"/>
      <w:szCs w:val="20"/>
    </w:rPr>
  </w:style>
  <w:style w:type="character" w:customStyle="1" w:styleId="210">
    <w:name w:val="正文文本缩进 3 字符"/>
    <w:link w:val="40"/>
    <w:autoRedefine/>
    <w:qFormat/>
    <w:uiPriority w:val="99"/>
    <w:rPr>
      <w:rFonts w:ascii="Times New Roman" w:hAnsi="Times New Roman" w:eastAsia="Arial Unicode MS" w:cs="Times New Roman"/>
      <w:kern w:val="2"/>
      <w:sz w:val="16"/>
      <w:szCs w:val="16"/>
    </w:rPr>
  </w:style>
  <w:style w:type="paragraph" w:customStyle="1" w:styleId="211">
    <w:name w:val="样式 标题 1 + 黑体 三号 非加粗 居中 段前: 6 磅 段后: 6 磅 行距: 固定值 20 磅"/>
    <w:basedOn w:val="3"/>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2">
    <w:name w:val="Char1111"/>
    <w:basedOn w:val="1"/>
    <w:autoRedefine/>
    <w:qFormat/>
    <w:uiPriority w:val="0"/>
    <w:rPr>
      <w:rFonts w:ascii="Tahoma" w:hAnsi="Tahoma" w:eastAsia="宋体"/>
      <w:sz w:val="24"/>
      <w:szCs w:val="20"/>
    </w:rPr>
  </w:style>
  <w:style w:type="character" w:customStyle="1" w:styleId="213">
    <w:name w:val="font161"/>
    <w:autoRedefine/>
    <w:qFormat/>
    <w:uiPriority w:val="99"/>
    <w:rPr>
      <w:b/>
      <w:bCs/>
      <w:sz w:val="32"/>
      <w:szCs w:val="32"/>
    </w:rPr>
  </w:style>
  <w:style w:type="paragraph" w:customStyle="1" w:styleId="214">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5">
    <w:name w:val="表格"/>
    <w:basedOn w:val="1"/>
    <w:autoRedefine/>
    <w:qFormat/>
    <w:uiPriority w:val="99"/>
    <w:pPr>
      <w:jc w:val="center"/>
      <w:textAlignment w:val="center"/>
    </w:pPr>
    <w:rPr>
      <w:rFonts w:ascii="华文细黑" w:hAnsi="华文细黑" w:eastAsia="宋体"/>
      <w:kern w:val="0"/>
      <w:szCs w:val="20"/>
    </w:rPr>
  </w:style>
  <w:style w:type="paragraph" w:customStyle="1" w:styleId="216">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7">
    <w:name w:val="XW正文"/>
    <w:basedOn w:val="24"/>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8">
    <w:name w:val="金安桥正文"/>
    <w:basedOn w:val="24"/>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9">
    <w:name w:val="样式 粉红"/>
    <w:autoRedefine/>
    <w:qFormat/>
    <w:uiPriority w:val="99"/>
    <w:rPr>
      <w:color w:val="auto"/>
      <w:u w:val="none"/>
    </w:rPr>
  </w:style>
  <w:style w:type="character" w:customStyle="1" w:styleId="220">
    <w:name w:val="Char Char1"/>
    <w:autoRedefine/>
    <w:qFormat/>
    <w:uiPriority w:val="0"/>
    <w:rPr>
      <w:rFonts w:eastAsia="宋体"/>
      <w:kern w:val="2"/>
      <w:sz w:val="24"/>
      <w:lang w:val="en-US" w:eastAsia="zh-CN" w:bidi="ar-SA"/>
    </w:rPr>
  </w:style>
  <w:style w:type="character" w:customStyle="1" w:styleId="221">
    <w:name w:val="纯文本 字符"/>
    <w:link w:val="29"/>
    <w:autoRedefine/>
    <w:qFormat/>
    <w:uiPriority w:val="0"/>
    <w:rPr>
      <w:rFonts w:ascii="宋体" w:hAnsi="Courier New" w:eastAsia="Arial Unicode MS" w:cs="Times New Roman"/>
      <w:kern w:val="2"/>
      <w:sz w:val="21"/>
      <w:szCs w:val="21"/>
    </w:rPr>
  </w:style>
  <w:style w:type="paragraph" w:customStyle="1" w:styleId="222">
    <w:name w:val="Char Char Char Char"/>
    <w:basedOn w:val="1"/>
    <w:autoRedefine/>
    <w:qFormat/>
    <w:uiPriority w:val="0"/>
    <w:pPr>
      <w:widowControl/>
      <w:spacing w:after="160" w:line="240" w:lineRule="exact"/>
      <w:jc w:val="left"/>
    </w:pPr>
    <w:rPr>
      <w:rFonts w:eastAsia="宋体"/>
      <w:szCs w:val="20"/>
    </w:rPr>
  </w:style>
  <w:style w:type="paragraph" w:customStyle="1" w:styleId="223">
    <w:name w:val="p17"/>
    <w:basedOn w:val="1"/>
    <w:autoRedefine/>
    <w:qFormat/>
    <w:uiPriority w:val="99"/>
    <w:pPr>
      <w:widowControl/>
    </w:pPr>
    <w:rPr>
      <w:rFonts w:eastAsia="宋体"/>
      <w:kern w:val="0"/>
      <w:szCs w:val="21"/>
    </w:rPr>
  </w:style>
  <w:style w:type="character" w:customStyle="1" w:styleId="224">
    <w:name w:val="H4 Char"/>
    <w:autoRedefine/>
    <w:qFormat/>
    <w:uiPriority w:val="0"/>
    <w:rPr>
      <w:b/>
      <w:sz w:val="28"/>
    </w:rPr>
  </w:style>
  <w:style w:type="character" w:customStyle="1" w:styleId="225">
    <w:name w:val="Char Char2"/>
    <w:autoRedefine/>
    <w:qFormat/>
    <w:uiPriority w:val="0"/>
    <w:rPr>
      <w:rFonts w:eastAsia="宋体"/>
      <w:kern w:val="2"/>
      <w:sz w:val="24"/>
      <w:lang w:val="en-US" w:eastAsia="zh-CN" w:bidi="ar-SA"/>
    </w:rPr>
  </w:style>
  <w:style w:type="character" w:customStyle="1" w:styleId="226">
    <w:name w:val="Char Char111"/>
    <w:autoRedefine/>
    <w:qFormat/>
    <w:uiPriority w:val="99"/>
    <w:rPr>
      <w:rFonts w:eastAsia="宋体"/>
      <w:kern w:val="2"/>
      <w:sz w:val="24"/>
      <w:lang w:val="en-US" w:eastAsia="zh-CN" w:bidi="ar-SA"/>
    </w:rPr>
  </w:style>
  <w:style w:type="paragraph" w:customStyle="1" w:styleId="227">
    <w:name w:val="Char Char Char Char111"/>
    <w:basedOn w:val="1"/>
    <w:autoRedefine/>
    <w:qFormat/>
    <w:uiPriority w:val="0"/>
    <w:pPr>
      <w:widowControl/>
      <w:spacing w:after="160" w:line="240" w:lineRule="exact"/>
      <w:jc w:val="left"/>
    </w:pPr>
    <w:rPr>
      <w:rFonts w:eastAsia="宋体"/>
      <w:szCs w:val="20"/>
    </w:rPr>
  </w:style>
  <w:style w:type="paragraph" w:customStyle="1" w:styleId="228">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0">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1">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7">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8">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9">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0">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1">
    <w:name w:val="章标题"/>
    <w:next w:val="1"/>
    <w:link w:val="248"/>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2">
    <w:name w:val="一级条标题"/>
    <w:basedOn w:val="241"/>
    <w:next w:val="1"/>
    <w:link w:val="249"/>
    <w:autoRedefine/>
    <w:qFormat/>
    <w:uiPriority w:val="0"/>
    <w:pPr>
      <w:numPr>
        <w:ilvl w:val="2"/>
      </w:numPr>
      <w:tabs>
        <w:tab w:val="left" w:pos="360"/>
      </w:tabs>
      <w:spacing w:beforeLines="0" w:afterLines="0"/>
      <w:ind w:left="315"/>
      <w:outlineLvl w:val="2"/>
    </w:pPr>
  </w:style>
  <w:style w:type="paragraph" w:customStyle="1" w:styleId="243">
    <w:name w:val="二级条标题"/>
    <w:basedOn w:val="242"/>
    <w:next w:val="1"/>
    <w:link w:val="250"/>
    <w:autoRedefine/>
    <w:qFormat/>
    <w:uiPriority w:val="0"/>
    <w:pPr>
      <w:numPr>
        <w:ilvl w:val="3"/>
      </w:numPr>
      <w:ind w:left="315"/>
      <w:outlineLvl w:val="3"/>
    </w:pPr>
  </w:style>
  <w:style w:type="paragraph" w:customStyle="1" w:styleId="244">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5">
    <w:name w:val="三级条标题"/>
    <w:basedOn w:val="243"/>
    <w:next w:val="1"/>
    <w:autoRedefine/>
    <w:qFormat/>
    <w:uiPriority w:val="0"/>
    <w:pPr>
      <w:numPr>
        <w:ilvl w:val="4"/>
      </w:numPr>
      <w:tabs>
        <w:tab w:val="left" w:pos="1680"/>
        <w:tab w:val="left" w:pos="2100"/>
      </w:tabs>
      <w:ind w:left="2100" w:hanging="420"/>
      <w:outlineLvl w:val="4"/>
    </w:pPr>
  </w:style>
  <w:style w:type="paragraph" w:customStyle="1" w:styleId="246">
    <w:name w:val="四级条标题"/>
    <w:basedOn w:val="245"/>
    <w:next w:val="1"/>
    <w:autoRedefine/>
    <w:qFormat/>
    <w:uiPriority w:val="0"/>
    <w:pPr>
      <w:numPr>
        <w:ilvl w:val="5"/>
      </w:numPr>
      <w:tabs>
        <w:tab w:val="left" w:pos="2520"/>
      </w:tabs>
      <w:ind w:left="2520" w:hanging="420"/>
      <w:outlineLvl w:val="5"/>
    </w:pPr>
  </w:style>
  <w:style w:type="paragraph" w:customStyle="1" w:styleId="247">
    <w:name w:val="五级条标题"/>
    <w:basedOn w:val="246"/>
    <w:next w:val="1"/>
    <w:autoRedefine/>
    <w:qFormat/>
    <w:uiPriority w:val="0"/>
    <w:pPr>
      <w:numPr>
        <w:ilvl w:val="6"/>
      </w:numPr>
      <w:tabs>
        <w:tab w:val="left" w:pos="2940"/>
      </w:tabs>
      <w:ind w:left="2940" w:hanging="420"/>
      <w:outlineLvl w:val="6"/>
    </w:pPr>
  </w:style>
  <w:style w:type="character" w:customStyle="1" w:styleId="248">
    <w:name w:val="章标题 Char"/>
    <w:link w:val="241"/>
    <w:autoRedefine/>
    <w:qFormat/>
    <w:uiPriority w:val="0"/>
    <w:rPr>
      <w:rFonts w:ascii="黑体" w:eastAsia="黑体"/>
      <w:sz w:val="21"/>
    </w:rPr>
  </w:style>
  <w:style w:type="character" w:customStyle="1" w:styleId="249">
    <w:name w:val="一级条标题 Char"/>
    <w:link w:val="242"/>
    <w:autoRedefine/>
    <w:qFormat/>
    <w:uiPriority w:val="0"/>
    <w:rPr>
      <w:rFonts w:ascii="黑体" w:eastAsia="黑体"/>
      <w:sz w:val="21"/>
    </w:rPr>
  </w:style>
  <w:style w:type="character" w:customStyle="1" w:styleId="250">
    <w:name w:val="二级条标题 Char"/>
    <w:link w:val="243"/>
    <w:autoRedefine/>
    <w:qFormat/>
    <w:uiPriority w:val="0"/>
    <w:rPr>
      <w:rFonts w:ascii="黑体" w:eastAsia="黑体"/>
      <w:sz w:val="21"/>
    </w:rPr>
  </w:style>
  <w:style w:type="character" w:customStyle="1" w:styleId="251">
    <w:name w:val="Heading 1 Char"/>
    <w:autoRedefine/>
    <w:qFormat/>
    <w:locked/>
    <w:uiPriority w:val="0"/>
    <w:rPr>
      <w:rFonts w:ascii="黑体" w:hAnsi="Times New Roman" w:eastAsia="黑体" w:cs="Times New Roman"/>
      <w:kern w:val="0"/>
      <w:sz w:val="20"/>
      <w:szCs w:val="20"/>
    </w:rPr>
  </w:style>
  <w:style w:type="character" w:customStyle="1" w:styleId="252">
    <w:name w:val="Heading 2 Char"/>
    <w:autoRedefine/>
    <w:qFormat/>
    <w:locked/>
    <w:uiPriority w:val="0"/>
    <w:rPr>
      <w:rFonts w:ascii="Times New Roman" w:hAnsi="Times New Roman" w:eastAsia="宋体" w:cs="Times New Roman"/>
      <w:b/>
      <w:kern w:val="0"/>
      <w:sz w:val="32"/>
      <w:szCs w:val="32"/>
    </w:rPr>
  </w:style>
  <w:style w:type="character" w:customStyle="1" w:styleId="253">
    <w:name w:val="标题 3 Char1"/>
    <w:autoRedefine/>
    <w:qFormat/>
    <w:locked/>
    <w:uiPriority w:val="99"/>
    <w:rPr>
      <w:rFonts w:eastAsia="宋体"/>
      <w:b/>
      <w:sz w:val="32"/>
      <w:lang w:val="en-US" w:eastAsia="zh-CN" w:bidi="ar-SA"/>
    </w:rPr>
  </w:style>
  <w:style w:type="character" w:customStyle="1" w:styleId="254">
    <w:name w:val="Heading 4 Char"/>
    <w:autoRedefine/>
    <w:qFormat/>
    <w:locked/>
    <w:uiPriority w:val="0"/>
    <w:rPr>
      <w:rFonts w:ascii="Times New Roman" w:hAnsi="Times New Roman" w:eastAsia="宋体" w:cs="Times New Roman"/>
      <w:b/>
      <w:kern w:val="0"/>
      <w:sz w:val="20"/>
      <w:szCs w:val="20"/>
    </w:rPr>
  </w:style>
  <w:style w:type="character" w:customStyle="1" w:styleId="255">
    <w:name w:val="Heading 5 Char"/>
    <w:autoRedefine/>
    <w:qFormat/>
    <w:locked/>
    <w:uiPriority w:val="0"/>
    <w:rPr>
      <w:rFonts w:ascii="Times New Roman" w:hAnsi="Times New Roman" w:eastAsia="宋体" w:cs="Times New Roman"/>
      <w:b/>
      <w:bCs/>
      <w:sz w:val="28"/>
      <w:szCs w:val="28"/>
    </w:rPr>
  </w:style>
  <w:style w:type="character" w:customStyle="1" w:styleId="256">
    <w:name w:val="Heading 6 Char"/>
    <w:autoRedefine/>
    <w:qFormat/>
    <w:locked/>
    <w:uiPriority w:val="0"/>
    <w:rPr>
      <w:rFonts w:ascii="Arial" w:hAnsi="Arial" w:eastAsia="黑体" w:cs="Times New Roman"/>
      <w:b/>
      <w:bCs/>
      <w:kern w:val="0"/>
      <w:sz w:val="24"/>
      <w:szCs w:val="24"/>
    </w:rPr>
  </w:style>
  <w:style w:type="character" w:customStyle="1" w:styleId="257">
    <w:name w:val="Heading 7 Char"/>
    <w:autoRedefine/>
    <w:qFormat/>
    <w:locked/>
    <w:uiPriority w:val="0"/>
    <w:rPr>
      <w:rFonts w:ascii="Times New Roman" w:hAnsi="Times New Roman" w:eastAsia="宋体" w:cs="Times New Roman"/>
      <w:b/>
      <w:bCs/>
      <w:kern w:val="0"/>
      <w:sz w:val="24"/>
      <w:szCs w:val="24"/>
    </w:rPr>
  </w:style>
  <w:style w:type="character" w:customStyle="1" w:styleId="258">
    <w:name w:val="Heading 8 Char"/>
    <w:autoRedefine/>
    <w:qFormat/>
    <w:locked/>
    <w:uiPriority w:val="0"/>
    <w:rPr>
      <w:rFonts w:ascii="Arial" w:hAnsi="Arial" w:eastAsia="黑体" w:cs="Times New Roman"/>
      <w:kern w:val="0"/>
      <w:sz w:val="24"/>
      <w:szCs w:val="24"/>
    </w:rPr>
  </w:style>
  <w:style w:type="character" w:customStyle="1" w:styleId="259">
    <w:name w:val="Heading 9 Char"/>
    <w:autoRedefine/>
    <w:qFormat/>
    <w:locked/>
    <w:uiPriority w:val="0"/>
    <w:rPr>
      <w:rFonts w:ascii="Arial" w:hAnsi="Arial" w:eastAsia="黑体" w:cs="Times New Roman"/>
      <w:kern w:val="0"/>
      <w:sz w:val="21"/>
      <w:szCs w:val="21"/>
    </w:rPr>
  </w:style>
  <w:style w:type="character" w:customStyle="1" w:styleId="260">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1">
    <w:name w:val="Date Char"/>
    <w:autoRedefine/>
    <w:qFormat/>
    <w:locked/>
    <w:uiPriority w:val="0"/>
    <w:rPr>
      <w:rFonts w:ascii="Times New Roman" w:hAnsi="Times New Roman" w:eastAsia="宋体" w:cs="Times New Roman"/>
      <w:sz w:val="20"/>
      <w:szCs w:val="20"/>
    </w:rPr>
  </w:style>
  <w:style w:type="character" w:customStyle="1" w:styleId="262">
    <w:name w:val="Header Char"/>
    <w:autoRedefine/>
    <w:qFormat/>
    <w:locked/>
    <w:uiPriority w:val="0"/>
    <w:rPr>
      <w:rFonts w:ascii="Times New Roman" w:hAnsi="Times New Roman" w:eastAsia="宋体" w:cs="Times New Roman"/>
      <w:kern w:val="0"/>
      <w:sz w:val="20"/>
      <w:szCs w:val="20"/>
    </w:rPr>
  </w:style>
  <w:style w:type="character" w:customStyle="1" w:styleId="263">
    <w:name w:val="Footer Char"/>
    <w:autoRedefine/>
    <w:qFormat/>
    <w:locked/>
    <w:uiPriority w:val="0"/>
    <w:rPr>
      <w:rFonts w:ascii="Times New Roman" w:hAnsi="Times New Roman" w:eastAsia="宋体" w:cs="Times New Roman"/>
      <w:kern w:val="0"/>
      <w:sz w:val="20"/>
      <w:szCs w:val="20"/>
    </w:rPr>
  </w:style>
  <w:style w:type="character" w:customStyle="1" w:styleId="264">
    <w:name w:val="Plain Text Char"/>
    <w:autoRedefine/>
    <w:qFormat/>
    <w:locked/>
    <w:uiPriority w:val="0"/>
    <w:rPr>
      <w:rFonts w:ascii="宋体" w:hAnsi="Courier New" w:eastAsia="宋体" w:cs="Times New Roman"/>
      <w:sz w:val="20"/>
      <w:szCs w:val="20"/>
    </w:rPr>
  </w:style>
  <w:style w:type="character" w:customStyle="1" w:styleId="265">
    <w:name w:val="Body Text Indent 2 Char"/>
    <w:autoRedefine/>
    <w:qFormat/>
    <w:locked/>
    <w:uiPriority w:val="0"/>
    <w:rPr>
      <w:rFonts w:ascii="Times New Roman" w:hAnsi="Times New Roman" w:eastAsia="宋体" w:cs="Times New Roman"/>
      <w:sz w:val="30"/>
      <w:szCs w:val="30"/>
    </w:rPr>
  </w:style>
  <w:style w:type="character" w:customStyle="1" w:styleId="266">
    <w:name w:val="Body Text Indent 3 Char"/>
    <w:autoRedefine/>
    <w:qFormat/>
    <w:locked/>
    <w:uiPriority w:val="0"/>
    <w:rPr>
      <w:rFonts w:ascii="Times New Roman" w:hAnsi="Times New Roman" w:eastAsia="宋体" w:cs="Times New Roman"/>
      <w:sz w:val="30"/>
      <w:szCs w:val="30"/>
    </w:rPr>
  </w:style>
  <w:style w:type="character" w:customStyle="1" w:styleId="267">
    <w:name w:val="Body Text First Indent 2 Char"/>
    <w:autoRedefine/>
    <w:qFormat/>
    <w:locked/>
    <w:uiPriority w:val="0"/>
    <w:rPr>
      <w:rFonts w:ascii="Times New Roman" w:hAnsi="Times New Roman" w:eastAsia="宋体" w:cs="Times New Roman"/>
      <w:kern w:val="2"/>
      <w:sz w:val="24"/>
      <w:szCs w:val="24"/>
    </w:rPr>
  </w:style>
  <w:style w:type="character" w:customStyle="1" w:styleId="268">
    <w:name w:val="Body Text 2 Char"/>
    <w:autoRedefine/>
    <w:qFormat/>
    <w:locked/>
    <w:uiPriority w:val="0"/>
    <w:rPr>
      <w:rFonts w:ascii="宋体" w:hAnsi="Times New Roman" w:eastAsia="宋体" w:cs="Times New Roman"/>
      <w:sz w:val="20"/>
      <w:szCs w:val="20"/>
    </w:rPr>
  </w:style>
  <w:style w:type="character" w:customStyle="1" w:styleId="269">
    <w:name w:val="Balloon Text Char"/>
    <w:autoRedefine/>
    <w:qFormat/>
    <w:locked/>
    <w:uiPriority w:val="0"/>
    <w:rPr>
      <w:rFonts w:ascii="Times New Roman" w:hAnsi="Times New Roman" w:eastAsia="宋体" w:cs="Times New Roman"/>
      <w:sz w:val="18"/>
      <w:szCs w:val="18"/>
    </w:rPr>
  </w:style>
  <w:style w:type="character" w:customStyle="1" w:styleId="270">
    <w:name w:val="Salutation Char"/>
    <w:autoRedefine/>
    <w:qFormat/>
    <w:locked/>
    <w:uiPriority w:val="0"/>
    <w:rPr>
      <w:rFonts w:ascii="..ì." w:hAnsi="Times New Roman" w:eastAsia="..ì." w:cs="Times New Roman"/>
      <w:kern w:val="0"/>
      <w:sz w:val="20"/>
      <w:szCs w:val="20"/>
    </w:rPr>
  </w:style>
  <w:style w:type="character" w:customStyle="1" w:styleId="271">
    <w:name w:val="Note Heading Char"/>
    <w:autoRedefine/>
    <w:qFormat/>
    <w:locked/>
    <w:uiPriority w:val="0"/>
    <w:rPr>
      <w:rFonts w:ascii="..ì." w:hAnsi="Times New Roman" w:eastAsia="..ì." w:cs="Times New Roman"/>
      <w:kern w:val="0"/>
      <w:sz w:val="20"/>
      <w:szCs w:val="20"/>
    </w:rPr>
  </w:style>
  <w:style w:type="paragraph" w:customStyle="1" w:styleId="272">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3">
    <w:name w:val="TOC Heading1"/>
    <w:basedOn w:val="3"/>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4">
    <w:name w:val="Body Text 3 Char"/>
    <w:autoRedefine/>
    <w:qFormat/>
    <w:locked/>
    <w:uiPriority w:val="0"/>
    <w:rPr>
      <w:rFonts w:ascii="Times New Roman" w:hAnsi="Times New Roman" w:eastAsia="宋体" w:cs="Times New Roman"/>
      <w:sz w:val="16"/>
      <w:szCs w:val="16"/>
    </w:rPr>
  </w:style>
  <w:style w:type="character" w:customStyle="1" w:styleId="275">
    <w:name w:val="Title Char"/>
    <w:autoRedefine/>
    <w:qFormat/>
    <w:locked/>
    <w:uiPriority w:val="0"/>
    <w:rPr>
      <w:rFonts w:ascii="Arial" w:hAnsi="Arial" w:eastAsia="宋体" w:cs="Times New Roman"/>
      <w:b/>
      <w:kern w:val="0"/>
      <w:sz w:val="20"/>
      <w:szCs w:val="20"/>
    </w:rPr>
  </w:style>
  <w:style w:type="character" w:customStyle="1" w:styleId="276">
    <w:name w:val="Comment Subject Char"/>
    <w:autoRedefine/>
    <w:qFormat/>
    <w:locked/>
    <w:uiPriority w:val="0"/>
    <w:rPr>
      <w:rFonts w:ascii="Times New Roman" w:hAnsi="Times New Roman" w:eastAsia="宋体" w:cs="Times New Roman"/>
      <w:b/>
      <w:bCs/>
      <w:sz w:val="24"/>
      <w:szCs w:val="24"/>
    </w:rPr>
  </w:style>
  <w:style w:type="character" w:customStyle="1" w:styleId="277">
    <w:name w:val="Comment Text Char"/>
    <w:autoRedefine/>
    <w:qFormat/>
    <w:locked/>
    <w:uiPriority w:val="0"/>
    <w:rPr>
      <w:rFonts w:ascii="Times New Roman" w:hAnsi="Times New Roman" w:eastAsia="宋体"/>
      <w:sz w:val="24"/>
    </w:rPr>
  </w:style>
  <w:style w:type="paragraph" w:customStyle="1" w:styleId="278">
    <w:name w:val="List Paragraph1"/>
    <w:basedOn w:val="1"/>
    <w:autoRedefine/>
    <w:qFormat/>
    <w:uiPriority w:val="0"/>
    <w:pPr>
      <w:ind w:firstLine="420" w:firstLineChars="200"/>
    </w:pPr>
    <w:rPr>
      <w:rFonts w:eastAsia="宋体"/>
    </w:rPr>
  </w:style>
  <w:style w:type="paragraph" w:customStyle="1" w:styleId="279">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0">
    <w:name w:val="未处理的提及"/>
    <w:autoRedefine/>
    <w:unhideWhenUsed/>
    <w:qFormat/>
    <w:uiPriority w:val="99"/>
    <w:rPr>
      <w:color w:val="605E5C"/>
      <w:shd w:val="clear" w:color="auto" w:fill="E1DFDD"/>
    </w:rPr>
  </w:style>
  <w:style w:type="character" w:customStyle="1" w:styleId="281">
    <w:name w:val="Char Char11"/>
    <w:autoRedefine/>
    <w:qFormat/>
    <w:uiPriority w:val="99"/>
    <w:rPr>
      <w:rFonts w:eastAsia="宋体"/>
      <w:kern w:val="2"/>
      <w:sz w:val="24"/>
      <w:lang w:val="en-US" w:eastAsia="zh-CN"/>
    </w:rPr>
  </w:style>
  <w:style w:type="character" w:customStyle="1" w:styleId="282">
    <w:name w:val="正文文本 Char1"/>
    <w:autoRedefine/>
    <w:semiHidden/>
    <w:qFormat/>
    <w:uiPriority w:val="0"/>
    <w:rPr>
      <w:rFonts w:ascii="Times New Roman" w:hAnsi="Times New Roman" w:eastAsia="宋体" w:cs="Times New Roman"/>
      <w:szCs w:val="24"/>
    </w:rPr>
  </w:style>
  <w:style w:type="paragraph" w:customStyle="1" w:styleId="283">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4">
    <w:name w:val="Char11"/>
    <w:basedOn w:val="1"/>
    <w:autoRedefine/>
    <w:qFormat/>
    <w:uiPriority w:val="99"/>
    <w:rPr>
      <w:rFonts w:ascii="Tahoma" w:hAnsi="Tahoma" w:eastAsia="宋体"/>
      <w:sz w:val="24"/>
      <w:szCs w:val="20"/>
    </w:rPr>
  </w:style>
  <w:style w:type="paragraph" w:customStyle="1" w:styleId="285">
    <w:name w:val="Char Char Char Char1"/>
    <w:basedOn w:val="1"/>
    <w:autoRedefine/>
    <w:qFormat/>
    <w:uiPriority w:val="99"/>
    <w:pPr>
      <w:widowControl/>
      <w:spacing w:after="160" w:line="240" w:lineRule="exact"/>
      <w:jc w:val="left"/>
    </w:pPr>
    <w:rPr>
      <w:rFonts w:eastAsia="宋体"/>
      <w:szCs w:val="20"/>
    </w:rPr>
  </w:style>
  <w:style w:type="paragraph" w:customStyle="1" w:styleId="286">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7">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8">
    <w:name w:val="Char Char Char Char11"/>
    <w:basedOn w:val="1"/>
    <w:autoRedefine/>
    <w:qFormat/>
    <w:uiPriority w:val="99"/>
    <w:pPr>
      <w:widowControl/>
      <w:spacing w:after="160" w:line="240" w:lineRule="exact"/>
      <w:jc w:val="left"/>
    </w:pPr>
    <w:rPr>
      <w:rFonts w:eastAsia="宋体"/>
      <w:szCs w:val="20"/>
    </w:rPr>
  </w:style>
  <w:style w:type="paragraph" w:customStyle="1" w:styleId="289">
    <w:name w:val="Char12"/>
    <w:basedOn w:val="1"/>
    <w:autoRedefine/>
    <w:qFormat/>
    <w:uiPriority w:val="99"/>
    <w:rPr>
      <w:rFonts w:ascii="Tahoma" w:hAnsi="Tahoma" w:eastAsia="宋体"/>
      <w:sz w:val="24"/>
      <w:szCs w:val="20"/>
    </w:rPr>
  </w:style>
  <w:style w:type="paragraph" w:customStyle="1" w:styleId="290">
    <w:name w:val="Char111"/>
    <w:basedOn w:val="1"/>
    <w:autoRedefine/>
    <w:qFormat/>
    <w:uiPriority w:val="99"/>
    <w:rPr>
      <w:rFonts w:ascii="Tahoma" w:hAnsi="Tahoma" w:eastAsia="宋体"/>
      <w:sz w:val="24"/>
      <w:szCs w:val="20"/>
    </w:rPr>
  </w:style>
  <w:style w:type="paragraph" w:customStyle="1" w:styleId="291">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2">
    <w:name w:val="Char Char Char Char2"/>
    <w:basedOn w:val="1"/>
    <w:autoRedefine/>
    <w:qFormat/>
    <w:uiPriority w:val="99"/>
    <w:pPr>
      <w:widowControl/>
      <w:spacing w:after="160" w:line="240" w:lineRule="exact"/>
      <w:jc w:val="left"/>
    </w:pPr>
    <w:rPr>
      <w:rFonts w:eastAsia="宋体"/>
      <w:szCs w:val="20"/>
    </w:rPr>
  </w:style>
  <w:style w:type="character" w:customStyle="1" w:styleId="293">
    <w:name w:val="正文文本 字符"/>
    <w:autoRedefine/>
    <w:qFormat/>
    <w:uiPriority w:val="0"/>
    <w:rPr>
      <w:b/>
      <w:i/>
      <w:szCs w:val="24"/>
    </w:rPr>
  </w:style>
  <w:style w:type="paragraph" w:customStyle="1" w:styleId="294">
    <w:name w:val="纯文本2"/>
    <w:basedOn w:val="1"/>
    <w:autoRedefine/>
    <w:qFormat/>
    <w:uiPriority w:val="0"/>
    <w:rPr>
      <w:rFonts w:ascii="宋体" w:hAnsi="Courier New" w:cs="Courier New"/>
      <w:szCs w:val="21"/>
    </w:rPr>
  </w:style>
  <w:style w:type="paragraph" w:customStyle="1" w:styleId="295">
    <w:name w:val="TOC 标题3"/>
    <w:basedOn w:val="3"/>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6">
    <w:name w:val="HTML 预设格式 字符"/>
    <w:basedOn w:val="53"/>
    <w:link w:val="44"/>
    <w:autoRedefine/>
    <w:qFormat/>
    <w:uiPriority w:val="0"/>
    <w:rPr>
      <w:rFonts w:ascii="黑体" w:hAnsi="Courier New" w:eastAsia="黑体"/>
    </w:rPr>
  </w:style>
  <w:style w:type="paragraph" w:customStyle="1" w:styleId="297">
    <w:name w:val="Table Text"/>
    <w:basedOn w:val="1"/>
    <w:autoRedefine/>
    <w:semiHidden/>
    <w:qFormat/>
    <w:uiPriority w:val="0"/>
    <w:rPr>
      <w:rFonts w:ascii="宋体" w:hAnsi="宋体" w:eastAsia="宋体" w:cs="宋体"/>
      <w:sz w:val="24"/>
      <w:szCs w:val="24"/>
      <w:lang w:val="en-US" w:eastAsia="en-US" w:bidi="ar-SA"/>
    </w:rPr>
  </w:style>
  <w:style w:type="table" w:customStyle="1" w:styleId="298">
    <w:name w:val="Table Normal"/>
    <w:autoRedefine/>
    <w:semiHidden/>
    <w:unhideWhenUsed/>
    <w:qFormat/>
    <w:uiPriority w:val="0"/>
    <w:tblPr>
      <w:tblCellMar>
        <w:top w:w="0" w:type="dxa"/>
        <w:left w:w="0" w:type="dxa"/>
        <w:bottom w:w="0" w:type="dxa"/>
        <w:right w:w="0" w:type="dxa"/>
      </w:tblCellMar>
    </w:tblPr>
  </w:style>
  <w:style w:type="character" w:customStyle="1" w:styleId="299">
    <w:name w:val="标题 2 Char"/>
    <w:link w:val="4"/>
    <w:qFormat/>
    <w:uiPriority w:val="99"/>
    <w:rPr>
      <w:rFonts w:ascii="Cambria" w:hAnsi="Cambria"/>
      <w:b/>
      <w:bCs/>
      <w:kern w:val="2"/>
      <w:sz w:val="32"/>
      <w:szCs w:val="32"/>
    </w:rPr>
  </w:style>
  <w:style w:type="character" w:customStyle="1" w:styleId="300">
    <w:name w:val="font11"/>
    <w:basedOn w:val="5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70</Pages>
  <Words>22748</Words>
  <Characters>26306</Characters>
  <Lines>287</Lines>
  <Paragraphs>80</Paragraphs>
  <TotalTime>11</TotalTime>
  <ScaleCrop>false</ScaleCrop>
  <LinksUpToDate>false</LinksUpToDate>
  <CharactersWithSpaces>27377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招标四部</cp:lastModifiedBy>
  <cp:lastPrinted>2021-01-08T03:14:00Z</cp:lastPrinted>
  <dcterms:modified xsi:type="dcterms:W3CDTF">2026-09-11T06:57:06Z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82C4E5DA4E614885A3F061B27100FA87_13</vt:lpwstr>
  </property>
  <property fmtid="{D5CDD505-2E9C-101B-9397-08002B2CF9AE}" pid="4" name="KSOTemplateDocerSaveRecord">
    <vt:lpwstr>eyJoZGlkIjoiZGE2MDUyNWI4ZWQwNzdjN2ZkOTgyMzU3YmFmM2U5NzAiLCJ1c2VySWQiOiIyNDEwNjE3OTEifQ==</vt:lpwstr>
  </property>
</Properties>
</file>