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版本号：SXHDXX-2026-044.1B120260807001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淳化县区域性隐蔽致灾因素普查项目(二次)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SXHDXX-2026-044.1B1</w:t>
      </w:r>
      <w:r>
        <w:br/>
      </w:r>
      <w:r>
        <w:br/>
      </w:r>
      <w:r>
        <w:br/>
      </w:r>
    </w:p>
    <w:p>
      <w:pPr>
        <w:pStyle w:val="null3"/>
        <w:jc w:val="center"/>
        <w:outlineLvl w:val="2"/>
      </w:pPr>
      <w:r>
        <w:rPr>
          <w:rFonts w:ascii="仿宋_GB2312" w:hAnsi="仿宋_GB2312" w:cs="仿宋_GB2312" w:eastAsia="仿宋_GB2312"/>
          <w:sz w:val="28"/>
          <w:b/>
        </w:rPr>
        <w:t>淳化县应急管理局</w:t>
      </w:r>
    </w:p>
    <w:p>
      <w:pPr>
        <w:pStyle w:val="null3"/>
        <w:jc w:val="center"/>
        <w:outlineLvl w:val="2"/>
      </w:pPr>
      <w:r>
        <w:rPr>
          <w:rFonts w:ascii="仿宋_GB2312" w:hAnsi="仿宋_GB2312" w:cs="仿宋_GB2312" w:eastAsia="仿宋_GB2312"/>
          <w:sz w:val="28"/>
          <w:b/>
        </w:rPr>
        <w:t>陕西安捷伟创项目管理有限公司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陕西安捷伟创项目管理有限公司</w:t>
      </w:r>
      <w:r>
        <w:rPr>
          <w:rFonts w:ascii="仿宋_GB2312" w:hAnsi="仿宋_GB2312" w:cs="仿宋_GB2312" w:eastAsia="仿宋_GB2312"/>
        </w:rPr>
        <w:t>（以下简称“代理机构”）受</w:t>
      </w:r>
      <w:r>
        <w:rPr>
          <w:rFonts w:ascii="仿宋_GB2312" w:hAnsi="仿宋_GB2312" w:cs="仿宋_GB2312" w:eastAsia="仿宋_GB2312"/>
        </w:rPr>
        <w:t>淳化县应急管理局</w:t>
      </w:r>
      <w:r>
        <w:rPr>
          <w:rFonts w:ascii="仿宋_GB2312" w:hAnsi="仿宋_GB2312" w:cs="仿宋_GB2312" w:eastAsia="仿宋_GB2312"/>
        </w:rPr>
        <w:t>委托，拟对</w:t>
      </w:r>
      <w:r>
        <w:rPr>
          <w:rFonts w:ascii="仿宋_GB2312" w:hAnsi="仿宋_GB2312" w:cs="仿宋_GB2312" w:eastAsia="仿宋_GB2312"/>
        </w:rPr>
        <w:t>淳化县区域性隐蔽致灾因素普查项目(二次)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SXHDXX-2026-044.1B1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淳化县区域性隐蔽致灾因素普查项目(二次)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矿区地处旬耀矿区西南部，构造上位于鄂尔多斯台坳南缘坳陷带内，北邻陕北斜坡，南接渭北隆褶带，整体属于黄陇侏罗纪煤田的中部区域。该区域煤炭资源较为丰富，地质条件复杂，具有较大的勘查与开发潜力。截至目前，旬耀矿区共设置采矿权 8 个，矿区总面积约 72.81km2 ，累计占用煤炭资源量达 2.57 亿吨，是区域内重要的煤炭生产基地。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采购包1（淳化县区域性隐蔽致灾因素普查项目）：属于专门面向中小企业采购。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1、营业执照等主体资格证明文件：投标人应具有独立承担民事责任能力的企业法人或其他组织，并出具合法有效的营业执照等国家规定的相关证明；</w:t>
      </w:r>
    </w:p>
    <w:p>
      <w:pPr>
        <w:pStyle w:val="null3"/>
      </w:pPr>
      <w:r>
        <w:rPr>
          <w:rFonts w:ascii="仿宋_GB2312" w:hAnsi="仿宋_GB2312" w:cs="仿宋_GB2312" w:eastAsia="仿宋_GB2312"/>
        </w:rPr>
        <w:t>2、投标人资格要求：投标人须具有国家相关主管部门颁发的地质灾害评估和治理工程勘查设计乙级及以上资质；拟派项目负责人须具备采矿或地质相关专业高级职称；</w:t>
      </w:r>
    </w:p>
    <w:p>
      <w:pPr>
        <w:pStyle w:val="null3"/>
      </w:pPr>
      <w:r>
        <w:rPr>
          <w:rFonts w:ascii="仿宋_GB2312" w:hAnsi="仿宋_GB2312" w:cs="仿宋_GB2312" w:eastAsia="仿宋_GB2312"/>
        </w:rPr>
        <w:t>3、财务状况报告：提供2024年度或2025年度的财务审计报告（至少包括资产负债表和利润表，成立时间至投标文件提交截止时间不足一年的可提供成立后任意时段的资产负债表），或开标前三个月内银行出具的资信证明及基本存款账户开户许可证（基本账户信息表）；</w:t>
      </w:r>
    </w:p>
    <w:p>
      <w:pPr>
        <w:pStyle w:val="null3"/>
      </w:pPr>
      <w:r>
        <w:rPr>
          <w:rFonts w:ascii="仿宋_GB2312" w:hAnsi="仿宋_GB2312" w:cs="仿宋_GB2312" w:eastAsia="仿宋_GB2312"/>
        </w:rPr>
        <w:t>4、社会保障资金缴纳证明：提供投标文件提交截止时间前六个月内至少一个月的社会保障资金缴存单据或社保机构开具的社会保险参保缴费情况证明，单据或证明上应有社保机构或代收机构的公章或业务专用章；（依法不需要缴纳社会保障资金的投标人应提供相关证明）；</w:t>
      </w:r>
    </w:p>
    <w:p>
      <w:pPr>
        <w:pStyle w:val="null3"/>
      </w:pPr>
      <w:r>
        <w:rPr>
          <w:rFonts w:ascii="仿宋_GB2312" w:hAnsi="仿宋_GB2312" w:cs="仿宋_GB2312" w:eastAsia="仿宋_GB2312"/>
        </w:rPr>
        <w:t>5、税收缴纳证明：提供投标文件提交截止时间前六个月内至少一个月的纳税证明或完税证明（任意税种），纳税证明或完税证明上应有代收机构或税务机关的公章或业务专用章；（依法不需要缴纳税收的投标人应提供相关证明）；</w:t>
      </w:r>
    </w:p>
    <w:p>
      <w:pPr>
        <w:pStyle w:val="null3"/>
      </w:pPr>
      <w:r>
        <w:rPr>
          <w:rFonts w:ascii="仿宋_GB2312" w:hAnsi="仿宋_GB2312" w:cs="仿宋_GB2312" w:eastAsia="仿宋_GB2312"/>
        </w:rPr>
        <w:t>6、无重大违法记录书面声明：参加本次投标前3年内，在经营活动中没有重大违法记录的书面声明；</w:t>
      </w:r>
    </w:p>
    <w:p>
      <w:pPr>
        <w:pStyle w:val="null3"/>
      </w:pPr>
      <w:r>
        <w:rPr>
          <w:rFonts w:ascii="仿宋_GB2312" w:hAnsi="仿宋_GB2312" w:cs="仿宋_GB2312" w:eastAsia="仿宋_GB2312"/>
        </w:rPr>
        <w:t>7、专业技术能力书面声明：投标人须具有履行合同所必需的设备和专业技术能力，须附相关证明材料或书面声明；</w:t>
      </w:r>
    </w:p>
    <w:p>
      <w:pPr>
        <w:pStyle w:val="null3"/>
      </w:pPr>
      <w:r>
        <w:rPr>
          <w:rFonts w:ascii="仿宋_GB2312" w:hAnsi="仿宋_GB2312" w:cs="仿宋_GB2312" w:eastAsia="仿宋_GB2312"/>
        </w:rPr>
        <w:t>8、信用记录审查：投标人不得被“信用中国”(www.creditchina.gov.cn)列为失信被执行人、重大税收违法失信主体名单，不得被“中国政府采购网”(www.ccgp.gov.cn)列入政府采购严重违法失信行为记录名单；</w:t>
      </w:r>
    </w:p>
    <w:p>
      <w:pPr>
        <w:pStyle w:val="null3"/>
      </w:pPr>
      <w:r>
        <w:rPr>
          <w:rFonts w:ascii="仿宋_GB2312" w:hAnsi="仿宋_GB2312" w:cs="仿宋_GB2312" w:eastAsia="仿宋_GB2312"/>
        </w:rPr>
        <w:t>9、企业关系关联书面声明：单位负责人为同一人或者存在直接控股、管理关系的不同供应商，不得参加同一合同项下的政府采购活动；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陕西省咸阳市淳化县南新街林业局东院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029-32772119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陕西安捷伟创项目管理有限公司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陕西省咸阳市秦都区陕西省西咸新区沣西新城沣西国际大厦1号楼16层1605室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18064333498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国家发展和改革委员会办公室关于招标代理服务收费有关问题的通知》&lt;发改办价格（2011）534号&gt;文件规定以中标价为计费基数，由中标单位在领取中标通知书时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淳化县应急管理局</w:t>
      </w:r>
      <w:r>
        <w:rPr>
          <w:rFonts w:ascii="仿宋_GB2312" w:hAnsi="仿宋_GB2312" w:cs="仿宋_GB2312" w:eastAsia="仿宋_GB2312"/>
        </w:rPr>
        <w:t>和</w:t>
      </w:r>
      <w:r>
        <w:rPr>
          <w:rFonts w:ascii="仿宋_GB2312" w:hAnsi="仿宋_GB2312" w:cs="仿宋_GB2312" w:eastAsia="仿宋_GB2312"/>
        </w:rPr>
        <w:t>陕西安捷伟创项目管理有限公司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陕西安捷伟创项目管理有限公司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陕西安捷伟创项目管理有限公司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应保证在本项⽬中使⽤的任何技术、产品和服务（包括部分使⽤），不会产⽣因第三⽅提出侵犯其专利权、商标权或其它知识产权⽽引起的法律和经济纠纷，如因专利权、商标权或其它知识产权⽽引起法律和经济纠纷，由投标⼈承担所有相关责任。采购⼈享有本项⽬实施过程中产⽣的知识成果及知识产权。2、投标⼈将在采购项⽬实施过程中采⽤⾃有或者第三⽅知识成果的，使⽤该知识成果后，投标⼈需提供开发接⼝和开发⼿册等技术资料，并承诺提供⽆限期⽀持，采购⼈享有使⽤权（含采购⼈委托第三⽅在该项⽬后续开发的使⽤权）。3、如采⽤投标⼈所不拥有的知识产权，则在投标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验收以项目招标文件、合同书和相关政策法规等作为项目验收依据，由采购人、供应商及项目相关人员组成的验收小组，负责对本项目进行全面的验收。成交供应商应在全面完成合同约定的前提下，提交全部相关文档、报告等，可以向验收小组提出整体验收申请，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陕西安捷伟创项目管理有限公司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陕西安捷伟创项目管理有限公司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陕西安捷伟创项目管理有限公司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联系电话：18064333498</w:t>
      </w:r>
    </w:p>
    <w:p>
      <w:pPr>
        <w:pStyle w:val="null3"/>
      </w:pPr>
      <w:r>
        <w:rPr>
          <w:rFonts w:ascii="仿宋_GB2312" w:hAnsi="仿宋_GB2312" w:cs="仿宋_GB2312" w:eastAsia="仿宋_GB2312"/>
        </w:rPr>
        <w:t>地址：陕西省西咸新区沣西新城沣西国际大厦1号楼16层1605室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淳化县矿区地处旬耀矿区西南部，构造上位于鄂尔多斯台坳南缘坳陷带内，北邻陕北斜坡，南接渭北隆褶带，整体属于黄陇侏罗纪煤田的中部区域。该区域煤炭资源较为丰富，地质条件复杂，具有较大的勘查与开发潜力。截至目前，旬耀矿区共设置采矿权 8 个，矿区总面积约 72.81km2 ，累计占用煤炭资源量达 2.57 亿吨，是区域内重要的煤炭生产基地。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2,680,000.00</w:t>
      </w:r>
    </w:p>
    <w:p>
      <w:pPr>
        <w:pStyle w:val="null3"/>
      </w:pPr>
      <w:r>
        <w:rPr>
          <w:rFonts w:ascii="仿宋_GB2312" w:hAnsi="仿宋_GB2312" w:cs="仿宋_GB2312" w:eastAsia="仿宋_GB2312"/>
        </w:rPr>
        <w:t>采购包最高限价（元）: 2,680,000.00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淳化县区域性隐蔽致灾因素普查项目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标的名称：淳化县区域性隐蔽致灾因素普查项目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符合国家及行业相关要求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满足完成本项目所必须的设施设备要求。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按照甲方要求做好相关工作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本项目的验收以项目招标文件、合同书和相关政策法规等作为项目验收依据，供应商在项目验收前须提供详细的初验方案，经采购人确认可后方可执行。项目验收合格后，双方签署验收报告。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进度款，双方签订合同后，乙方进场后甲方支付款项20%，项目完成一半支付款项30%，项目完工并通过甲方验收合格，甲方向乙方一次性支付剩余款项，达到付款条件起90个工作日内，支付合同总金额的100.0%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淳化县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按照甲方要求做好相关工作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法定代表人身份证明及法定代表人授权委托书.pdf 开标一览表 投标函 类似业绩的有关证明材料(1).docx 标的清单 服务内容及服务要求应答表 分项报价表(1).docx 投标文件封面 投标人应提交的相关资格证明材料 相关承诺书.docx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服务内容及服务要求应答表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服务内容及服务要求应答表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投标人应具有独立承担民事责任能力的企业法人或其他组织，并出具合法有效的营业执照等国家规定的相关证明；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投标人须具有国家相关主管部门颁发的地质灾害评估和治理工程勘查设计乙级及以上资质；拟派项目负责人须具备采矿或地质相关专业高级职称；</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投标文件提交截止时间不足一年的可提供成立后任意时段的资产负债表），或开标前三个月内银行出具的资信证明及基本存款账户开户许可证（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六个月内至少一个月的社会保障资金缴存单据或社保机构开具的社会保险参保缴费情况证明，单据或证明上应有社保机构或代收机构的公章或业务专用章；（依法不需要缴纳社会保障资金的投标人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提供投标文件提交截止时间前六个月内至少一个月的纳税证明或完税证明（任意税种），纳税证明或完税证明上应有代收机构或税务机关的公章或业务专用章；（依法不需要缴纳税收的投标人应提供相关证明）；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参加本次投标前3年内，在经营活动中没有重大违法记录的书面声明；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专业技术能力书面声明</w:t>
            </w:r>
          </w:p>
        </w:tc>
        <w:tc>
          <w:tcPr>
            <w:tcW w:type="dxa" w:w="3322"/>
          </w:tcPr>
          <w:p>
            <w:pPr>
              <w:pStyle w:val="null3"/>
            </w:pPr>
            <w:r>
              <w:rPr>
                <w:rFonts w:ascii="仿宋_GB2312" w:hAnsi="仿宋_GB2312" w:cs="仿宋_GB2312" w:eastAsia="仿宋_GB2312"/>
              </w:rPr>
              <w:t>投标人须具有履行合同所必需的设备和专业技术能力，须附相关证明材料或书面声明；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投标人不得被“信用中国”(www.creditchina.gov.cn)列为失信被执行人、重大税收违法失信主体名单，不得被“中国政府采购网”(www.ccgp.gov.cn)列入政府采购严重违法失信行为记录名单；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企业关系关联书面声明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分项报价表(1).docx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项目实施方案综合评价</w:t>
            </w:r>
          </w:p>
        </w:tc>
        <w:tc>
          <w:tcPr>
            <w:tcW w:type="dxa" w:w="2492"/>
          </w:tcPr>
          <w:p>
            <w:pPr>
              <w:pStyle w:val="null3"/>
            </w:pPr>
            <w:r>
              <w:rPr>
                <w:rFonts w:ascii="仿宋_GB2312" w:hAnsi="仿宋_GB2312" w:cs="仿宋_GB2312" w:eastAsia="仿宋_GB2312"/>
              </w:rPr>
              <w:t>根据投标人提供的项目实施方案进行评审， 内容包括但不限于：①总体项目描述；②对项目的理解评价;③项目需求理解分析；④实施过程中的重点难点方案与措施； 以上内容完整、不存在缺项漏项， 得12分； 以上4项每缺少一项扣3分，每项中每有一处存在缺陷或不足、内容不完整或不符合项目实际情况扣1.5分， 单项扣完为止 。（本项所指“缺陷或不足”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项目管理方案及服务内容</w:t>
            </w:r>
          </w:p>
        </w:tc>
        <w:tc>
          <w:tcPr>
            <w:tcW w:type="dxa" w:w="2492"/>
          </w:tcPr>
          <w:p>
            <w:pPr>
              <w:pStyle w:val="null3"/>
            </w:pPr>
            <w:r>
              <w:rPr>
                <w:rFonts w:ascii="仿宋_GB2312" w:hAnsi="仿宋_GB2312" w:cs="仿宋_GB2312" w:eastAsia="仿宋_GB2312"/>
              </w:rPr>
              <w:t>根据投标人对本项目项目管理方案及服务内容进行评审， 内容包括但不限于：①服务工作内容， ②服务工作方案， ③后续工作服务支持能力； ④服务承诺；⑤验收方案等；以上内容完整、不存在缺项漏项， 得10分； 以上5项每缺少一项扣2分， 每项中每有一处存在缺陷或不足、 内容不完整或不符合项目实际情况扣1分， 单项扣完为止 . (本项所指“缺陷或不足 ”是指内容不完整或缺少关键点；非专门针对本项目或不适用本项目特性、套用其他项目方案内容；存在逻辑漏洞、科学原理或常识错误；不利于本项目实施、现有技术条件下无法实现等任意一种情形）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进度计划与措施</w:t>
            </w:r>
          </w:p>
        </w:tc>
        <w:tc>
          <w:tcPr>
            <w:tcW w:type="dxa" w:w="2492"/>
          </w:tcPr>
          <w:p>
            <w:pPr>
              <w:pStyle w:val="null3"/>
            </w:pPr>
            <w:r>
              <w:rPr>
                <w:rFonts w:ascii="仿宋_GB2312" w:hAnsi="仿宋_GB2312" w:cs="仿宋_GB2312" w:eastAsia="仿宋_GB2312"/>
              </w:rPr>
              <w:t>根据投标人提供的项目进度计划与措施进行评审，内容应包括但不限于 ：①工作进度计划；②项目进度管理方法；③关键技术问题的认识及其对策措施；④项目进度保证措施； 以上内容完整、不存在缺项漏项，得12分；以上4项每缺少一项扣3分， 每项中每有一处存在缺陷或不足、 内容不完整或不符合项目实际情况扣1.5分， 单项扣完为止 。（本项所指“缺陷或不足”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根据投标人提供的质量保证方案进行评审，内容应包括但不限于：①质量保证体系；②质量保证措施；③质量管理组织机构； 以上内容完整、不存在缺项漏项，得6分；以上3项每缺少一项扣2分， 每项中每有一处存在缺陷或不足、内容不完整或不符合项目实际情况扣1分,单项扣完为止。（本项所指“缺陷或不足”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防范安全隐患措施</w:t>
            </w:r>
          </w:p>
        </w:tc>
        <w:tc>
          <w:tcPr>
            <w:tcW w:type="dxa" w:w="2492"/>
          </w:tcPr>
          <w:p>
            <w:pPr>
              <w:pStyle w:val="null3"/>
            </w:pPr>
            <w:r>
              <w:rPr>
                <w:rFonts w:ascii="仿宋_GB2312" w:hAnsi="仿宋_GB2312" w:cs="仿宋_GB2312" w:eastAsia="仿宋_GB2312"/>
              </w:rPr>
              <w:t>根据投标人提供的防范安全隐患措施进行评审， 内容应包括但不限于 : ①防范安全隐患措施完整性；②突发应急安全工作措施的重点难点及应急措施； 以上内容完整、不存在缺项漏项， 得4分； 以上2项每缺少一项扣2分， 每项中每有一处存在缺陷或不足、 内容不完整或不符合项目实际情况扣1分,单项扣完为止。（本项所指“缺陷或不足”是指内容不完整或缺少关键点；非专门针对本项目或不适用本项目特性 、套用其他项目方案内容；存在逻辑漏洞、科学原理或常识错误；不利于本项目实施、现有技术条件下无法实现等任意一种情形。)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拟投入本项目团队</w:t>
            </w:r>
          </w:p>
        </w:tc>
        <w:tc>
          <w:tcPr>
            <w:tcW w:type="dxa" w:w="2492"/>
          </w:tcPr>
          <w:p>
            <w:pPr>
              <w:pStyle w:val="null3"/>
            </w:pPr>
            <w:r>
              <w:rPr>
                <w:rFonts w:ascii="仿宋_GB2312" w:hAnsi="仿宋_GB2312" w:cs="仿宋_GB2312" w:eastAsia="仿宋_GB2312"/>
              </w:rPr>
              <w:t>拟派团队人员配置合理、满足项目需求，配备1人得2.5分，最高得15分；评审依据：提供拟派人员职称证（或注册证）及身份证复印件加盖公章。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类似项目业绩投标人近三年（2023年8月1日至今 , 以合同签订时间为准）每承揽过一项类似业绩的得4分， 本项最多得16分。（附合同或中标通知书扫描件）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后续服务承诺</w:t>
            </w:r>
          </w:p>
        </w:tc>
        <w:tc>
          <w:tcPr>
            <w:tcW w:type="dxa" w:w="2492"/>
          </w:tcPr>
          <w:p>
            <w:pPr>
              <w:pStyle w:val="null3"/>
            </w:pPr>
            <w:r>
              <w:rPr>
                <w:rFonts w:ascii="仿宋_GB2312" w:hAnsi="仿宋_GB2312" w:cs="仿宋_GB2312" w:eastAsia="仿宋_GB2312"/>
              </w:rPr>
              <w:t>①对本项目有技术支持度及跟踪服务能力，有完善的后续服务计划，且建立完整的后续工作信息收集、反馈等保证措施，后续服务的保障内容完善、具体、全面得5分; ②对本项目有一定的技术支持度及跟踪服务能力，有简单的后续服务计划，且建立了后续工作信息收集、反馈等保证措施，后续服务的保障内容一般得3分; ③投标人未对项目后续服务等作出实质方案不够具体、全面得1分。未提供本项内容的，不得分。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价格评审</w:t>
            </w:r>
          </w:p>
        </w:tc>
        <w:tc>
          <w:tcPr>
            <w:tcW w:type="dxa" w:w="2492"/>
          </w:tcPr>
          <w:p>
            <w:pPr>
              <w:pStyle w:val="null3"/>
            </w:pPr>
            <w:r>
              <w:rPr>
                <w:rFonts w:ascii="仿宋_GB2312" w:hAnsi="仿宋_GB2312" w:cs="仿宋_GB2312" w:eastAsia="仿宋_GB2312"/>
              </w:rPr>
              <w:t>价格项评审因素得分 ＝（评标基准价/投标报价） ×100×价格项评审因素所占的权重（注：满足招标文件要求且投标价格最低的投标报价为评标基准价。）最低报价不是中标的唯一依据。 因落实政府采购政策进行价格调整的， 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详见附件：类似业绩的有关证明材料(1).docx</w:t>
      </w:r>
    </w:p>
    <w:p>
      <w:pPr>
        <w:pStyle w:val="null3"/>
        <w:ind w:firstLine="960"/>
      </w:pPr>
      <w:r>
        <w:rPr>
          <w:rFonts w:ascii="仿宋_GB2312" w:hAnsi="仿宋_GB2312" w:cs="仿宋_GB2312" w:eastAsia="仿宋_GB2312"/>
        </w:rPr>
        <w:t>详见附件：相关承诺书.docx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