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版本号：JJX-2026-03820260611001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渭南市临渭区交斜镇全民健身中心项目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JJX-2026-038</w:t>
      </w:r>
      <w:r>
        <w:br/>
      </w:r>
      <w:r>
        <w:br/>
      </w:r>
      <w:r>
        <w:br/>
      </w:r>
    </w:p>
    <w:p>
      <w:pPr>
        <w:pStyle w:val="null3"/>
        <w:jc w:val="center"/>
        <w:outlineLvl w:val="2"/>
      </w:pPr>
      <w:r>
        <w:rPr>
          <w:rFonts w:ascii="仿宋_GB2312" w:hAnsi="仿宋_GB2312" w:cs="仿宋_GB2312" w:eastAsia="仿宋_GB2312"/>
          <w:sz w:val="28"/>
          <w:b/>
        </w:rPr>
        <w:t>陕西省渭南市临渭区交斜镇人民政府</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陕西省渭南市临渭区交斜镇人民政府</w:t>
      </w:r>
      <w:r>
        <w:rPr>
          <w:rFonts w:ascii="仿宋_GB2312" w:hAnsi="仿宋_GB2312" w:cs="仿宋_GB2312" w:eastAsia="仿宋_GB2312"/>
        </w:rPr>
        <w:t>委托，拟对</w:t>
      </w:r>
      <w:r>
        <w:rPr>
          <w:rFonts w:ascii="仿宋_GB2312" w:hAnsi="仿宋_GB2312" w:cs="仿宋_GB2312" w:eastAsia="仿宋_GB2312"/>
        </w:rPr>
        <w:t>渭南市临渭区交斜镇全民健身中心项目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渭南市临渭区交斜镇全民健身中心项目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拟在渭南市临渭区交斜镇建设全民健身中心，具体施工内容详见附件工程量清单及电子招标书。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采购包1（渭南市临渭区交斜镇全民健身中心项目）：属于专门面向中小企业采购。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3、企业资质：供应商需具有建设行政主管部门颁发的建筑工程施工总承包三级及以上资质，具有有效的国家建设行政主管部门颁发的安全生产许可证。</w:t>
      </w:r>
    </w:p>
    <w:p>
      <w:pPr>
        <w:pStyle w:val="null3"/>
      </w:pPr>
      <w:r>
        <w:rPr>
          <w:rFonts w:ascii="仿宋_GB2312" w:hAnsi="仿宋_GB2312" w:cs="仿宋_GB2312" w:eastAsia="仿宋_GB2312"/>
        </w:rPr>
        <w:t>4、项目经理：项目经理须具备建筑工程专业二级及以上建造师资格,具有有效的安全生产考核合格证书（建安B证），且未担任其他在建工程项目的项目经理声明。</w:t>
      </w:r>
    </w:p>
    <w:p>
      <w:pPr>
        <w:pStyle w:val="null3"/>
      </w:pPr>
      <w:r>
        <w:rPr>
          <w:rFonts w:ascii="仿宋_GB2312" w:hAnsi="仿宋_GB2312" w:cs="仿宋_GB2312" w:eastAsia="仿宋_GB2312"/>
        </w:rPr>
        <w:t>5、供应商及项目经理备案情况：陕西省建筑市场监管与诚信信息发布平台：供应商及项目经理基本信息在“陕西省建筑市场监管与诚信信息发布平台”可查询。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陕西省渭南市临渭区交斜镇人民政府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陕西省渭南市临渭区交斜镇交斜街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0913-2655332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采购包1：1,539,695.64元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工程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陕西省渭南市临渭区交斜镇人民政府</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陕西省渭南市临渭区交斜镇人民政府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陕西省渭南市临渭区交斜镇人民政府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合同、竞争性磋商文件、响应文件及承诺。 国家相关标准、规范及有关技术文件。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地址：陕西省渭南市临渭区玉德路豪庭佳苑南门东临四层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1,539,695.64</w:t>
      </w:r>
    </w:p>
    <w:p>
      <w:pPr>
        <w:pStyle w:val="null3"/>
      </w:pPr>
      <w:r>
        <w:rPr>
          <w:rFonts w:ascii="仿宋_GB2312" w:hAnsi="仿宋_GB2312" w:cs="仿宋_GB2312" w:eastAsia="仿宋_GB2312"/>
        </w:rPr>
        <w:t>采购包最高限价（元）: 1,539,695.64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渭南市临渭区交斜镇全民健身中心项目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1,539,695.64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标的名称：渭南市临渭区交斜镇全民健身中心项目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b/>
              </w:rPr>
              <w:t>编制说明</w:t>
            </w:r>
          </w:p>
          <w:p>
            <w:pPr>
              <w:pStyle w:val="null3"/>
              <w:jc w:val="both"/>
            </w:pPr>
            <w:r>
              <w:rPr>
                <w:rFonts w:ascii="仿宋_GB2312" w:hAnsi="仿宋_GB2312" w:cs="仿宋_GB2312" w:eastAsia="仿宋_GB2312"/>
                <w:sz w:val="28"/>
                <w:b/>
              </w:rPr>
              <w:t>一、工程概况</w:t>
            </w:r>
          </w:p>
          <w:p>
            <w:pPr>
              <w:pStyle w:val="null3"/>
              <w:ind w:firstLine="560"/>
              <w:jc w:val="left"/>
            </w:pPr>
            <w:r>
              <w:rPr>
                <w:rFonts w:ascii="仿宋_GB2312" w:hAnsi="仿宋_GB2312" w:cs="仿宋_GB2312" w:eastAsia="仿宋_GB2312"/>
                <w:sz w:val="28"/>
              </w:rPr>
              <w:t>1、工程名称：渭南市临渭区交斜镇全民健身中心项目</w:t>
            </w:r>
          </w:p>
          <w:p>
            <w:pPr>
              <w:pStyle w:val="null3"/>
              <w:ind w:firstLine="560"/>
              <w:jc w:val="left"/>
            </w:pPr>
            <w:r>
              <w:rPr>
                <w:rFonts w:ascii="仿宋_GB2312" w:hAnsi="仿宋_GB2312" w:cs="仿宋_GB2312" w:eastAsia="仿宋_GB2312"/>
                <w:sz w:val="28"/>
              </w:rPr>
              <w:t>2、工程地址：陕西省渭南市临渭区交斜镇</w:t>
            </w:r>
          </w:p>
          <w:p>
            <w:pPr>
              <w:pStyle w:val="null3"/>
              <w:ind w:firstLine="560"/>
              <w:jc w:val="left"/>
            </w:pPr>
            <w:r>
              <w:rPr>
                <w:rFonts w:ascii="仿宋_GB2312" w:hAnsi="仿宋_GB2312" w:cs="仿宋_GB2312" w:eastAsia="仿宋_GB2312"/>
                <w:sz w:val="28"/>
              </w:rPr>
              <w:t xml:space="preserve">3、建设单位：交斜镇人民政府                    </w:t>
            </w:r>
          </w:p>
          <w:p>
            <w:pPr>
              <w:pStyle w:val="null3"/>
              <w:ind w:firstLine="560"/>
              <w:jc w:val="left"/>
            </w:pPr>
            <w:r>
              <w:rPr>
                <w:rFonts w:ascii="仿宋_GB2312" w:hAnsi="仿宋_GB2312" w:cs="仿宋_GB2312" w:eastAsia="仿宋_GB2312"/>
                <w:sz w:val="28"/>
              </w:rPr>
              <w:t>4、工程建设内容及规模：</w:t>
            </w:r>
          </w:p>
          <w:p>
            <w:pPr>
              <w:pStyle w:val="null3"/>
              <w:ind w:firstLine="560"/>
              <w:jc w:val="left"/>
            </w:pPr>
            <w:r>
              <w:rPr>
                <w:rFonts w:ascii="仿宋_GB2312" w:hAnsi="仿宋_GB2312" w:cs="仿宋_GB2312" w:eastAsia="仿宋_GB2312"/>
                <w:sz w:val="28"/>
              </w:rPr>
              <w:t>本项目位于陕西省渭南市临渭区交斜镇。</w:t>
            </w:r>
          </w:p>
          <w:p>
            <w:pPr>
              <w:pStyle w:val="null3"/>
              <w:ind w:firstLine="560"/>
              <w:jc w:val="left"/>
            </w:pPr>
            <w:r>
              <w:rPr>
                <w:rFonts w:ascii="仿宋_GB2312" w:hAnsi="仿宋_GB2312" w:cs="仿宋_GB2312" w:eastAsia="仿宋_GB2312"/>
                <w:sz w:val="28"/>
              </w:rPr>
              <w:t>本项目建设规模及主要内容包括：本单体建筑总面积为</w:t>
            </w:r>
            <w:r>
              <w:rPr>
                <w:rFonts w:ascii="仿宋_GB2312" w:hAnsi="仿宋_GB2312" w:cs="仿宋_GB2312" w:eastAsia="仿宋_GB2312"/>
                <w:sz w:val="28"/>
              </w:rPr>
              <w:t>394.45m2,建筑基底面积:434.24m2。建筑高度为5.1m，建筑层数:地上一层。本施工图设计包括建筑、结构、给排水、电气专业的配套内容,含一般室内、外装修的构造设计。</w:t>
            </w:r>
          </w:p>
          <w:p>
            <w:pPr>
              <w:pStyle w:val="null3"/>
              <w:numPr>
                <w:ilvl w:val="0"/>
                <w:numId w:val="1"/>
              </w:numPr>
              <w:jc w:val="both"/>
            </w:pPr>
            <w:r>
              <w:rPr>
                <w:rFonts w:ascii="仿宋_GB2312" w:hAnsi="仿宋_GB2312" w:cs="仿宋_GB2312" w:eastAsia="仿宋_GB2312"/>
                <w:sz w:val="28"/>
                <w:b/>
              </w:rPr>
              <w:t>编制依据</w:t>
            </w:r>
          </w:p>
          <w:p>
            <w:pPr>
              <w:pStyle w:val="null3"/>
              <w:numPr>
                <w:ilvl w:val="0"/>
                <w:numId w:val="2"/>
              </w:numPr>
            </w:pPr>
            <w:r>
              <w:rPr>
                <w:rFonts w:ascii="仿宋_GB2312" w:hAnsi="仿宋_GB2312" w:cs="仿宋_GB2312" w:eastAsia="仿宋_GB2312"/>
                <w:sz w:val="28"/>
              </w:rPr>
              <w:t>渭南市临渭区交斜镇全民健身中心项目设计图纸及相关资料；</w:t>
            </w:r>
          </w:p>
          <w:p>
            <w:pPr>
              <w:pStyle w:val="null3"/>
              <w:numPr>
                <w:ilvl w:val="0"/>
                <w:numId w:val="2"/>
              </w:numPr>
            </w:pP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2025）》《陕西省通用安装工程消耗量定额（2025）》及配套计价、计算标准（2025 版）；</w:t>
            </w:r>
          </w:p>
          <w:p>
            <w:pPr>
              <w:pStyle w:val="null3"/>
              <w:numPr>
                <w:ilvl w:val="0"/>
                <w:numId w:val="2"/>
              </w:numPr>
            </w:pPr>
            <w:r>
              <w:rPr>
                <w:rFonts w:ascii="仿宋_GB2312" w:hAnsi="仿宋_GB2312" w:cs="仿宋_GB2312" w:eastAsia="仿宋_GB2312"/>
                <w:sz w:val="28"/>
              </w:rPr>
              <w:t>陕建管发〔</w:t>
            </w:r>
            <w:r>
              <w:rPr>
                <w:rFonts w:ascii="仿宋_GB2312" w:hAnsi="仿宋_GB2312" w:cs="仿宋_GB2312" w:eastAsia="仿宋_GB2312"/>
                <w:sz w:val="28"/>
              </w:rPr>
              <w:t>2025〕10 号《陕西省住房和城乡建设厅关于印发 2025 年陕西省建设工程费用规则等计价依据的通知》；</w:t>
            </w:r>
          </w:p>
          <w:p>
            <w:pPr>
              <w:pStyle w:val="null3"/>
              <w:numPr>
                <w:ilvl w:val="0"/>
                <w:numId w:val="2"/>
              </w:numPr>
            </w:pPr>
            <w:r>
              <w:rPr>
                <w:rFonts w:ascii="仿宋_GB2312" w:hAnsi="仿宋_GB2312" w:cs="仿宋_GB2312" w:eastAsia="仿宋_GB2312"/>
                <w:sz w:val="28"/>
              </w:rPr>
              <w:t>现行专业工程施工质量验收规范、标准、图集及技术文件，同时结合常规施工组织设计与施工工艺要求。</w:t>
            </w:r>
          </w:p>
          <w:p>
            <w:pPr>
              <w:pStyle w:val="null3"/>
              <w:jc w:val="left"/>
            </w:pPr>
            <w:r>
              <w:rPr>
                <w:rFonts w:ascii="仿宋_GB2312" w:hAnsi="仿宋_GB2312" w:cs="仿宋_GB2312" w:eastAsia="仿宋_GB2312"/>
                <w:sz w:val="28"/>
                <w:b/>
              </w:rPr>
              <w:t>三、其他部分</w:t>
            </w:r>
          </w:p>
          <w:p>
            <w:pPr>
              <w:pStyle w:val="null3"/>
              <w:ind w:firstLine="560"/>
            </w:pPr>
            <w:r>
              <w:rPr>
                <w:rFonts w:ascii="仿宋_GB2312" w:hAnsi="仿宋_GB2312" w:cs="仿宋_GB2312" w:eastAsia="仿宋_GB2312"/>
                <w:sz w:val="28"/>
              </w:rPr>
              <w:t>1．</w:t>
            </w:r>
            <w:r>
              <w:rPr>
                <w:rFonts w:ascii="仿宋_GB2312" w:hAnsi="仿宋_GB2312" w:cs="仿宋_GB2312" w:eastAsia="仿宋_GB2312"/>
                <w:sz w:val="28"/>
              </w:rPr>
              <w:t>该项目广联达版本为</w:t>
            </w:r>
            <w:r>
              <w:rPr>
                <w:rFonts w:ascii="仿宋_GB2312" w:hAnsi="仿宋_GB2312" w:cs="仿宋_GB2312" w:eastAsia="仿宋_GB2312"/>
                <w:sz w:val="28"/>
              </w:rPr>
              <w:t>7.5000.23.2。</w:t>
            </w:r>
          </w:p>
          <w:p>
            <w:pPr>
              <w:pStyle w:val="null3"/>
            </w:pPr>
            <w:r>
              <w:rPr>
                <w:rFonts w:ascii="仿宋_GB2312" w:hAnsi="仿宋_GB2312" w:cs="仿宋_GB2312" w:eastAsia="仿宋_GB2312"/>
                <w:sz w:val="28"/>
                <w:b/>
              </w:rPr>
              <w:t>四、工程量清单及电子招标书详见附件。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满足采购需求及工程量清单。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90日历天；2、工程地点：采购人指定地点；3、已标价工程量清单应按我省最新计划规范要求，在规定位置加盖供应商公章及供应商造价师加盖执业资格章并由造价师签字。（委托具有造价编制能力的咨询单位编制已标价工程量清单的，应按我省最新计价规范要求加盖造价编制单位公章，并且其编制单位造价人员或造价师加盖执业资格章及签字，同时已标价工程量清单封皮加盖投标单位公章，并附双方委托协议或委托书）。4、成交供应商在结果公告发布后向代理机构提供系统签章版纸质文件两套，文件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提供2025年5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含附表附注），（成立时间至开标时间不足一年的可提供成立后任意时段的资产负债表）或磋商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供应商需具有建设行政主管部门颁发的建筑工程施工总承包三级及以上资质，具有有效的国家建设行政主管部门颁发的安全生产许可证。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项目经理须具备建筑工程专业二级及以上建造师资格,具有有效的安全生产考核合格证书（建安B证），且未担任其他在建工程项目的项目经理声明。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供应商及项目经理备案情况</w:t>
            </w:r>
          </w:p>
        </w:tc>
        <w:tc>
          <w:tcPr>
            <w:tcW w:type="dxa" w:w="3322"/>
          </w:tcPr>
          <w:p>
            <w:pPr>
              <w:pStyle w:val="null3"/>
            </w:pPr>
            <w:r>
              <w:rPr>
                <w:rFonts w:ascii="仿宋_GB2312" w:hAnsi="仿宋_GB2312" w:cs="仿宋_GB2312" w:eastAsia="仿宋_GB2312"/>
              </w:rPr>
              <w:t>陕西省建筑市场监管与诚信信息发布平台：供应商及项目经理基本信息在“陕西省建筑市场监管与诚信信息发布平台”可查询。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商务要求响应表.docx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已标价工程量清单 中小企业声明函 报价函 标的清单 商务要求响应表.docx 供应商资格证明文件.docx 响应函 项目人员配置.docx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施工部署方案</w:t>
            </w:r>
          </w:p>
        </w:tc>
        <w:tc>
          <w:tcPr>
            <w:tcW w:type="dxa" w:w="2492"/>
          </w:tcPr>
          <w:p>
            <w:pPr>
              <w:pStyle w:val="null3"/>
            </w:pPr>
            <w:r>
              <w:rPr>
                <w:rFonts w:ascii="仿宋_GB2312" w:hAnsi="仿宋_GB2312" w:cs="仿宋_GB2312" w:eastAsia="仿宋_GB2312"/>
              </w:rPr>
              <w:t>一、评审内容： 针对本项目提供具体可行的施工部署方案，包括但不限于：①施工目标：安全目标、工期目标、质量目标；②资源配备计划：主要施工设备、劳动力等配备计划及主材进场计划。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8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一、评审内容： 针对本项目提供具体可行的施工措施，包括但不限于：①工程重难点及解决方案；②施工方法及工艺；③相关技术措施：施工质量通病防治措施、成品保护措施等；④应急措施：突发事件和安全事故等紧急情况的应急措施。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0.5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一、评审内容： 针对本项目提供具体可行的施工进度，包括但不限于：①施工计划安排：施工进度目标和施工总进度计划表；②进度保障措施：工期保证措施、特殊情况（夜间、雨季、高低温等其它情况）保证。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8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针对本项目提供具体可行的环境保护措施，包括但不限于：①环境保护管理体系；②环保控制措施：污染物及废弃物处理的排放、噪音控制、防尘及扬尘的控制措施。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 针对本项目提供具体可行的质量保证管理体系及相关措施，包括但不限于：①质量管理目标；②施工质量保障措施。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 针对本项目提供具体可行的安全管理体系与相关措施，包括但不限于：①安全管理体系：安全制度、安全责任划分，标识及安全装备配备、安全教育培训等；②文明施工：施工现场管理、材料及机具堆放、检查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一、评审内容： 针对本项目提供具体可行的保修承诺，包括但不限于：①保修措施及承诺：工程维修服务承诺、保修措施和响应时限；②应急维护：紧急情况抢修，发生质量问题后的补救措施。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人员配备：拟投入的项目管理机构人员结构合理、岗位职责明确，除项目经理外，项目管理机构配备（五大员）得5分，每少1人扣1分，扣完为止。在此基础上每增加1人加1人，最高加1分。本项最高得6分。 注：须提供人员相关证件，不提供得0分。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供应商提供2023年6月1日至今具有类似项目业绩；磋商文件中需附合同复印件并加盖公章，以合同签订时间为准。每提供1个得2分，满分6分。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1.满足磋商文件实质性要求且最终报价最低的供应商的价格为磋商基准价，其价格分为满分40分。 2.磋商报价得分=（磋商基准价/最终磋商报价）×40的公式计算得分。 3.磋商报价不完整的，不进入评标标准价的计算，本项得0分。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