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版本号：XBMH2026-063.2B120260515001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2026年竣工验收质量鉴定服务项目（土建项目）(二次)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XBMH2026-063.2B1</w:t>
      </w:r>
      <w:r>
        <w:br/>
      </w:r>
      <w:r>
        <w:br/>
      </w:r>
      <w:r>
        <w:br/>
      </w:r>
    </w:p>
    <w:p>
      <w:pPr>
        <w:pStyle w:val="null3"/>
        <w:jc w:val="center"/>
        <w:outlineLvl w:val="2"/>
      </w:pPr>
      <w:r>
        <w:rPr>
          <w:rFonts w:ascii="仿宋_GB2312" w:hAnsi="仿宋_GB2312" w:cs="仿宋_GB2312" w:eastAsia="仿宋_GB2312"/>
          <w:sz w:val="28"/>
          <w:b/>
        </w:rPr>
        <w:t>陕西省交通运输工程质量监测鉴定站</w:t>
      </w:r>
    </w:p>
    <w:p>
      <w:pPr>
        <w:pStyle w:val="null3"/>
        <w:jc w:val="center"/>
        <w:outlineLvl w:val="2"/>
      </w:pPr>
      <w:r>
        <w:rPr>
          <w:rFonts w:ascii="仿宋_GB2312" w:hAnsi="仿宋_GB2312" w:cs="仿宋_GB2312" w:eastAsia="仿宋_GB2312"/>
          <w:sz w:val="28"/>
          <w:b/>
        </w:rPr>
        <w:t>陕西西北民航工程咨询有限公司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陕西西北民航工程咨询有限公司</w:t>
      </w:r>
      <w:r>
        <w:rPr>
          <w:rFonts w:ascii="仿宋_GB2312" w:hAnsi="仿宋_GB2312" w:cs="仿宋_GB2312" w:eastAsia="仿宋_GB2312"/>
        </w:rPr>
        <w:t>（以下简称“代理机构”）受</w:t>
      </w:r>
      <w:r>
        <w:rPr>
          <w:rFonts w:ascii="仿宋_GB2312" w:hAnsi="仿宋_GB2312" w:cs="仿宋_GB2312" w:eastAsia="仿宋_GB2312"/>
        </w:rPr>
        <w:t>陕西省交通运输工程质量监测鉴定站</w:t>
      </w:r>
      <w:r>
        <w:rPr>
          <w:rFonts w:ascii="仿宋_GB2312" w:hAnsi="仿宋_GB2312" w:cs="仿宋_GB2312" w:eastAsia="仿宋_GB2312"/>
        </w:rPr>
        <w:t>委托，拟对</w:t>
      </w:r>
      <w:r>
        <w:rPr>
          <w:rFonts w:ascii="仿宋_GB2312" w:hAnsi="仿宋_GB2312" w:cs="仿宋_GB2312" w:eastAsia="仿宋_GB2312"/>
        </w:rPr>
        <w:t>2026年竣工验收质量鉴定服务项目（土建项目）(二次)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XBMH2026-063.2B1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2026年竣工验收质量鉴定服务项目（土建项目）(二次)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陕西省交通运输工程质量检测鉴定站2026年陕西省高速公路土建工程竣工验收检测，1批。 采购包1：竹林关至山阳高速公路土建工程竣工验收检测； 具体内容详见第三章。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采购包1（竹林关至山阳高速公路）：属于专门面向中小企业采购。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1、主体资格证明文件：供应商合法注册的法人或其他组织的营业执照等证明文件或自然人的身份证明。</w:t>
      </w:r>
    </w:p>
    <w:p>
      <w:pPr>
        <w:pStyle w:val="null3"/>
      </w:pPr>
      <w:r>
        <w:rPr>
          <w:rFonts w:ascii="仿宋_GB2312" w:hAnsi="仿宋_GB2312" w:cs="仿宋_GB2312" w:eastAsia="仿宋_GB2312"/>
        </w:rPr>
        <w:t>2、财务状况报告：提供具有经审计资质单位出具的2024年度财务报告或供应商开标日前6个月内基本存款账户银行出具的资信证明（附基本存款账户开户许可证或加盖银行章的基本存款账户信息）。</w:t>
      </w:r>
    </w:p>
    <w:p>
      <w:pPr>
        <w:pStyle w:val="null3"/>
      </w:pPr>
      <w:r>
        <w:rPr>
          <w:rFonts w:ascii="仿宋_GB2312" w:hAnsi="仿宋_GB2312" w:cs="仿宋_GB2312" w:eastAsia="仿宋_GB2312"/>
        </w:rPr>
        <w:t>3、依法缴纳税收和社会保障资金：提供开标截止时间前6个月内任意时段已缴纳的纳税证明或完税证明和已缴存的社会保障资金缴费证明或参保证明。</w:t>
      </w:r>
    </w:p>
    <w:p>
      <w:pPr>
        <w:pStyle w:val="null3"/>
      </w:pPr>
      <w:r>
        <w:rPr>
          <w:rFonts w:ascii="仿宋_GB2312" w:hAnsi="仿宋_GB2312" w:cs="仿宋_GB2312" w:eastAsia="仿宋_GB2312"/>
        </w:rPr>
        <w:t>4、具有履行本合同所必需的设备和专业技术能力的书面声明：提供具有履行本合同所必需的设备和专业技术能力的书面声明。</w:t>
      </w:r>
    </w:p>
    <w:p>
      <w:pPr>
        <w:pStyle w:val="null3"/>
      </w:pPr>
      <w:r>
        <w:rPr>
          <w:rFonts w:ascii="仿宋_GB2312" w:hAnsi="仿宋_GB2312" w:cs="仿宋_GB2312" w:eastAsia="仿宋_GB2312"/>
        </w:rPr>
        <w:t>5、无重大违法记录的书面声明：提供参加政府采购活动前3年内在经营活动中没有重大违法记录的书面声明。</w:t>
      </w:r>
    </w:p>
    <w:p>
      <w:pPr>
        <w:pStyle w:val="null3"/>
      </w:pPr>
      <w:r>
        <w:rPr>
          <w:rFonts w:ascii="仿宋_GB2312" w:hAnsi="仿宋_GB2312" w:cs="仿宋_GB2312" w:eastAsia="仿宋_GB2312"/>
        </w:rPr>
        <w:t>6、法定代表人身份证明或法定代表人授权委托书：法定代表人直接参加投标的，须提供法定代表人身份证明（法人身份证原件备查）；法定代表人授权代表参加投标的，须提供法定代表人授权委托书（授权代表身份证原件备查）。</w:t>
      </w:r>
    </w:p>
    <w:p>
      <w:pPr>
        <w:pStyle w:val="null3"/>
      </w:pPr>
      <w:r>
        <w:rPr>
          <w:rFonts w:ascii="仿宋_GB2312" w:hAnsi="仿宋_GB2312" w:cs="仿宋_GB2312" w:eastAsia="仿宋_GB2312"/>
        </w:rPr>
        <w:t>7、供应商关联关系声明：供应商关联关系声明，包括：①控股管理关系（不得与采购人、项目法人单位、采购代理机构或参加本项目的其他供应商单位负责人为同一人或者存在直接控股、管理关系）；②未为本项目提供整体设计、规范编制（双院制咨询审查单位）或者项目管理、监理、检测等服务；③不得为本合同包各项目的投资人、项目法人单位；④不得为合同包的采购代理机构。</w:t>
      </w:r>
    </w:p>
    <w:p>
      <w:pPr>
        <w:pStyle w:val="null3"/>
      </w:pPr>
      <w:r>
        <w:rPr>
          <w:rFonts w:ascii="仿宋_GB2312" w:hAnsi="仿宋_GB2312" w:cs="仿宋_GB2312" w:eastAsia="仿宋_GB2312"/>
        </w:rPr>
        <w:t>8、供应商信用信息查询：①未被列入“信用中国”网站（www.creditchina.gov.cn/）中“失信被执行人”和“重大税收违法失信主体”当事人名单；②不处于中国政府采购网。（www.ccgp.gov.cn/)“政府采购严重违法失信行为记录名单”中的禁止参加政府采购活动期间；③未被“全国公路建设市场信用信息管理系统”（https://glxy.mot.gov.cn/）列入“不良行为记录”；④未被列入国家企业信用信息公示系统（www.gsxt.gov.cn/）列入“严重违法失信名单”；⑤供应商或其法定代表人、拟委派的项目负责人在近三年内未有行贿犯罪行为的（以中国裁判文书网查询结果为准）。</w:t>
      </w:r>
    </w:p>
    <w:p>
      <w:pPr>
        <w:pStyle w:val="null3"/>
      </w:pPr>
      <w:r>
        <w:rPr>
          <w:rFonts w:ascii="仿宋_GB2312" w:hAnsi="仿宋_GB2312" w:cs="仿宋_GB2312" w:eastAsia="仿宋_GB2312"/>
        </w:rPr>
        <w:t>9、投标供应商资质：具备公路工程甲级资质证书或公路工程综合甲级等级证书。</w:t>
      </w:r>
    </w:p>
    <w:p>
      <w:pPr>
        <w:pStyle w:val="null3"/>
      </w:pPr>
      <w:r>
        <w:rPr>
          <w:rFonts w:ascii="仿宋_GB2312" w:hAnsi="仿宋_GB2312" w:cs="仿宋_GB2312" w:eastAsia="仿宋_GB2312"/>
        </w:rPr>
        <w:t>10、项目负责人：具有相关专业高级或以上技术职称；持有交通运输部颁发的试验检测工程师证书；担任过新建或改扩建高速公路项目土建工程交工验收或竣工验收质量检测服务项目的项目负责人。</w:t>
      </w:r>
    </w:p>
    <w:p>
      <w:pPr>
        <w:pStyle w:val="null3"/>
      </w:pPr>
      <w:r>
        <w:rPr>
          <w:rFonts w:ascii="仿宋_GB2312" w:hAnsi="仿宋_GB2312" w:cs="仿宋_GB2312" w:eastAsia="仿宋_GB2312"/>
        </w:rPr>
        <w:t>11、技术负责人：具有相关专业高级或以上技术职称；持有交通运输部颁发的试验检测工程师证书（应满足道路工程、桥梁隧道工程、交通工程三项中任意两项）；担任过新建或改扩建高速公路项目土建工程交工验收或竣工验收质量检测服务项目的技术负责人。</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陕西省交通运输工程质量监测鉴定站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陕西省西安市唐延路6号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吕老师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029-88869241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陕西西北民航工程咨询有限公司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陕西省西安市高新区唐延路3号唐延国际中心AB座8层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佘冰霞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029-88347987-8046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采购包1：1,250,872.00元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代理服务费收费标准：招标代理服务费以中标（成交）投标人的中标（成交）金额为基数，参照《国家发改委文件发改价格〔2011〕534 号文件》及《国家计委价格〔2002〕1980 号文件》规定标准×80%收取，不足5000元的按5000元收取。 银行户名：陕西西北民航工程咨询有限公司 开户行名称：中国建设银行股份有限公司西安高新科技支行 行 号：105791011313 账 号：61001925700052502533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踏勘时间：2026-05-28 10:00:00</w:t>
            </w:r>
          </w:p>
          <w:p>
            <w:pPr>
              <w:pStyle w:val="null3"/>
              <w:ind w:firstLine="975"/>
            </w:pPr>
            <w:r>
              <w:rPr>
                <w:rFonts w:ascii="仿宋_GB2312" w:hAnsi="仿宋_GB2312" w:cs="仿宋_GB2312" w:eastAsia="仿宋_GB2312"/>
              </w:rPr>
              <w:t>踏勘地点：因本项目情况复杂，供应商如需进行考察现场请联系代理机构，如因未参加现场考察，导致本项目在后期实施过程中产生的不良后果，由供应商自行承担 。</w:t>
            </w:r>
          </w:p>
          <w:p>
            <w:pPr>
              <w:pStyle w:val="null3"/>
              <w:ind w:firstLine="975"/>
            </w:pPr>
            <w:r>
              <w:rPr>
                <w:rFonts w:ascii="仿宋_GB2312" w:hAnsi="仿宋_GB2312" w:cs="仿宋_GB2312" w:eastAsia="仿宋_GB2312"/>
              </w:rPr>
              <w:t>联系人：佘冰霞</w:t>
            </w:r>
          </w:p>
          <w:p>
            <w:pPr>
              <w:pStyle w:val="null3"/>
              <w:ind w:firstLine="975"/>
            </w:pPr>
            <w:r>
              <w:rPr>
                <w:rFonts w:ascii="仿宋_GB2312" w:hAnsi="仿宋_GB2312" w:cs="仿宋_GB2312" w:eastAsia="仿宋_GB2312"/>
              </w:rPr>
              <w:t>联系电话号码：029-88347987-8046</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陕西省交通运输工程质量监测鉴定站</w:t>
      </w:r>
      <w:r>
        <w:rPr>
          <w:rFonts w:ascii="仿宋_GB2312" w:hAnsi="仿宋_GB2312" w:cs="仿宋_GB2312" w:eastAsia="仿宋_GB2312"/>
        </w:rPr>
        <w:t>和</w:t>
      </w:r>
      <w:r>
        <w:rPr>
          <w:rFonts w:ascii="仿宋_GB2312" w:hAnsi="仿宋_GB2312" w:cs="仿宋_GB2312" w:eastAsia="仿宋_GB2312"/>
        </w:rPr>
        <w:t>陕西西北民航工程咨询有限公司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陕西省交通运输工程质量监测鉴定站</w:t>
      </w:r>
      <w:r>
        <w:rPr>
          <w:rFonts w:ascii="仿宋_GB2312" w:hAnsi="仿宋_GB2312" w:cs="仿宋_GB2312" w:eastAsia="仿宋_GB2312"/>
        </w:rPr>
        <w:t>负责解释。除上述招标文件内容，其他内容由</w:t>
      </w:r>
      <w:r>
        <w:rPr>
          <w:rFonts w:ascii="仿宋_GB2312" w:hAnsi="仿宋_GB2312" w:cs="仿宋_GB2312" w:eastAsia="仿宋_GB2312"/>
        </w:rPr>
        <w:t>陕西西北民航工程咨询有限公司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陕西省交通运输工程质量监测鉴定站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陕西西北民航工程咨询有限公司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按照招标文件要求及合同约定执行。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陕西西北民航工程咨询有限公司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陕西西北民航工程咨询有限公司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陕西西北民航工程咨询有限公司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联系人：佘冰霞</w:t>
      </w:r>
    </w:p>
    <w:p>
      <w:pPr>
        <w:pStyle w:val="null3"/>
      </w:pPr>
      <w:r>
        <w:rPr>
          <w:rFonts w:ascii="仿宋_GB2312" w:hAnsi="仿宋_GB2312" w:cs="仿宋_GB2312" w:eastAsia="仿宋_GB2312"/>
        </w:rPr>
        <w:t>联系电话：029-88347987-8046</w:t>
      </w:r>
    </w:p>
    <w:p>
      <w:pPr>
        <w:pStyle w:val="null3"/>
      </w:pPr>
      <w:r>
        <w:rPr>
          <w:rFonts w:ascii="仿宋_GB2312" w:hAnsi="仿宋_GB2312" w:cs="仿宋_GB2312" w:eastAsia="仿宋_GB2312"/>
        </w:rPr>
        <w:t>地址：陕西省西安市唐延路3号唐延国际中心AB区8楼</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陕西省交通运输工程质量检测鉴定站2026年陕西省高速公路土建工程竣工验收检测，1批。 采购包1：竹林关至山阳高速公路土建工程竣工验收检测；  具体内容详见第三章。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1,250,872.00</w:t>
      </w:r>
    </w:p>
    <w:p>
      <w:pPr>
        <w:pStyle w:val="null3"/>
      </w:pPr>
      <w:r>
        <w:rPr>
          <w:rFonts w:ascii="仿宋_GB2312" w:hAnsi="仿宋_GB2312" w:cs="仿宋_GB2312" w:eastAsia="仿宋_GB2312"/>
        </w:rPr>
        <w:t>采购包最高限价（元）: 1,250,872.00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2包竹林关至山阳高速公路竣工验收质量鉴定服务项目（土建工程）</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1,250,872.00</w:t>
            </w:r>
          </w:p>
        </w:tc>
        <w:tc>
          <w:tcPr>
            <w:tcW w:type="dxa" w:w="831"/>
          </w:tcPr>
          <w:p>
            <w:pPr>
              <w:pStyle w:val="null3"/>
            </w:pPr>
            <w:r>
              <w:rPr>
                <w:rFonts w:ascii="仿宋_GB2312" w:hAnsi="仿宋_GB2312" w:cs="仿宋_GB2312" w:eastAsia="仿宋_GB2312"/>
              </w:rPr>
              <w:t>批次</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标的名称：2包竹林关至山阳高速公路竣工验收质量鉴定服务项目（土建工程）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b/>
              </w:rPr>
              <w:t>项目概况：</w:t>
            </w:r>
            <w:r>
              <w:rPr>
                <w:rFonts w:ascii="仿宋_GB2312" w:hAnsi="仿宋_GB2312" w:cs="仿宋_GB2312" w:eastAsia="仿宋_GB2312"/>
                <w:sz w:val="20"/>
              </w:rPr>
              <w:t>丹凤竹林至山阳高速公路是陕西省高速公路网规划的</w:t>
            </w:r>
            <w:r>
              <w:rPr>
                <w:rFonts w:ascii="仿宋_GB2312" w:hAnsi="仿宋_GB2312" w:cs="仿宋_GB2312" w:eastAsia="仿宋_GB2312"/>
                <w:sz w:val="20"/>
              </w:rPr>
              <w:t>18条联络线丹（凤）宁（陕）线的重要组成部分。项目和在建洛卢高速将共同组网，形成以商洛为中心，东西贯通陕豫两省，南北联接渭南、安康两市的区域高速经济圈，对强化区域经济技术交流和产业发展，构筑区域经济发展新格局，实现陕南社会经济高质量发展具有显著意义。</w:t>
            </w:r>
          </w:p>
          <w:p>
            <w:pPr>
              <w:pStyle w:val="null3"/>
              <w:ind w:firstLine="400"/>
              <w:jc w:val="both"/>
            </w:pPr>
            <w:r>
              <w:rPr>
                <w:rFonts w:ascii="仿宋_GB2312" w:hAnsi="仿宋_GB2312" w:cs="仿宋_GB2312" w:eastAsia="仿宋_GB2312"/>
                <w:sz w:val="20"/>
              </w:rPr>
              <w:t>路线东起丹凤县竹林关镇接</w:t>
            </w:r>
            <w:r>
              <w:rPr>
                <w:rFonts w:ascii="仿宋_GB2312" w:hAnsi="仿宋_GB2312" w:cs="仿宋_GB2312" w:eastAsia="仿宋_GB2312"/>
                <w:sz w:val="20"/>
              </w:rPr>
              <w:t>G40沪陕高速，西至山阳县高坝店镇接G70福银高速，全长38.542公里，设计时速100公里，双向四车道，路基宽度26米。合同建设工期36个月，采用PPP模式实施，运营期30年，概算总投资约61.396亿元，其中建筑安装费约49.525亿元，土地使用及征迁补偿费约3.7亿元。初步设计概算批复金额为61.396亿元，施工图预算上报金额为61.388亿元。路基桥隧工程施工单位已于2021年6月份进场，全线设置总监办3个、中心试验室1个、施工总包部2个、路桥隧主体工程施工标段3个、附属工程施工标段2个，计划2023年底建成通车。</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color w:val="000000"/>
              </w:rPr>
              <w:t>人员要求：所有</w:t>
            </w:r>
            <w:r>
              <w:rPr>
                <w:rFonts w:ascii="仿宋_GB2312" w:hAnsi="仿宋_GB2312" w:cs="仿宋_GB2312" w:eastAsia="仿宋_GB2312"/>
                <w:sz w:val="21"/>
                <w:color w:val="000000"/>
              </w:rPr>
              <w:t>项目组团队人员</w:t>
            </w:r>
            <w:r>
              <w:rPr>
                <w:rFonts w:ascii="仿宋_GB2312" w:hAnsi="仿宋_GB2312" w:cs="仿宋_GB2312" w:eastAsia="仿宋_GB2312"/>
                <w:sz w:val="21"/>
                <w:color w:val="000000"/>
              </w:rPr>
              <w:t>均须在</w:t>
            </w:r>
            <w:r>
              <w:rPr>
                <w:rFonts w:ascii="仿宋_GB2312" w:hAnsi="仿宋_GB2312" w:cs="仿宋_GB2312" w:eastAsia="仿宋_GB2312"/>
                <w:sz w:val="21"/>
                <w:color w:val="000000"/>
              </w:rPr>
              <w:t>1965年1月1日后出生；项目负责人和技术负责人所持有的资格证书专业应覆盖道路工程、桥梁隧道工程、交通工程。</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自合同签订之日起至检测完成之日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服务期满经甲方验收合格后，确定项目完成</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合同生效且乙方进场开展工作后10日，经双方协商甲方视工作开展具体情况向乙方支付合同金额，支付时乙方应提供正式发票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按照招标文件要求及合同约定执行。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保障政府采购电子化交易平台项目实施，供应商需要在线提交所有通过电子化交易平台实施的政府采购项目的响应文件，同时，成交单位在领取中标通知书时线下提交响应文件正本壹套、副本壹套、电子版贰套（U盘贰套标明供应商名称，单独密封）。且提供的响应文件纸质版与电子版必须与在陕西省政府采购综合管理平台项目电子化交易系统上提交的电子响应文件内容一致，若电子化响应文件与纸质响应文件不一致的，以电子化响应文件为准。线下递交文件地点：陕西省西安市唐延路3号唐延国际中心AB区8楼。 （2）如投标文件中融资相关内容与新政策要求有出入，按照最新要求执行。 （3）关于公路水运工程试验检测师证书说明：新版证书专业为道路工程、桥梁隧道工程、交通工程；旧版证书专业为材料、公路、桥梁、隧道、交通安全设施、机电工程， 其中新版道路工程专业等同于旧版公路、材料 2 个专业，新版桥梁隧道工程等同于旧版桥梁、隧道 2 个专业，新版交通工程专业等同于旧版交通安全设施、机电工程 2 个专业。 满足要求的旧版公路工程试验检测资格证书视为有效。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供应商合法注册的法人或其他组织的营业执照等证明文件或自然人的身份证明。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提供具有经审计资质单位出具的2024年度财务报告或供应商开标日前6个月内基本存款账户银行出具的资信证明（附基本存款账户开户许可证或加盖银行章的基本存款账户信息）。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依法缴纳税收和社会保障资金</w:t>
            </w:r>
          </w:p>
        </w:tc>
        <w:tc>
          <w:tcPr>
            <w:tcW w:type="dxa" w:w="3322"/>
          </w:tcPr>
          <w:p>
            <w:pPr>
              <w:pStyle w:val="null3"/>
            </w:pPr>
            <w:r>
              <w:rPr>
                <w:rFonts w:ascii="仿宋_GB2312" w:hAnsi="仿宋_GB2312" w:cs="仿宋_GB2312" w:eastAsia="仿宋_GB2312"/>
              </w:rPr>
              <w:t>提供开标截止时间前6个月内任意时段已缴纳的纳税证明或完税证明和已缴存的社会保障资金缴费证明或参保证明。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具有履行本合同所必需的设备和专业技术能力的书面声明</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法定代表人直接参加投标的，须提供法定代表人身份证明（法人身份证原件备查）；法定代表人授权代表参加投标的，须提供法定代表人授权委托书（授权代表身份证原件备查）。</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供应商关联关系声明</w:t>
            </w:r>
          </w:p>
        </w:tc>
        <w:tc>
          <w:tcPr>
            <w:tcW w:type="dxa" w:w="3322"/>
          </w:tcPr>
          <w:p>
            <w:pPr>
              <w:pStyle w:val="null3"/>
            </w:pPr>
            <w:r>
              <w:rPr>
                <w:rFonts w:ascii="仿宋_GB2312" w:hAnsi="仿宋_GB2312" w:cs="仿宋_GB2312" w:eastAsia="仿宋_GB2312"/>
              </w:rPr>
              <w:t>供应商关联关系声明，包括：①控股管理关系（不得与采购人、项目法人单位、采购代理机构或参加本项目的其他供应商单位负责人为同一人或者存在直接控股、管理关系）；②未为本项目提供整体设计、规范编制（双院制咨询审查单位）或者项目管理、监理、检测等服务；③不得为本合同包各项目的投资人、项目法人单位；④不得为合同包的采购代理机构。</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供应商信用信息查询</w:t>
            </w:r>
          </w:p>
        </w:tc>
        <w:tc>
          <w:tcPr>
            <w:tcW w:type="dxa" w:w="3322"/>
          </w:tcPr>
          <w:p>
            <w:pPr>
              <w:pStyle w:val="null3"/>
            </w:pPr>
            <w:r>
              <w:rPr>
                <w:rFonts w:ascii="仿宋_GB2312" w:hAnsi="仿宋_GB2312" w:cs="仿宋_GB2312" w:eastAsia="仿宋_GB2312"/>
              </w:rPr>
              <w:t>①未被列入“信用中国”网站（www.creditchina.gov.cn/）中“失信被执行人”和“重大税收违法失信主体”当事人名单；②不处于中国政府采购网。（www.ccgp.gov.cn/)“政府采购严重违法失信行为记录名单”中的禁止参加政府采购活动期间；③未被“全国公路建设市场信用信息管理系统”（https://glxy.mot.gov.cn/）列入“不良行为记录”；④未被列入国家企业信用信息公示系统（www.gsxt.gov.cn/）列入“严重违法失信名单”；⑤供应商或其法定代表人、拟委派的项目负责人在近三年内未有行贿犯罪行为的（以中国裁判文书网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投标供应商资质</w:t>
            </w:r>
          </w:p>
        </w:tc>
        <w:tc>
          <w:tcPr>
            <w:tcW w:type="dxa" w:w="3322"/>
          </w:tcPr>
          <w:p>
            <w:pPr>
              <w:pStyle w:val="null3"/>
            </w:pPr>
            <w:r>
              <w:rPr>
                <w:rFonts w:ascii="仿宋_GB2312" w:hAnsi="仿宋_GB2312" w:cs="仿宋_GB2312" w:eastAsia="仿宋_GB2312"/>
              </w:rPr>
              <w:t>具备公路工程甲级资质证书或公路工程综合甲级等级证书。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具有相关专业高级或以上技术职称；持有交通运输部颁发的试验检测工程师证书；担任过新建或改扩建高速公路项目土建工程交工验收或竣工验收质量检测服务项目的项目负责人。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技术负责人</w:t>
            </w:r>
          </w:p>
        </w:tc>
        <w:tc>
          <w:tcPr>
            <w:tcW w:type="dxa" w:w="3322"/>
          </w:tcPr>
          <w:p>
            <w:pPr>
              <w:pStyle w:val="null3"/>
            </w:pPr>
            <w:r>
              <w:rPr>
                <w:rFonts w:ascii="仿宋_GB2312" w:hAnsi="仿宋_GB2312" w:cs="仿宋_GB2312" w:eastAsia="仿宋_GB2312"/>
              </w:rPr>
              <w:t>具有相关专业高级或以上技术职称；持有交通运输部颁发的试验检测工程师证书（应满足道路工程、桥梁隧道工程、交通工程三项中任意两项）；担任过新建或改扩建高速公路项目土建工程交工验收或竣工验收质量检测服务项目的技术负责人。</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政府采购供应商拒绝政府采购领域商业贿赂承诺书.docx 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有下列情形之一的，应在符合性审查时按照无效投标处理： (1）投标文件未按照招标文件规定要求签署、盖章的； (2）不满足本招标文件中“服务期限、服务地点、采购资金的支付方式及约定”的实质性条款要求的； (3）文件有效期不足的或无有效期的； (4）法律法规和招标文件规定的其他无效情形。</w:t>
            </w:r>
          </w:p>
        </w:tc>
        <w:tc>
          <w:tcPr>
            <w:tcW w:type="dxa" w:w="1661"/>
          </w:tcPr>
          <w:p>
            <w:pPr>
              <w:pStyle w:val="null3"/>
            </w:pPr>
            <w:r>
              <w:rPr>
                <w:rFonts w:ascii="仿宋_GB2312" w:hAnsi="仿宋_GB2312" w:cs="仿宋_GB2312" w:eastAsia="仿宋_GB2312"/>
              </w:rPr>
              <w:t>商务应答表 标的清单 投标文件封面 费用组成明细表-2包.docx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每增加1个近5年（2021年至今），新建或改扩建高速公路项目土建工程交工验收或竣工验收质量检测服务项目业绩得3分，最高得9分。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人员.docx</w:t>
            </w:r>
          </w:p>
        </w:tc>
      </w:tr>
      <w:tr>
        <w:tc>
          <w:tcPr>
            <w:tcW w:type="dxa" w:w="831"/>
            <w:vMerge/>
          </w:tcPr>
          <w:p/>
        </w:tc>
        <w:tc>
          <w:tcPr>
            <w:tcW w:type="dxa" w:w="1661"/>
          </w:tcPr>
          <w:p>
            <w:pPr>
              <w:pStyle w:val="null3"/>
            </w:pPr>
            <w:r>
              <w:rPr>
                <w:rFonts w:ascii="仿宋_GB2312" w:hAnsi="仿宋_GB2312" w:cs="仿宋_GB2312" w:eastAsia="仿宋_GB2312"/>
              </w:rPr>
              <w:t>技术负责人</w:t>
            </w:r>
          </w:p>
        </w:tc>
        <w:tc>
          <w:tcPr>
            <w:tcW w:type="dxa" w:w="2492"/>
          </w:tcPr>
          <w:p>
            <w:pPr>
              <w:pStyle w:val="null3"/>
            </w:pPr>
            <w:r>
              <w:rPr>
                <w:rFonts w:ascii="仿宋_GB2312" w:hAnsi="仿宋_GB2312" w:cs="仿宋_GB2312" w:eastAsia="仿宋_GB2312"/>
              </w:rPr>
              <w:t>每增加1个近5年（2021年至今），新建或改扩建高速公路项目土建工程交工验收或竣工验收质量检测服务项目业绩得3分，最高得9分。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人员.docx</w:t>
            </w:r>
          </w:p>
        </w:tc>
      </w:tr>
      <w:tr>
        <w:tc>
          <w:tcPr>
            <w:tcW w:type="dxa" w:w="831"/>
            <w:vMerge/>
          </w:tcPr>
          <w:p/>
        </w:tc>
        <w:tc>
          <w:tcPr>
            <w:tcW w:type="dxa" w:w="1661"/>
          </w:tcPr>
          <w:p>
            <w:pPr>
              <w:pStyle w:val="null3"/>
            </w:pPr>
            <w:r>
              <w:rPr>
                <w:rFonts w:ascii="仿宋_GB2312" w:hAnsi="仿宋_GB2312" w:cs="仿宋_GB2312" w:eastAsia="仿宋_GB2312"/>
              </w:rPr>
              <w:t>其他人员</w:t>
            </w:r>
          </w:p>
        </w:tc>
        <w:tc>
          <w:tcPr>
            <w:tcW w:type="dxa" w:w="2492"/>
          </w:tcPr>
          <w:p>
            <w:pPr>
              <w:pStyle w:val="null3"/>
            </w:pPr>
            <w:r>
              <w:rPr>
                <w:rFonts w:ascii="仿宋_GB2312" w:hAnsi="仿宋_GB2312" w:cs="仿宋_GB2312" w:eastAsia="仿宋_GB2312"/>
              </w:rPr>
              <w:t>参加本项目的检测工程师每人得1分，检测员每名得0.5分 ，最多得10分。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人员.docx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每提供1个近5年（2021年至今），独立完成过新建或改扩建高速公路项目土建工程交工验收、交工验收核验或竣工验收前质量检测服务的工作业绩得3分，业绩中含长度≥3000m隧道的土建工程质量检测工作得4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竣工验收质量鉴定服务总体计划</w:t>
            </w:r>
          </w:p>
        </w:tc>
        <w:tc>
          <w:tcPr>
            <w:tcW w:type="dxa" w:w="2492"/>
          </w:tcPr>
          <w:p>
            <w:pPr>
              <w:pStyle w:val="null3"/>
            </w:pPr>
            <w:r>
              <w:rPr>
                <w:rFonts w:ascii="仿宋_GB2312" w:hAnsi="仿宋_GB2312" w:cs="仿宋_GB2312" w:eastAsia="仿宋_GB2312"/>
              </w:rPr>
              <w:t>工作部署及时间安排清楚、详细，考虑周全完整、切实可行，完全满足项目实施需求的得（5-7]分； 工作计划安排比较合理、详细，具有可行性得（3-5]分； 工作安排计划欠缺，方案措施存在部分漏项或缺陷得（0-3]分；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竣工验收质量鉴定服务组织机构及管理措施</w:t>
            </w:r>
          </w:p>
        </w:tc>
        <w:tc>
          <w:tcPr>
            <w:tcW w:type="dxa" w:w="2492"/>
          </w:tcPr>
          <w:p>
            <w:pPr>
              <w:pStyle w:val="null3"/>
            </w:pPr>
            <w:r>
              <w:rPr>
                <w:rFonts w:ascii="仿宋_GB2312" w:hAnsi="仿宋_GB2312" w:cs="仿宋_GB2312" w:eastAsia="仿宋_GB2312"/>
              </w:rPr>
              <w:t>竣工验收质量鉴定服务组织机构及管理措施0-7分： 把握准确，提供的对策措施详细，可行性强得（5-7]分； 基本理解各专业工程技术咨询的特点，把握比较准确，有较为具体可行的对策措施得（3-5]分； 对项目特点理解不到位，具体情况把握不明确，对应的措施方案可行性差或存在缺陷得（0-3]分；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竣工验收质量鉴定服务目标、基本思路、方法和流程</w:t>
            </w:r>
          </w:p>
        </w:tc>
        <w:tc>
          <w:tcPr>
            <w:tcW w:type="dxa" w:w="2492"/>
          </w:tcPr>
          <w:p>
            <w:pPr>
              <w:pStyle w:val="null3"/>
            </w:pPr>
            <w:r>
              <w:rPr>
                <w:rFonts w:ascii="仿宋_GB2312" w:hAnsi="仿宋_GB2312" w:cs="仿宋_GB2312" w:eastAsia="仿宋_GB2312"/>
              </w:rPr>
              <w:t>竣工验收质量鉴定服务目标、基本思路、方法和流程0-7分： 总体思路表达清晰、严谨、合理，思路科学合理先进的得（5-7]分；思路表述比较清晰，不够严谨，思路比较科学合理的得（3-5]分； 思路内容混乱，计划理念差的得（0-3]分；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本工程竣工验收质量鉴定实施方案与技术措施</w:t>
            </w:r>
          </w:p>
        </w:tc>
        <w:tc>
          <w:tcPr>
            <w:tcW w:type="dxa" w:w="2492"/>
          </w:tcPr>
          <w:p>
            <w:pPr>
              <w:pStyle w:val="null3"/>
            </w:pPr>
            <w:r>
              <w:rPr>
                <w:rFonts w:ascii="仿宋_GB2312" w:hAnsi="仿宋_GB2312" w:cs="仿宋_GB2312" w:eastAsia="仿宋_GB2312"/>
              </w:rPr>
              <w:t>本工程竣工验收质量鉴定实施方案与技术措施0-7分： 把握准确，提供的对策措施详细，可行性强得（5-7]分； 基本理解各专业工程技术咨询的特点，把握比较准确，有较为具体可行的对策措施得（3-5]分； 对项目特点理解不到位，具体情况把握不明确，对应的措施方案可行性差或存在缺陷得（0-3]分；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竣工验收质量鉴定服务进度、质量、安全保证措施</w:t>
            </w:r>
          </w:p>
        </w:tc>
        <w:tc>
          <w:tcPr>
            <w:tcW w:type="dxa" w:w="2492"/>
          </w:tcPr>
          <w:p>
            <w:pPr>
              <w:pStyle w:val="null3"/>
            </w:pPr>
            <w:r>
              <w:rPr>
                <w:rFonts w:ascii="仿宋_GB2312" w:hAnsi="仿宋_GB2312" w:cs="仿宋_GB2312" w:eastAsia="仿宋_GB2312"/>
              </w:rPr>
              <w:t>竣工验收质量鉴定服务进度、质量、安全保证措施0-8分： 把握准确，提供的对策措施详细，可行性强得（6-8]分； 基本理解各专业工程技术咨询的特点，把握比较准确，有较为具体可行的对策措施得（3-6]分； 对项目特点理解不到位，具体情况把握不明确，对应的措施方案可行性差或存在缺陷得（0-3]分；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与采购人、施工、监理各方的配合、协调工作与措施</w:t>
            </w:r>
          </w:p>
        </w:tc>
        <w:tc>
          <w:tcPr>
            <w:tcW w:type="dxa" w:w="2492"/>
          </w:tcPr>
          <w:p>
            <w:pPr>
              <w:pStyle w:val="null3"/>
            </w:pPr>
            <w:r>
              <w:rPr>
                <w:rFonts w:ascii="仿宋_GB2312" w:hAnsi="仿宋_GB2312" w:cs="仿宋_GB2312" w:eastAsia="仿宋_GB2312"/>
              </w:rPr>
              <w:t>与采购人、施工、监理各方的配合、协调工作与措施0-8分： 把握准确，提供的对策措施详细，可行性强得（6-8]分； 基本理解各各方工工作配合的特点，把握比较准确，有较为具体可行的对策措施得（3-6]分； 对项目特点理解不到位，具体情况把握不明确，对应的措施方案可行性差或存在缺陷得（0-3]分；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本工程竣工验收质量鉴定服务工作重点、难点分析</w:t>
            </w:r>
          </w:p>
        </w:tc>
        <w:tc>
          <w:tcPr>
            <w:tcW w:type="dxa" w:w="2492"/>
          </w:tcPr>
          <w:p>
            <w:pPr>
              <w:pStyle w:val="null3"/>
            </w:pPr>
            <w:r>
              <w:rPr>
                <w:rFonts w:ascii="仿宋_GB2312" w:hAnsi="仿宋_GB2312" w:cs="仿宋_GB2312" w:eastAsia="仿宋_GB2312"/>
              </w:rPr>
              <w:t>工程竣工验收质量鉴定服务工作重点、难点分析0-8分： 重点、难点及关键技术问题分析全面、准确，措施具体，针对性强，对策措施有效、可行得（6-8]分； 重点、难点及关键技术问题分析比较全面、较准确，措施较具体，针对性较强，对策措施较有效、可行得（3-6]分； 重难点及关键技术问题分析不够全面，措施可行性差的得（0-3]分；未提供不得分。 注：评审标准中“（、）”表示不包含此整数、“[、]”表示包含此整数。</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投标方案说明及其他.docx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评标基准价=各投标供应商有效报价的最低值，投标报价等于评标基准价时得满分 报价得分=（评审基准价/投标报价）×价格权值（10%）×100%； 1、投标报价不完整的，不进入评标标准价的计算，本项得0分。 总计与分项计价合计不符的，以分项计价合计为准；总价小写与大写不符的，以大写为准。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详见附件：费用组成明细表-2包.docx</w:t>
      </w:r>
    </w:p>
    <w:p>
      <w:pPr>
        <w:pStyle w:val="null3"/>
        <w:ind w:firstLine="960"/>
      </w:pPr>
      <w:r>
        <w:rPr>
          <w:rFonts w:ascii="仿宋_GB2312" w:hAnsi="仿宋_GB2312" w:cs="仿宋_GB2312" w:eastAsia="仿宋_GB2312"/>
        </w:rPr>
        <w:t>详见附件：人员.docx</w:t>
      </w:r>
    </w:p>
    <w:p>
      <w:pPr>
        <w:pStyle w:val="null3"/>
        <w:ind w:firstLine="960"/>
      </w:pPr>
      <w:r>
        <w:rPr>
          <w:rFonts w:ascii="仿宋_GB2312" w:hAnsi="仿宋_GB2312" w:cs="仿宋_GB2312" w:eastAsia="仿宋_GB2312"/>
        </w:rPr>
        <w:t>详见附件：投标方案说明及其他.docx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详见附件：合同文本 (1).docx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