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版本号：ZX2026-05-6620260604001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研究级正置荧光显微镜采购项目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ZX2026-05-66</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研究级正置荧光显微镜采购项目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研究级正置荧光显微镜采购项目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本项目拟采购正置荧光显微镜1套，用于古生物化石，现生微生物，组织切片等样品的明场和荧光观察，实现高精度显微成像与定量分析。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进口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马演 曹婷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采购包1保证金金额：5,056.60元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说明：1.合同签订前缴纳，缴纳金额为合同金额的5%， 缴纳方式：银行转账、支票/汇票/本票、保函/保险 。 2.转账账号：西北大学；611301015018001145006；交通银行西安学府大街支行。转账金额到账后，可持银行回执到西北大学国有资产管理处换取收据。待合同执行完毕、项目验收合格后凭验收单和缴款收据，合同履约保证金予以退还。 3.除不可抗力原因外，如遇下列情况之一者，采购人有权不予退还投标人所缴纳的合同履约保证金，作为对采购人的赔偿： （1）合同签订后不能按合同时限要求供货或安装调试； （2）所供货物不合格、与合同不符； （3）不能按合同履约； （4）货物验收不合格。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本项目拟采购正置荧光显微镜1套，用于古生物化石，现生微生物，组织切片等样品的明场和荧光观察，实现高精度显微成像与定量分析。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研究级正置荧光显微镜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标的名称：研究级正置荧光显微镜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本项目拟采购正置荧光显微镜（核心产品），1套，已通过采购进口产品论证及备案，允许采购进口产品。</w:t>
            </w:r>
          </w:p>
          <w:p>
            <w:pPr>
              <w:pStyle w:val="null3"/>
            </w:pPr>
            <w:r>
              <w:rPr>
                <w:rFonts w:ascii="仿宋_GB2312" w:hAnsi="仿宋_GB2312" w:cs="仿宋_GB2312" w:eastAsia="仿宋_GB2312"/>
              </w:rPr>
              <w:t>1.光学系统：无限远光学系统，齐焦距离≥45mm</w:t>
            </w:r>
          </w:p>
          <w:p>
            <w:pPr>
              <w:pStyle w:val="null3"/>
            </w:pPr>
            <w:r>
              <w:rPr>
                <w:rFonts w:ascii="仿宋_GB2312" w:hAnsi="仿宋_GB2312" w:cs="仿宋_GB2312" w:eastAsia="仿宋_GB2312"/>
              </w:rPr>
              <w:t>2.观察方式：支持明场、暗场、DIC(微分干涉)、荧光功能</w:t>
            </w:r>
          </w:p>
          <w:p>
            <w:pPr>
              <w:pStyle w:val="null3"/>
            </w:pPr>
            <w:r>
              <w:rPr>
                <w:rFonts w:ascii="仿宋_GB2312" w:hAnsi="仿宋_GB2312" w:cs="仿宋_GB2312" w:eastAsia="仿宋_GB2312"/>
              </w:rPr>
              <w:t>3.LCD显示屏显示物镜、电动孔径光阑和电动视场光阑以及电动聚光镜，可随时观察显微镜状态</w:t>
            </w:r>
          </w:p>
          <w:p>
            <w:pPr>
              <w:pStyle w:val="null3"/>
            </w:pPr>
            <w:r>
              <w:rPr>
                <w:rFonts w:ascii="仿宋_GB2312" w:hAnsi="仿宋_GB2312" w:cs="仿宋_GB2312" w:eastAsia="仿宋_GB2312"/>
              </w:rPr>
              <w:t>▲4.6孔编码物镜转换器（带检偏器插槽）</w:t>
            </w:r>
          </w:p>
          <w:p>
            <w:pPr>
              <w:pStyle w:val="null3"/>
            </w:pPr>
            <w:r>
              <w:rPr>
                <w:rFonts w:ascii="仿宋_GB2312" w:hAnsi="仿宋_GB2312" w:cs="仿宋_GB2312" w:eastAsia="仿宋_GB2312"/>
              </w:rPr>
              <w:t>5.载物台：陶瓷覆盖层载物台，配置样品夹</w:t>
            </w:r>
          </w:p>
          <w:p>
            <w:pPr>
              <w:pStyle w:val="null3"/>
            </w:pPr>
            <w:r>
              <w:rPr>
                <w:rFonts w:ascii="仿宋_GB2312" w:hAnsi="仿宋_GB2312" w:cs="仿宋_GB2312" w:eastAsia="仿宋_GB2312"/>
              </w:rPr>
              <w:t>★6.调焦机构：高精度Z轴控制，调焦范围不低于25mm，步进精度≤3.8nm</w:t>
            </w:r>
          </w:p>
          <w:p>
            <w:pPr>
              <w:pStyle w:val="null3"/>
            </w:pPr>
            <w:r>
              <w:rPr>
                <w:rFonts w:ascii="仿宋_GB2312" w:hAnsi="仿宋_GB2312" w:cs="仿宋_GB2312" w:eastAsia="仿宋_GB2312"/>
              </w:rPr>
              <w:t>7.透射照明：白光LED光源</w:t>
            </w:r>
          </w:p>
          <w:p>
            <w:pPr>
              <w:pStyle w:val="null3"/>
            </w:pPr>
            <w:r>
              <w:rPr>
                <w:rFonts w:ascii="仿宋_GB2312" w:hAnsi="仿宋_GB2312" w:cs="仿宋_GB2312" w:eastAsia="仿宋_GB2312"/>
              </w:rPr>
              <w:t>8.光强变化时：色温恒定≥3000K</w:t>
            </w:r>
          </w:p>
          <w:p>
            <w:pPr>
              <w:pStyle w:val="null3"/>
            </w:pPr>
            <w:r>
              <w:rPr>
                <w:rFonts w:ascii="仿宋_GB2312" w:hAnsi="仿宋_GB2312" w:cs="仿宋_GB2312" w:eastAsia="仿宋_GB2312"/>
              </w:rPr>
              <w:t>▲9.机身内置液晶显示屏，可实时查看显微镜工作状态，包括：当前物镜倍数、总放大倍数、物镜类型（干镜/水镜/油镜）、光强数值、光圈数值、焦距等参数</w:t>
            </w:r>
          </w:p>
          <w:p>
            <w:pPr>
              <w:pStyle w:val="null3"/>
            </w:pPr>
            <w:r>
              <w:rPr>
                <w:rFonts w:ascii="仿宋_GB2312" w:hAnsi="仿宋_GB2312" w:cs="仿宋_GB2312" w:eastAsia="仿宋_GB2312"/>
              </w:rPr>
              <w:t>10.光强管理：具有自动记忆和设置每个物镜的光强度级别的功能</w:t>
            </w:r>
          </w:p>
          <w:p>
            <w:pPr>
              <w:pStyle w:val="null3"/>
            </w:pPr>
            <w:r>
              <w:rPr>
                <w:rFonts w:ascii="仿宋_GB2312" w:hAnsi="仿宋_GB2312" w:cs="仿宋_GB2312" w:eastAsia="仿宋_GB2312"/>
              </w:rPr>
              <w:t>11.目镜：10X，视野数22mm，具备双屈光度调节</w:t>
            </w:r>
          </w:p>
          <w:p>
            <w:pPr>
              <w:pStyle w:val="null3"/>
            </w:pPr>
            <w:r>
              <w:rPr>
                <w:rFonts w:ascii="仿宋_GB2312" w:hAnsi="仿宋_GB2312" w:cs="仿宋_GB2312" w:eastAsia="仿宋_GB2312"/>
              </w:rPr>
              <w:t>★12.物镜：2.5X平场消色差物镜N.A.≥0.07；5X平场消色差物镜N.A.≥0.12；10X平场半复消色差物镜N.A.≥0.3；20X平场半复消色差物镜N.A.≥0.50；40X平场半复消色差物镜N.A.≥0.8；63X平场APO复消色差物镜OIL，数值孔径可调</w:t>
            </w:r>
          </w:p>
          <w:p>
            <w:pPr>
              <w:pStyle w:val="null3"/>
            </w:pPr>
            <w:r>
              <w:rPr>
                <w:rFonts w:ascii="仿宋_GB2312" w:hAnsi="仿宋_GB2312" w:cs="仿宋_GB2312" w:eastAsia="仿宋_GB2312"/>
              </w:rPr>
              <w:t>13.荧光块：带通型DAPI，TRITC，FITC滤片组</w:t>
            </w:r>
          </w:p>
          <w:p>
            <w:pPr>
              <w:pStyle w:val="null3"/>
            </w:pPr>
            <w:r>
              <w:rPr>
                <w:rFonts w:ascii="仿宋_GB2312" w:hAnsi="仿宋_GB2312" w:cs="仿宋_GB2312" w:eastAsia="仿宋_GB2312"/>
              </w:rPr>
              <w:t>14.荧光光源：金属卤素灯或LED型荧光光源</w:t>
            </w:r>
          </w:p>
          <w:p>
            <w:pPr>
              <w:pStyle w:val="null3"/>
            </w:pPr>
            <w:r>
              <w:rPr>
                <w:rFonts w:ascii="仿宋_GB2312" w:hAnsi="仿宋_GB2312" w:cs="仿宋_GB2312" w:eastAsia="仿宋_GB2312"/>
              </w:rPr>
              <w:t>▲15.目镜筒：三目镜筒（双路分光比（100:0/50:50/0:100），可同时接双相机，分别用于明场拍照和荧光拍照</w:t>
            </w:r>
          </w:p>
          <w:p>
            <w:pPr>
              <w:pStyle w:val="null3"/>
            </w:pPr>
            <w:r>
              <w:rPr>
                <w:rFonts w:ascii="仿宋_GB2312" w:hAnsi="仿宋_GB2312" w:cs="仿宋_GB2312" w:eastAsia="仿宋_GB2312"/>
              </w:rPr>
              <w:t>▲16.聚光器：数值孔径 ≥0.9；具有电动光阑系统</w:t>
            </w:r>
          </w:p>
          <w:p>
            <w:pPr>
              <w:pStyle w:val="null3"/>
            </w:pPr>
            <w:r>
              <w:rPr>
                <w:rFonts w:ascii="仿宋_GB2312" w:hAnsi="仿宋_GB2312" w:cs="仿宋_GB2312" w:eastAsia="仿宋_GB2312"/>
              </w:rPr>
              <w:t>17.电动荧光转盘：≥4孔位</w:t>
            </w:r>
          </w:p>
          <w:p>
            <w:pPr>
              <w:pStyle w:val="null3"/>
            </w:pPr>
            <w:r>
              <w:rPr>
                <w:rFonts w:ascii="仿宋_GB2312" w:hAnsi="仿宋_GB2312" w:cs="仿宋_GB2312" w:eastAsia="仿宋_GB2312"/>
              </w:rPr>
              <w:t>▲18.成像系统：双相机，测量软件自动识别相机和显微镜倍数，完成标尺自动匹配；①彩色模式:像素：≥2000万物理像素，像素点: 5472像素X3648像素；②单色模式:像素：≥600万物理像素；满阱容量；14000e-，动态范围≥70dB</w:t>
            </w:r>
          </w:p>
          <w:p>
            <w:pPr>
              <w:pStyle w:val="null3"/>
            </w:pPr>
            <w:r>
              <w:rPr>
                <w:rFonts w:ascii="仿宋_GB2312" w:hAnsi="仿宋_GB2312" w:cs="仿宋_GB2312" w:eastAsia="仿宋_GB2312"/>
              </w:rPr>
              <w:t>19.相机接口：C接口</w:t>
            </w:r>
          </w:p>
          <w:p>
            <w:pPr>
              <w:pStyle w:val="null3"/>
            </w:pPr>
            <w:r>
              <w:rPr>
                <w:rFonts w:ascii="仿宋_GB2312" w:hAnsi="仿宋_GB2312" w:cs="仿宋_GB2312" w:eastAsia="仿宋_GB2312"/>
              </w:rPr>
              <w:t>▲20.软件：具有图像拼接、多通道荧光叠加及明场与荧光叠加的功能；标配图像测量分析模块。图像增强包含：背景扣除与校正，支持手动 / 自动对比度优化（等效对比、伽玛校正、阈值调整）、边缘增强、自动生成反转图像；内置多款常规滤镜，支持自定义滤镜算法与专用边缘增强滤镜；可自动标尺标定，灵活调整图像亮度与对比度</w:t>
            </w:r>
          </w:p>
          <w:p>
            <w:pPr>
              <w:pStyle w:val="null3"/>
            </w:pPr>
            <w:r>
              <w:rPr>
                <w:rFonts w:ascii="仿宋_GB2312" w:hAnsi="仿宋_GB2312" w:cs="仿宋_GB2312" w:eastAsia="仿宋_GB2312"/>
              </w:rPr>
              <w:t>21.数据采集与处理系统：主频≥2.5GHz,内存≥16G，硬盘≥1T，显存≥2GB，显示器≥27英寸。</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自合同签订之日起60天内到货，15 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西北大学太白校区地质系指定地点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口货物：合同生效后，由采购人通过进出口业务代理公司向中标人开出100%信用证，待货物到货、安装调试、并经学校组织验收合格后，由采购人通知进出口业务代理公司向中标人解付。国产货物：合同生效后，待货物到达指定地点、安装调试验收合格后，一次性付清合同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1、质保期：自学校验收合格之日起 1年。每半年提供一次上门巡检服务，并出具巡检报告（费用包含在本项目报价中，后续不再收费）2、售后服务效率：即时响应（包括电话响应）；电话响应无法解决时， 24 小时内到达现场。修复时间 48 小时内；如 48 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人需要在线提交所有通过电子化交易平台实施的政府采购项目的投标文件，同时，线下提交投标文件正本壹份、副本贰份并密封。若电子投标文件与纸质投标文件不一致的，以电子投标文件为准。线下递交文件时间：详见本项目招标公告文件截止时间；线下递交文件地点：西安市莲湖区环城西路南段元晟合中心6层。 3.5.2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 3.5.3售后服务标准①培训服务：供应商需为采购人提供不少于3人次的现场操作及维护培训。培训内容包括：设备的基本操作、日常维护、常见故障排除及安全管理等，直至采购方人员能够独立熟练操作为止。 ②售后服务：质保期：自项目验收合格签字之日起，提供为期1年的质量保修服务；每半年提供一次上门巡检服务，并出具巡检报告（费用包含在本项目报价中，后续不再收费）。3.5.4投标报价表中标明本次货物、服务的所有单项价格和总价，任何有选择的报价将不予接受，否则按无效投标处理。 3.5.5①国产设备报价：投标总报价是指指货物到达西北大学指定地点、完成验收后的价格，其中已包含货物价格、包装运杂费（含保险）、工程费、安装调试费及相关费用等。②进口设备报价：投标报价是指到达使用地点、验收合格达到正常使用条件前的所有费用，包括但不限于以下费用：货物价值、安装调试费、国内外运杂费（含保险）、仓储保管费、技术培训费、检测费、施工费、人工费、进口业务相关费用（按合同金额的0.68%收取。包括外贸代理公司进口业务代理费、国内外银行手续费、报关费、商检费等）及进口货物按国家政策征收的一切税费（按国家政策规定甲方可以享受的免税部分除外）等，以招标文件的内容和要求作为投标依据； 进口产品按人民币报价，此报价不受市场价格及外汇汇率波动影响。采购人及招标代理机构不接受任何未办理合法进口手续的非国内生产产品的投标报价。 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国产设备报价：投标总报价是指设备到达使用地点、验收合格达到正常使用条件前的所有费用，包括但不限于以下费用：货物价值、安装调试费、国内外运杂费（含保险）、仓储保管费、技术培训费、检测费、施工费、人工费等及按国家政策征收的一切税费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进口授权</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无其他不符合法律、规章、规范性文件和招标文件规定的</w:t>
            </w:r>
          </w:p>
        </w:tc>
        <w:tc>
          <w:tcPr>
            <w:tcW w:type="dxa" w:w="1661"/>
          </w:tcPr>
          <w:p>
            <w:pPr>
              <w:pStyle w:val="null3"/>
            </w:pPr>
            <w:r>
              <w:rPr>
                <w:rFonts w:ascii="仿宋_GB2312" w:hAnsi="仿宋_GB2312" w:cs="仿宋_GB2312" w:eastAsia="仿宋_GB2312"/>
              </w:rPr>
              <w:t>5技术响应与偏离表.docx 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基本分：所投产品技术参数完全符合、响应招标文件3.3技术参数与性能指标要求，没有负偏离计37.5分。 1、技术参数中标“★”项（共2项）为实质性要求，不满足或未提供佐证材料或佐证材料无法佐证，按无效文件处理； 2、技术参数中标“▲”项（共6项）满分18分，负偏离一项扣3分； 3、技术参数中非“★”项和非“▲”项（共13项）满分19.5分，负偏离一项扣1.5分； 加分项：技术参数中标“★”、“▲”项参数性能优于招标文件要求，具有实际使用价值的提升，经评标委员会一致认定每项可加分，满分9.5分。 1、标“★”项参数技术指标和性能优于招标文件要求，每项加1.75分，满分3.5分； 2、标“▲”项参数技术指标和性能优于招标文件要求，每项加1分，满分6分。 备注： 1.标“★”、“▲”项参数须提供佐证材料（佐证材料不限于产品彩页、官网截图、第三方检测报告等），未提供佐证材料视为负偏离。 2.所有优于参数须提供佐证材料（佐证材料不限于产品彩页、官网截图、第三方检测报告等），否则不予加分。</w:t>
            </w:r>
          </w:p>
        </w:tc>
        <w:tc>
          <w:tcPr>
            <w:tcW w:type="dxa" w:w="831"/>
          </w:tcPr>
          <w:p>
            <w:pPr>
              <w:pStyle w:val="null3"/>
              <w:jc w:val="right"/>
            </w:pPr>
            <w:r>
              <w:rPr>
                <w:rFonts w:ascii="仿宋_GB2312" w:hAnsi="仿宋_GB2312" w:cs="仿宋_GB2312" w:eastAsia="仿宋_GB2312"/>
              </w:rPr>
              <w:t>47.0000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投标人针对本项目提供完整的项目实施方案。内容包含：①供货组织安排、进度安排及保障措施②安装调试验收方案。 二、评审标准 1、完整性：方案须全面，对评审内容中的各项要求描述详细； 2、可实施性：切合本项目实际情况，实施步骤清晰、合理； 3、针对性：方案能够紧扣项目实际情况，内容科学合理。 三、赋分依据（满分3分） ①供货组织安排、进度安排及保障措施：每完全满足一个评审标准得0.5分，满分1.5分；未提供不得分； ②安装调试验收方案：每完全满足一个评审标准得0.5分，满分1.5分；未提供不得分。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投标人根据项目实际需求，提供质量保证方案。内容包含①产品性能、产品使用寿命及效果②质量保证措施。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三、赋分依据（满分3分） ①产品性能、产品使用寿命及效果：每完全满足一个评审标准得0.5分，满分1.5分；未提供不得分；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针对本项目具有可行的技术培训方案。包括①培训计划（含培训计划表、地点、时间及培训对象人数等）②培训内容设计安排（含设备的基本操作、日常维护、常见故障排除及安全管理等）。 二、评审标准 1、完整性：方案须全面，对评审内容中的各项要求描述详细； 2、可实施性：切合本项目实际情况，实施步骤清晰、合理； 3、针对性：方案能够紧扣项目实际情况，内容科学合理。 三、赋分依据（满分3分） ①培训计划：每完全满足一个评审标准得0.5分，满分1.5分；未提供不得分； ②培训内容设计安排：每完全满足一个评审标准得0.5分，满分1.5分；未提供不得分。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投标人根据项目实际需求提供售后服务方案。内容包含：①本地化服务能力、售后服务流程、服务方式②应急处理方案、常规仪器保养和维护的日程安排及措施。 二、评审标准 1、完整性：方案须全面，对评审内容中的各项要求有详细描述； 2、可实施性：切合本项目实际情况，提出步骤清晰、合理的方案； 3、针对性：方案能够紧扣项目实际情况，内容科学合理。 三、赋分依据（满分3分） ①本地化服务能力、售后服务流程、服务方式：每完全满足一个评审标准得0.5分，满分1.5分；未提供不得分； ②应急处理方案、常规仪器保养和维护的日程安排及措施：每完全满足一个评审标准得0.5分，满分1.5分；未提供不得分。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合同签订日期为准）至今同类项目业绩。业绩须提供合同扫描件，必须清晰体现签约主体和日期、合同名称及内容核心要素，否则不计为有效业绩。每提供1个有效业绩得1分，最高得5分。 备注：1.投标文件中提供合同扫描件加盖公章。2.同类项目是指采购内容包含本项目采购产品。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价格分统一采用低价优先法计算，即满足招标文件要求且投标价格最低的投标报价为评标基准价，其价格分为满分。其他投标人的价格分统一按照下列公式计算：投标报价得分=(评标基准价／投标报价)×35。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小型和微型企业的价格给予10%的扣除，用扣除后的价格参与评审;如果一个货物项目或包含有多个采购标的，只有当供应商提供的每个标的均由小微企业制造，才能享受10%的价格扣除政策。如果供应商提供的货物既有中型企业制造货物，也有小微企业制造货物的，不享受价格扣除相关政策。2.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详见附件：西北大学购货合同模板.docx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