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132A84">
      <w:pPr>
        <w:spacing w:line="240" w:lineRule="auto"/>
        <w:jc w:val="center"/>
        <w:rPr>
          <w:sz w:val="52"/>
          <w:szCs w:val="52"/>
        </w:rPr>
      </w:pPr>
    </w:p>
    <w:p w14:paraId="6E5F2F51">
      <w:pPr>
        <w:pStyle w:val="5"/>
      </w:pPr>
    </w:p>
    <w:p w14:paraId="1F728BE7">
      <w:pPr>
        <w:spacing w:line="240" w:lineRule="auto"/>
        <w:jc w:val="center"/>
        <w:rPr>
          <w:sz w:val="52"/>
          <w:szCs w:val="52"/>
        </w:rPr>
      </w:pPr>
      <w:r>
        <w:rPr>
          <w:rFonts w:hint="eastAsia"/>
          <w:sz w:val="52"/>
          <w:szCs w:val="52"/>
        </w:rPr>
        <w:t>延安市公共资源交易中心           （延安市市直单位政府采购中心）</w:t>
      </w:r>
    </w:p>
    <w:p w14:paraId="501C5C0D">
      <w:pPr>
        <w:spacing w:line="240" w:lineRule="auto"/>
        <w:jc w:val="center"/>
        <w:rPr>
          <w:rFonts w:ascii="黑体" w:hAnsi="黑体" w:eastAsia="宋体" w:cs="黑体"/>
          <w:bCs/>
          <w:sz w:val="96"/>
          <w:szCs w:val="96"/>
        </w:rPr>
      </w:pPr>
      <w:r>
        <w:rPr>
          <w:rFonts w:hint="eastAsia" w:ascii="宋体" w:hAnsi="宋体" w:eastAsia="宋体" w:cs="宋体"/>
          <w:b/>
          <w:kern w:val="0"/>
          <w:sz w:val="96"/>
          <w:szCs w:val="96"/>
        </w:rPr>
        <w:t>竞争性磋商文件</w:t>
      </w:r>
    </w:p>
    <w:p w14:paraId="11588FB4">
      <w:pPr>
        <w:spacing w:line="240" w:lineRule="auto"/>
        <w:jc w:val="center"/>
        <w:rPr>
          <w:sz w:val="36"/>
          <w:szCs w:val="36"/>
        </w:rPr>
      </w:pPr>
      <w:r>
        <w:rPr>
          <w:rFonts w:hint="eastAsia"/>
          <w:sz w:val="36"/>
          <w:szCs w:val="36"/>
        </w:rPr>
        <w:t>（专门面向</w:t>
      </w:r>
      <w:r>
        <w:rPr>
          <w:rFonts w:hint="eastAsia"/>
          <w:sz w:val="36"/>
          <w:szCs w:val="36"/>
          <w:lang w:val="en-US" w:eastAsia="zh-CN"/>
        </w:rPr>
        <w:t>小微</w:t>
      </w:r>
      <w:r>
        <w:rPr>
          <w:rFonts w:hint="eastAsia"/>
          <w:sz w:val="36"/>
          <w:szCs w:val="36"/>
        </w:rPr>
        <w:t>企业项目）</w:t>
      </w:r>
    </w:p>
    <w:p w14:paraId="6AFA4DC2">
      <w:pPr>
        <w:spacing w:line="240" w:lineRule="auto"/>
        <w:jc w:val="center"/>
        <w:rPr>
          <w:sz w:val="36"/>
          <w:szCs w:val="36"/>
        </w:rPr>
      </w:pPr>
    </w:p>
    <w:p w14:paraId="681641A7">
      <w:pPr>
        <w:pStyle w:val="25"/>
        <w:ind w:firstLine="0" w:firstLineChars="0"/>
        <w:rPr>
          <w:sz w:val="36"/>
          <w:szCs w:val="36"/>
        </w:rPr>
      </w:pPr>
    </w:p>
    <w:p w14:paraId="5682E988">
      <w:pPr>
        <w:pStyle w:val="25"/>
        <w:spacing w:line="240" w:lineRule="auto"/>
        <w:ind w:right="424" w:rightChars="150" w:firstLine="727"/>
        <w:rPr>
          <w:sz w:val="36"/>
          <w:szCs w:val="36"/>
        </w:rPr>
      </w:pPr>
    </w:p>
    <w:p w14:paraId="40706043">
      <w:pPr>
        <w:spacing w:line="240" w:lineRule="auto"/>
        <w:ind w:left="2539" w:leftChars="256" w:right="707" w:rightChars="250" w:hanging="1815" w:hangingChars="500"/>
        <w:jc w:val="left"/>
        <w:rPr>
          <w:rFonts w:hint="eastAsia" w:eastAsia="华文仿宋"/>
          <w:b/>
          <w:bCs/>
          <w:spacing w:val="-11"/>
          <w:sz w:val="36"/>
          <w:szCs w:val="36"/>
          <w:lang w:eastAsia="zh-CN"/>
        </w:rPr>
      </w:pPr>
      <w:r>
        <w:rPr>
          <w:rFonts w:hint="eastAsia"/>
          <w:b/>
          <w:bCs/>
          <w:sz w:val="36"/>
          <w:szCs w:val="36"/>
        </w:rPr>
        <w:t>项目名称：</w:t>
      </w:r>
      <w:r>
        <w:rPr>
          <w:rFonts w:hint="eastAsia"/>
          <w:b/>
          <w:bCs/>
          <w:spacing w:val="-11"/>
          <w:sz w:val="36"/>
          <w:szCs w:val="36"/>
          <w:lang w:eastAsia="zh-CN"/>
        </w:rPr>
        <w:t>延安市自然资源局-市本级集体建设用地调查和基准地价更新</w:t>
      </w:r>
    </w:p>
    <w:p w14:paraId="6A523C12">
      <w:pPr>
        <w:spacing w:line="240" w:lineRule="auto"/>
        <w:ind w:left="2539" w:leftChars="256" w:right="707" w:rightChars="250" w:hanging="1815" w:hangingChars="500"/>
        <w:rPr>
          <w:rFonts w:hint="eastAsia" w:eastAsia="华文仿宋"/>
          <w:b/>
          <w:bCs/>
          <w:sz w:val="36"/>
          <w:szCs w:val="36"/>
          <w:lang w:eastAsia="zh-CN"/>
        </w:rPr>
      </w:pPr>
      <w:r>
        <w:rPr>
          <w:rFonts w:hint="eastAsia"/>
          <w:b/>
          <w:bCs/>
          <w:sz w:val="36"/>
          <w:szCs w:val="36"/>
        </w:rPr>
        <w:t>编</w:t>
      </w:r>
      <w:r>
        <w:rPr>
          <w:rFonts w:hint="eastAsia"/>
          <w:b/>
          <w:bCs/>
          <w:sz w:val="36"/>
          <w:szCs w:val="36"/>
          <w:lang w:val="en-US" w:eastAsia="zh-CN"/>
        </w:rPr>
        <w:t xml:space="preserve">    </w:t>
      </w:r>
      <w:r>
        <w:rPr>
          <w:rFonts w:hint="eastAsia"/>
          <w:b/>
          <w:bCs/>
          <w:sz w:val="36"/>
          <w:szCs w:val="36"/>
        </w:rPr>
        <w:t>号：</w:t>
      </w:r>
      <w:r>
        <w:rPr>
          <w:rFonts w:hint="eastAsia" w:ascii="仿宋" w:hAnsi="仿宋" w:eastAsia="仿宋" w:cs="仿宋"/>
          <w:b/>
          <w:bCs/>
          <w:sz w:val="36"/>
          <w:szCs w:val="36"/>
          <w:lang w:eastAsia="zh-CN"/>
        </w:rPr>
        <w:t>YAZCJC2026-21</w:t>
      </w:r>
    </w:p>
    <w:p w14:paraId="50C71329">
      <w:pPr>
        <w:spacing w:line="240" w:lineRule="auto"/>
        <w:ind w:right="707" w:rightChars="250" w:firstLine="726" w:firstLineChars="200"/>
        <w:jc w:val="left"/>
        <w:rPr>
          <w:b/>
          <w:bCs/>
          <w:sz w:val="36"/>
          <w:szCs w:val="36"/>
        </w:rPr>
      </w:pPr>
      <w:r>
        <w:rPr>
          <w:rFonts w:hint="eastAsia"/>
          <w:b/>
          <w:bCs/>
          <w:sz w:val="36"/>
          <w:szCs w:val="36"/>
        </w:rPr>
        <w:t xml:space="preserve">采 购 人：延安市自然资源局 </w:t>
      </w:r>
    </w:p>
    <w:p w14:paraId="661BFBBD">
      <w:pPr>
        <w:spacing w:line="240" w:lineRule="auto"/>
        <w:ind w:left="3628" w:leftChars="256" w:right="707" w:rightChars="250" w:hanging="2904" w:hangingChars="800"/>
        <w:rPr>
          <w:b/>
          <w:bCs/>
          <w:sz w:val="36"/>
          <w:szCs w:val="36"/>
        </w:rPr>
      </w:pPr>
      <w:r>
        <w:rPr>
          <w:rFonts w:hint="eastAsia"/>
          <w:b/>
          <w:bCs/>
          <w:sz w:val="36"/>
          <w:szCs w:val="36"/>
        </w:rPr>
        <w:t xml:space="preserve">采购代理机构：延安市公共资源交易中心  </w:t>
      </w:r>
    </w:p>
    <w:p w14:paraId="4706F176">
      <w:pPr>
        <w:spacing w:line="240" w:lineRule="auto"/>
        <w:ind w:left="3624" w:leftChars="896" w:right="707" w:rightChars="250" w:hanging="1089" w:hangingChars="300"/>
        <w:rPr>
          <w:sz w:val="36"/>
          <w:szCs w:val="36"/>
        </w:rPr>
      </w:pPr>
      <w:r>
        <w:rPr>
          <w:rFonts w:hint="eastAsia"/>
          <w:b/>
          <w:bCs/>
          <w:sz w:val="36"/>
          <w:szCs w:val="36"/>
        </w:rPr>
        <w:t xml:space="preserve">（延安市市直单位政府采购中心）  </w:t>
      </w:r>
    </w:p>
    <w:p w14:paraId="3231D18E">
      <w:pPr>
        <w:spacing w:line="240" w:lineRule="auto"/>
        <w:rPr>
          <w:sz w:val="36"/>
          <w:szCs w:val="36"/>
        </w:rPr>
      </w:pPr>
    </w:p>
    <w:p w14:paraId="11A7C17A">
      <w:pPr>
        <w:spacing w:line="240" w:lineRule="auto"/>
        <w:jc w:val="center"/>
        <w:rPr>
          <w:rFonts w:ascii="黑体" w:hAnsi="黑体" w:eastAsia="黑体"/>
          <w:sz w:val="44"/>
          <w:szCs w:val="44"/>
        </w:rPr>
      </w:pPr>
      <w:r>
        <w:rPr>
          <w:rFonts w:hint="eastAsia" w:ascii="仿宋" w:hAnsi="仿宋" w:eastAsia="仿宋" w:cs="仿宋"/>
          <w:b/>
          <w:bCs/>
          <w:sz w:val="36"/>
          <w:szCs w:val="36"/>
        </w:rPr>
        <w:t>2026年</w:t>
      </w:r>
      <w:r>
        <w:rPr>
          <w:rFonts w:hint="eastAsia" w:ascii="仿宋" w:hAnsi="仿宋" w:eastAsia="仿宋" w:cs="仿宋"/>
          <w:b/>
          <w:bCs/>
          <w:sz w:val="36"/>
          <w:szCs w:val="36"/>
          <w:lang w:val="en-US" w:eastAsia="zh-CN"/>
        </w:rPr>
        <w:t>7</w:t>
      </w:r>
      <w:r>
        <w:rPr>
          <w:rFonts w:hint="eastAsia" w:ascii="仿宋" w:hAnsi="仿宋" w:eastAsia="仿宋" w:cs="仿宋"/>
          <w:b/>
          <w:bCs/>
          <w:sz w:val="36"/>
          <w:szCs w:val="36"/>
        </w:rPr>
        <w:t>月</w:t>
      </w:r>
      <w:r>
        <w:rPr>
          <w:rFonts w:hint="eastAsia" w:ascii="仿宋" w:hAnsi="仿宋" w:eastAsia="仿宋" w:cs="仿宋"/>
          <w:b/>
          <w:bCs/>
          <w:sz w:val="36"/>
          <w:szCs w:val="36"/>
          <w:lang w:val="en-US" w:eastAsia="zh-CN"/>
        </w:rPr>
        <w:t>10</w:t>
      </w:r>
      <w:r>
        <w:rPr>
          <w:rFonts w:hint="eastAsia" w:ascii="仿宋" w:hAnsi="仿宋" w:eastAsia="仿宋" w:cs="仿宋"/>
          <w:b/>
          <w:bCs/>
          <w:sz w:val="36"/>
          <w:szCs w:val="36"/>
        </w:rPr>
        <w:t>日</w:t>
      </w:r>
      <w:bookmarkStart w:id="0" w:name="_Toc30340_WPSOffice_Level1"/>
      <w:bookmarkStart w:id="1" w:name="_Toc10222_WPSOffice_Level1"/>
      <w:bookmarkStart w:id="2" w:name="_Toc30102_WPSOffice_Level1"/>
    </w:p>
    <w:p w14:paraId="514999EB">
      <w:pPr>
        <w:pStyle w:val="14"/>
        <w:tabs>
          <w:tab w:val="right" w:leader="dot" w:pos="9072"/>
        </w:tabs>
        <w:spacing w:before="190" w:beforeLines="50" w:after="190" w:afterLines="50" w:line="500" w:lineRule="exact"/>
        <w:jc w:val="center"/>
        <w:rPr>
          <w:rFonts w:ascii="黑体" w:hAnsi="黑体" w:eastAsia="黑体"/>
          <w:sz w:val="44"/>
          <w:szCs w:val="44"/>
        </w:rPr>
        <w:sectPr>
          <w:headerReference r:id="rId5" w:type="default"/>
          <w:footerReference r:id="rId6" w:type="default"/>
          <w:pgSz w:w="11906" w:h="16838"/>
          <w:pgMar w:top="1417" w:right="1247" w:bottom="1417" w:left="1304" w:header="850" w:footer="992" w:gutter="0"/>
          <w:pgNumType w:start="1"/>
          <w:cols w:space="720" w:num="1"/>
          <w:docGrid w:type="linesAndChars" w:linePitch="381" w:charSpace="704"/>
        </w:sectPr>
      </w:pPr>
    </w:p>
    <w:p w14:paraId="630D4F83">
      <w:pPr>
        <w:pStyle w:val="14"/>
        <w:tabs>
          <w:tab w:val="right" w:leader="dot" w:pos="9072"/>
        </w:tabs>
        <w:spacing w:before="190" w:beforeLines="50" w:after="190" w:afterLines="50" w:line="500" w:lineRule="exact"/>
        <w:jc w:val="center"/>
        <w:rPr>
          <w:rFonts w:ascii="黑体" w:hAnsi="黑体" w:eastAsia="黑体"/>
          <w:sz w:val="44"/>
          <w:szCs w:val="44"/>
        </w:rPr>
      </w:pPr>
      <w:r>
        <w:rPr>
          <w:rFonts w:hint="eastAsia" w:ascii="黑体" w:hAnsi="黑体" w:eastAsia="黑体"/>
          <w:sz w:val="44"/>
          <w:szCs w:val="44"/>
        </w:rPr>
        <w:t>目  录</w:t>
      </w:r>
    </w:p>
    <w:p w14:paraId="2FBEC718">
      <w:pPr>
        <w:pStyle w:val="14"/>
        <w:tabs>
          <w:tab w:val="right" w:leader="dot" w:pos="9072"/>
        </w:tabs>
        <w:spacing w:line="500" w:lineRule="exact"/>
        <w:ind w:firstLine="566" w:firstLineChars="200"/>
        <w:rPr>
          <w:rFonts w:ascii="黑体" w:hAnsi="黑体" w:eastAsia="黑体" w:cs="黑体"/>
        </w:rPr>
      </w:pPr>
    </w:p>
    <w:p w14:paraId="6C611EE5">
      <w:pPr>
        <w:pStyle w:val="14"/>
        <w:numPr>
          <w:ilvl w:val="0"/>
          <w:numId w:val="2"/>
        </w:numPr>
        <w:tabs>
          <w:tab w:val="right" w:leader="dot" w:pos="9072"/>
        </w:tabs>
        <w:spacing w:line="500" w:lineRule="exact"/>
        <w:ind w:firstLine="566" w:firstLineChars="200"/>
        <w:rPr>
          <w:rFonts w:ascii="黑体" w:hAnsi="黑体" w:eastAsia="黑体" w:cs="黑体"/>
        </w:rPr>
      </w:pPr>
      <w:r>
        <w:rPr>
          <w:rFonts w:hint="eastAsia" w:ascii="黑体" w:hAnsi="黑体" w:eastAsia="黑体" w:cs="黑体"/>
        </w:rPr>
        <w:t xml:space="preserve"> 磋商邀请函</w:t>
      </w:r>
      <w:r>
        <w:rPr>
          <w:rFonts w:hint="eastAsia" w:ascii="黑体" w:hAnsi="黑体" w:eastAsia="黑体" w:cs="黑体"/>
          <w:lang w:val="en-US" w:eastAsia="zh-CN"/>
        </w:rPr>
        <w:t xml:space="preserve"> </w:t>
      </w:r>
    </w:p>
    <w:p w14:paraId="184D4025">
      <w:pPr>
        <w:pStyle w:val="14"/>
        <w:numPr>
          <w:ilvl w:val="0"/>
          <w:numId w:val="2"/>
        </w:numPr>
        <w:tabs>
          <w:tab w:val="right" w:leader="dot" w:pos="9072"/>
        </w:tabs>
        <w:spacing w:line="500" w:lineRule="exact"/>
        <w:ind w:firstLine="566" w:firstLineChars="200"/>
        <w:rPr>
          <w:rFonts w:ascii="黑体" w:hAnsi="黑体" w:eastAsia="黑体" w:cs="黑体"/>
        </w:rPr>
      </w:pPr>
      <w:r>
        <w:rPr>
          <w:rFonts w:hint="eastAsia" w:ascii="黑体" w:hAnsi="黑体" w:eastAsia="黑体" w:cs="黑体"/>
        </w:rPr>
        <w:t xml:space="preserve"> 供应商须知</w:t>
      </w:r>
    </w:p>
    <w:p w14:paraId="4ADECA8A">
      <w:pPr>
        <w:pStyle w:val="14"/>
        <w:tabs>
          <w:tab w:val="right" w:leader="dot" w:pos="9072"/>
        </w:tabs>
        <w:spacing w:line="500" w:lineRule="exact"/>
        <w:ind w:firstLine="566" w:firstLineChars="200"/>
        <w:rPr>
          <w:rFonts w:ascii="黑体" w:hAnsi="黑体" w:eastAsia="黑体" w:cs="黑体"/>
        </w:rPr>
      </w:pPr>
      <w:r>
        <w:rPr>
          <w:rFonts w:hint="eastAsia" w:ascii="黑体" w:hAnsi="黑体" w:eastAsia="黑体" w:cs="黑体"/>
        </w:rPr>
        <w:t>一、定义</w:t>
      </w:r>
    </w:p>
    <w:p w14:paraId="08B937BD">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二、供应商注意事项</w:t>
      </w:r>
    </w:p>
    <w:p w14:paraId="5459DC4B">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三、电子磋商文件</w:t>
      </w:r>
    </w:p>
    <w:p w14:paraId="6C06EB1C">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四、磋商报价</w:t>
      </w:r>
    </w:p>
    <w:p w14:paraId="3285EFD4">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五、电子响应文件</w:t>
      </w:r>
    </w:p>
    <w:p w14:paraId="59503B2E">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六、开启电子响应文件</w:t>
      </w:r>
    </w:p>
    <w:p w14:paraId="69B3E846">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七、组织评审</w:t>
      </w:r>
    </w:p>
    <w:p w14:paraId="3082D9F2">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八、成交</w:t>
      </w:r>
    </w:p>
    <w:p w14:paraId="20774F20">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九、签订政府采购合同</w:t>
      </w:r>
    </w:p>
    <w:p w14:paraId="53DD41CB">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十、其他</w:t>
      </w:r>
    </w:p>
    <w:p w14:paraId="7F967BA6">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第三章  磋商内容及采购要求</w:t>
      </w:r>
    </w:p>
    <w:p w14:paraId="01D8E5CF">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第四章  合同草案条款</w:t>
      </w:r>
    </w:p>
    <w:p w14:paraId="0F833C3B">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第五章  电子响应文件构成及格式</w:t>
      </w:r>
    </w:p>
    <w:p w14:paraId="05AFD662">
      <w:pPr>
        <w:pStyle w:val="14"/>
        <w:tabs>
          <w:tab w:val="right" w:leader="dot" w:pos="9072"/>
        </w:tabs>
        <w:spacing w:line="500" w:lineRule="exact"/>
        <w:ind w:firstLine="566" w:firstLineChars="200"/>
        <w:rPr>
          <w:rFonts w:hint="eastAsia" w:ascii="黑体" w:hAnsi="黑体" w:eastAsia="黑体" w:cs="黑体"/>
        </w:rPr>
      </w:pPr>
      <w:r>
        <w:rPr>
          <w:rFonts w:hint="eastAsia" w:ascii="黑体" w:hAnsi="黑体" w:eastAsia="黑体" w:cs="黑体"/>
        </w:rPr>
        <w:t>第一部分  资格证明文件</w:t>
      </w:r>
    </w:p>
    <w:p w14:paraId="577CF8F7">
      <w:pPr>
        <w:pStyle w:val="14"/>
        <w:tabs>
          <w:tab w:val="right" w:leader="dot" w:pos="9072"/>
        </w:tabs>
        <w:spacing w:line="500" w:lineRule="exact"/>
        <w:ind w:firstLine="566" w:firstLineChars="200"/>
      </w:pPr>
      <w:r>
        <w:rPr>
          <w:rFonts w:hint="eastAsia" w:ascii="黑体" w:hAnsi="黑体" w:eastAsia="黑体" w:cs="黑体"/>
        </w:rPr>
        <w:t>第二部分  符合性证明文件</w:t>
      </w:r>
    </w:p>
    <w:p w14:paraId="3BA84F4B">
      <w:pPr>
        <w:pStyle w:val="15"/>
        <w:tabs>
          <w:tab w:val="right" w:leader="dot" w:pos="9072"/>
        </w:tabs>
        <w:spacing w:line="500" w:lineRule="exact"/>
        <w:ind w:left="0" w:leftChars="0" w:firstLine="566" w:firstLineChars="200"/>
        <w:rPr>
          <w:rFonts w:ascii="黑体" w:hAnsi="黑体" w:eastAsia="黑体"/>
          <w:szCs w:val="32"/>
        </w:rPr>
      </w:pPr>
      <w:r>
        <w:rPr>
          <w:rFonts w:hint="eastAsia" w:ascii="黑体" w:hAnsi="黑体" w:eastAsia="黑体" w:cs="黑体"/>
        </w:rPr>
        <w:t>第三部分  响应方案</w:t>
      </w:r>
    </w:p>
    <w:p w14:paraId="1C488B3C">
      <w:pPr>
        <w:tabs>
          <w:tab w:val="center" w:pos="60"/>
        </w:tabs>
      </w:pPr>
      <w:r>
        <w:rPr>
          <w:rFonts w:hint="eastAsia"/>
        </w:rPr>
        <w:tab/>
      </w:r>
    </w:p>
    <w:p w14:paraId="7DA7E821">
      <w:pPr>
        <w:rPr>
          <w:rFonts w:ascii="黑体" w:hAnsi="黑体" w:eastAsia="黑体"/>
          <w:szCs w:val="32"/>
        </w:rPr>
        <w:sectPr>
          <w:footerReference r:id="rId7" w:type="default"/>
          <w:pgSz w:w="11906" w:h="16838"/>
          <w:pgMar w:top="1417" w:right="1417" w:bottom="1417" w:left="1417" w:header="850" w:footer="992" w:gutter="0"/>
          <w:pgNumType w:start="1"/>
          <w:cols w:space="720" w:num="1"/>
          <w:docGrid w:type="linesAndChars" w:linePitch="381" w:charSpace="704"/>
        </w:sectPr>
      </w:pPr>
      <w:r>
        <w:rPr>
          <w:rFonts w:hint="eastAsia" w:ascii="黑体" w:hAnsi="黑体"/>
          <w:szCs w:val="32"/>
        </w:rPr>
        <w:tab/>
      </w:r>
    </w:p>
    <w:p w14:paraId="36679397">
      <w:pPr>
        <w:pStyle w:val="2"/>
        <w:spacing w:line="500" w:lineRule="exact"/>
        <w:rPr>
          <w:rFonts w:ascii="黑体" w:hAnsi="黑体"/>
          <w:b w:val="0"/>
          <w:color w:val="auto"/>
          <w:szCs w:val="32"/>
        </w:rPr>
      </w:pPr>
      <w:bookmarkStart w:id="3" w:name="_Toc21489"/>
      <w:bookmarkStart w:id="4" w:name="_Toc26235"/>
      <w:bookmarkStart w:id="5" w:name="_Toc24418"/>
      <w:r>
        <w:rPr>
          <w:rFonts w:ascii="黑体" w:hAnsi="黑体"/>
          <w:b w:val="0"/>
          <w:color w:val="auto"/>
          <w:szCs w:val="32"/>
        </w:rPr>
        <w:t xml:space="preserve">第一章  </w:t>
      </w:r>
      <w:r>
        <w:rPr>
          <w:rFonts w:hint="eastAsia" w:ascii="黑体" w:hAnsi="黑体"/>
          <w:b w:val="0"/>
          <w:color w:val="auto"/>
          <w:szCs w:val="32"/>
        </w:rPr>
        <w:t>磋商</w:t>
      </w:r>
      <w:r>
        <w:rPr>
          <w:rFonts w:ascii="黑体" w:hAnsi="黑体"/>
          <w:b w:val="0"/>
          <w:color w:val="auto"/>
          <w:szCs w:val="32"/>
        </w:rPr>
        <w:t>邀请函</w:t>
      </w:r>
      <w:bookmarkEnd w:id="0"/>
      <w:bookmarkEnd w:id="1"/>
      <w:bookmarkEnd w:id="2"/>
      <w:bookmarkEnd w:id="3"/>
      <w:bookmarkEnd w:id="4"/>
      <w:bookmarkEnd w:id="5"/>
    </w:p>
    <w:p w14:paraId="47DDE954">
      <w:pPr>
        <w:pStyle w:val="26"/>
        <w:spacing w:line="500" w:lineRule="exact"/>
        <w:ind w:firstLine="567"/>
        <w:rPr>
          <w:rFonts w:ascii="华文仿宋" w:hAnsi="华文仿宋" w:cs="华文仿宋"/>
        </w:rPr>
      </w:pPr>
      <w:bookmarkStart w:id="6" w:name="_Toc15046_WPSOffice_Level2"/>
      <w:bookmarkStart w:id="7" w:name="_Toc6471"/>
      <w:bookmarkStart w:id="8" w:name="_Toc22804_WPSOffice_Level2"/>
      <w:bookmarkStart w:id="9" w:name="_Toc8775_WPSOffice_Level2"/>
      <w:r>
        <w:rPr>
          <w:rFonts w:hint="eastAsia" w:ascii="华文仿宋" w:hAnsi="华文仿宋" w:cs="华文仿宋"/>
          <w:b/>
          <w:bCs/>
          <w:lang w:eastAsia="zh-CN"/>
        </w:rPr>
        <w:t>延安市自然资源局-市本级集体建设用地调查和基准地价更新</w:t>
      </w:r>
      <w:r>
        <w:rPr>
          <w:rFonts w:hint="eastAsia" w:ascii="华文仿宋" w:hAnsi="华文仿宋" w:cs="华文仿宋"/>
        </w:rPr>
        <w:t>项目潜在的供应商可在全国公共资源交易平台（陕西省·延安市）电子交易平台免费获取电子磋商文件，并于</w:t>
      </w:r>
      <w:r>
        <w:rPr>
          <w:rFonts w:hint="eastAsia" w:ascii="仿宋" w:hAnsi="仿宋" w:eastAsia="仿宋" w:cs="仿宋"/>
        </w:rPr>
        <w:t>2026-</w:t>
      </w:r>
      <w:r>
        <w:rPr>
          <w:rFonts w:hint="eastAsia" w:ascii="仿宋" w:hAnsi="仿宋" w:eastAsia="仿宋" w:cs="仿宋"/>
          <w:lang w:val="en-US" w:eastAsia="zh-CN"/>
        </w:rPr>
        <w:t>7</w:t>
      </w:r>
      <w:r>
        <w:rPr>
          <w:rFonts w:hint="eastAsia" w:ascii="仿宋" w:hAnsi="仿宋" w:eastAsia="仿宋" w:cs="仿宋"/>
        </w:rPr>
        <w:t>-</w:t>
      </w:r>
      <w:r>
        <w:rPr>
          <w:rFonts w:hint="eastAsia" w:ascii="仿宋" w:hAnsi="仿宋" w:eastAsia="仿宋" w:cs="仿宋"/>
          <w:lang w:val="en-US" w:eastAsia="zh-CN"/>
        </w:rPr>
        <w:t xml:space="preserve">22  </w:t>
      </w:r>
      <w:r>
        <w:rPr>
          <w:rFonts w:hint="eastAsia" w:ascii="仿宋" w:hAnsi="仿宋" w:eastAsia="仿宋" w:cs="仿宋"/>
        </w:rPr>
        <w:t xml:space="preserve"> </w:t>
      </w:r>
      <w:r>
        <w:rPr>
          <w:rFonts w:hint="eastAsia" w:ascii="仿宋" w:hAnsi="仿宋" w:eastAsia="仿宋" w:cs="仿宋"/>
          <w:lang w:val="en-US" w:eastAsia="zh-CN"/>
        </w:rPr>
        <w:t>上</w:t>
      </w:r>
      <w:r>
        <w:rPr>
          <w:rFonts w:hint="eastAsia" w:ascii="仿宋" w:hAnsi="仿宋" w:eastAsia="仿宋" w:cs="仿宋"/>
        </w:rPr>
        <w:t>午</w:t>
      </w:r>
      <w:r>
        <w:rPr>
          <w:rFonts w:hint="eastAsia" w:ascii="仿宋" w:hAnsi="仿宋" w:eastAsia="仿宋" w:cs="仿宋"/>
          <w:lang w:val="en-US" w:eastAsia="zh-CN"/>
        </w:rPr>
        <w:t>09</w:t>
      </w:r>
      <w:r>
        <w:rPr>
          <w:rFonts w:hint="eastAsia" w:ascii="仿宋" w:hAnsi="仿宋" w:eastAsia="仿宋" w:cs="仿宋"/>
        </w:rPr>
        <w:t>：00</w:t>
      </w:r>
      <w:r>
        <w:rPr>
          <w:rFonts w:hint="eastAsia" w:ascii="华文仿宋" w:hAnsi="华文仿宋" w:cs="华文仿宋"/>
        </w:rPr>
        <w:t>前递交</w:t>
      </w:r>
      <w:r>
        <w:rPr>
          <w:rFonts w:hint="eastAsia" w:ascii="仿宋" w:hAnsi="仿宋" w:eastAsia="仿宋" w:cs="仿宋"/>
          <w:bCs/>
          <w:szCs w:val="32"/>
        </w:rPr>
        <w:t>电子</w:t>
      </w:r>
      <w:r>
        <w:rPr>
          <w:rFonts w:hint="eastAsia" w:ascii="华文仿宋" w:hAnsi="华文仿宋" w:cs="华文仿宋"/>
        </w:rPr>
        <w:t xml:space="preserve">响应文件。 </w:t>
      </w:r>
    </w:p>
    <w:p w14:paraId="6CA8E6F1">
      <w:pPr>
        <w:numPr>
          <w:ilvl w:val="0"/>
          <w:numId w:val="3"/>
        </w:numPr>
        <w:spacing w:line="500" w:lineRule="exact"/>
        <w:ind w:firstLine="566" w:firstLineChars="200"/>
      </w:pPr>
      <w:r>
        <w:rPr>
          <w:rFonts w:hint="eastAsia"/>
          <w:b/>
          <w:bCs/>
        </w:rPr>
        <w:t>项目名称：</w:t>
      </w:r>
      <w:bookmarkEnd w:id="6"/>
      <w:bookmarkEnd w:id="7"/>
      <w:bookmarkEnd w:id="8"/>
      <w:bookmarkEnd w:id="9"/>
      <w:bookmarkStart w:id="10" w:name="_Toc28286_WPSOffice_Level2"/>
      <w:bookmarkStart w:id="11" w:name="_Toc7698"/>
      <w:bookmarkStart w:id="12" w:name="_Toc619_WPSOffice_Level2"/>
      <w:bookmarkStart w:id="13" w:name="_Toc181_WPSOffice_Level2"/>
      <w:r>
        <w:rPr>
          <w:rFonts w:hint="eastAsia"/>
          <w:lang w:eastAsia="zh-CN"/>
        </w:rPr>
        <w:t>延安市自然资源局-市本级集体建设用地调查和基准地价更新</w:t>
      </w:r>
    </w:p>
    <w:p w14:paraId="7AA472E3">
      <w:pPr>
        <w:spacing w:line="500" w:lineRule="exact"/>
        <w:ind w:firstLine="566" w:firstLineChars="200"/>
        <w:rPr>
          <w:rFonts w:hint="eastAsia" w:eastAsia="华文仿宋"/>
          <w:b/>
          <w:bCs/>
          <w:lang w:eastAsia="zh-CN"/>
        </w:rPr>
      </w:pPr>
      <w:r>
        <w:rPr>
          <w:rFonts w:hint="eastAsia"/>
          <w:b/>
          <w:bCs/>
        </w:rPr>
        <w:t>二、项目编号：</w:t>
      </w:r>
      <w:bookmarkEnd w:id="10"/>
      <w:bookmarkEnd w:id="11"/>
      <w:bookmarkEnd w:id="12"/>
      <w:bookmarkEnd w:id="13"/>
      <w:bookmarkStart w:id="14" w:name="_Toc7884"/>
      <w:bookmarkStart w:id="15" w:name="_Toc8221_WPSOffice_Level2"/>
      <w:bookmarkStart w:id="16" w:name="_Toc23148_WPSOffice_Level2"/>
      <w:bookmarkStart w:id="17" w:name="_Toc22627_WPSOffice_Level2"/>
      <w:r>
        <w:rPr>
          <w:rFonts w:hint="eastAsia" w:ascii="仿宋" w:hAnsi="仿宋" w:eastAsia="仿宋" w:cs="仿宋"/>
          <w:lang w:eastAsia="zh-CN"/>
        </w:rPr>
        <w:t>YAZCJC2026-21</w:t>
      </w:r>
    </w:p>
    <w:bookmarkEnd w:id="14"/>
    <w:bookmarkEnd w:id="15"/>
    <w:bookmarkEnd w:id="16"/>
    <w:bookmarkEnd w:id="17"/>
    <w:p w14:paraId="6F2D8D48">
      <w:pPr>
        <w:spacing w:line="500" w:lineRule="exact"/>
        <w:ind w:firstLine="566" w:firstLineChars="200"/>
        <w:rPr>
          <w:rFonts w:ascii="华文仿宋" w:hAnsi="华文仿宋" w:cs="华文仿宋"/>
        </w:rPr>
      </w:pPr>
      <w:bookmarkStart w:id="18" w:name="_Toc29947_WPSOffice_Level2"/>
      <w:bookmarkStart w:id="19" w:name="_Toc30103_WPSOffice_Level2"/>
      <w:bookmarkStart w:id="20" w:name="_Toc31311_WPSOffice_Level2"/>
      <w:bookmarkStart w:id="21" w:name="_Toc27211"/>
      <w:r>
        <w:rPr>
          <w:rFonts w:hint="eastAsia" w:ascii="华文仿宋" w:hAnsi="华文仿宋" w:cs="华文仿宋"/>
          <w:b/>
        </w:rPr>
        <w:t>三、</w:t>
      </w:r>
      <w:r>
        <w:rPr>
          <w:rFonts w:hint="eastAsia"/>
          <w:b/>
        </w:rPr>
        <w:t>采购人</w:t>
      </w:r>
      <w:r>
        <w:rPr>
          <w:rFonts w:hint="eastAsia"/>
        </w:rPr>
        <w:t xml:space="preserve">：延安市自然资源局 </w:t>
      </w:r>
    </w:p>
    <w:p w14:paraId="2A60D4A6">
      <w:pPr>
        <w:pStyle w:val="27"/>
        <w:spacing w:line="500" w:lineRule="exact"/>
        <w:rPr>
          <w:rFonts w:ascii="华文仿宋" w:hAnsi="华文仿宋" w:cs="华文仿宋"/>
        </w:rPr>
      </w:pPr>
      <w:r>
        <w:rPr>
          <w:rFonts w:hint="eastAsia" w:ascii="华文仿宋" w:hAnsi="华文仿宋" w:cs="华文仿宋"/>
        </w:rPr>
        <w:t>地  址：延安市新区为民服务中心综合楼</w:t>
      </w:r>
    </w:p>
    <w:p w14:paraId="4F7A77F7">
      <w:pPr>
        <w:pStyle w:val="27"/>
        <w:spacing w:line="500" w:lineRule="exact"/>
        <w:rPr>
          <w:rFonts w:hint="default" w:ascii="华文仿宋" w:hAnsi="华文仿宋" w:eastAsia="华文仿宋" w:cs="华文仿宋"/>
          <w:lang w:val="en-US" w:eastAsia="zh-CN"/>
        </w:rPr>
      </w:pPr>
      <w:r>
        <w:rPr>
          <w:rFonts w:ascii="华文仿宋" w:hAnsi="华文仿宋" w:cs="华文仿宋"/>
        </w:rPr>
        <w:t>联系人：</w:t>
      </w:r>
      <w:r>
        <w:rPr>
          <w:rFonts w:hint="eastAsia" w:ascii="华文仿宋" w:hAnsi="华文仿宋" w:cs="华文仿宋"/>
          <w:lang w:val="en-US" w:eastAsia="zh-CN"/>
        </w:rPr>
        <w:t>史女士</w:t>
      </w:r>
    </w:p>
    <w:p w14:paraId="2DDCD824">
      <w:pPr>
        <w:spacing w:line="500" w:lineRule="exact"/>
        <w:ind w:firstLine="1132" w:firstLineChars="400"/>
        <w:rPr>
          <w:rFonts w:hint="default" w:eastAsia="仿宋"/>
          <w:lang w:val="en-US" w:eastAsia="zh-CN"/>
        </w:rPr>
      </w:pPr>
      <w:r>
        <w:rPr>
          <w:rFonts w:hint="eastAsia" w:ascii="华文仿宋" w:hAnsi="华文仿宋" w:cs="华文仿宋"/>
        </w:rPr>
        <w:t>联系方式</w:t>
      </w:r>
      <w:r>
        <w:rPr>
          <w:rFonts w:hint="eastAsia" w:ascii="仿宋" w:hAnsi="仿宋" w:eastAsia="仿宋" w:cs="仿宋"/>
        </w:rPr>
        <w:t>：0911-70904</w:t>
      </w:r>
      <w:r>
        <w:rPr>
          <w:rFonts w:hint="eastAsia" w:ascii="仿宋" w:hAnsi="仿宋" w:eastAsia="仿宋" w:cs="仿宋"/>
          <w:lang w:val="en-US" w:eastAsia="zh-CN"/>
        </w:rPr>
        <w:t>20</w:t>
      </w:r>
    </w:p>
    <w:p w14:paraId="068C0E04">
      <w:pPr>
        <w:tabs>
          <w:tab w:val="left" w:pos="1620"/>
        </w:tabs>
        <w:snapToGrid w:val="0"/>
        <w:spacing w:line="500" w:lineRule="exact"/>
        <w:ind w:firstLine="566" w:firstLineChars="200"/>
        <w:rPr>
          <w:rFonts w:ascii="华文仿宋" w:hAnsi="华文仿宋" w:cs="华文仿宋"/>
        </w:rPr>
      </w:pPr>
      <w:r>
        <w:rPr>
          <w:rFonts w:hint="eastAsia" w:ascii="华文仿宋" w:hAnsi="华文仿宋" w:cs="华文仿宋"/>
          <w:b/>
        </w:rPr>
        <w:t>四、采购代理机构</w:t>
      </w:r>
      <w:r>
        <w:rPr>
          <w:rFonts w:hint="eastAsia" w:ascii="华文仿宋" w:hAnsi="华文仿宋" w:cs="华文仿宋"/>
        </w:rPr>
        <w:t>：</w:t>
      </w:r>
      <w:r>
        <w:rPr>
          <w:rFonts w:hint="eastAsia" w:ascii="华文仿宋" w:hAnsi="华文仿宋" w:cs="华文仿宋"/>
          <w:lang w:val="zh-CN"/>
        </w:rPr>
        <w:t>延安市公共资源交易中心（延安市市直单位政府采购中心）</w:t>
      </w:r>
    </w:p>
    <w:p w14:paraId="79A75C62">
      <w:pPr>
        <w:tabs>
          <w:tab w:val="left" w:pos="1620"/>
        </w:tabs>
        <w:snapToGrid w:val="0"/>
        <w:spacing w:line="500" w:lineRule="exact"/>
        <w:ind w:firstLine="1132" w:firstLineChars="400"/>
        <w:rPr>
          <w:rFonts w:ascii="华文仿宋" w:hAnsi="华文仿宋" w:cs="华文仿宋"/>
          <w:kern w:val="0"/>
        </w:rPr>
      </w:pPr>
      <w:r>
        <w:rPr>
          <w:rFonts w:hint="eastAsia" w:ascii="华文仿宋" w:hAnsi="华文仿宋" w:cs="华文仿宋"/>
          <w:kern w:val="0"/>
        </w:rPr>
        <w:t>地址：延安市新区为民服务中心南区东楼（7号楼）A2楼</w:t>
      </w:r>
    </w:p>
    <w:p w14:paraId="64FF5786">
      <w:pPr>
        <w:tabs>
          <w:tab w:val="left" w:pos="1620"/>
        </w:tabs>
        <w:snapToGrid w:val="0"/>
        <w:spacing w:line="500" w:lineRule="exact"/>
        <w:ind w:firstLine="1132" w:firstLineChars="400"/>
      </w:pPr>
      <w:r>
        <w:rPr>
          <w:rFonts w:hint="eastAsia"/>
        </w:rPr>
        <w:t xml:space="preserve">磋商文件联系人：刘先生    赵先生  </w:t>
      </w:r>
    </w:p>
    <w:p w14:paraId="01D90C08">
      <w:pPr>
        <w:spacing w:line="500" w:lineRule="exact"/>
        <w:ind w:firstLine="1132" w:firstLineChars="400"/>
        <w:rPr>
          <w:rFonts w:ascii="仿宋" w:hAnsi="仿宋" w:eastAsia="仿宋" w:cs="仿宋"/>
        </w:rPr>
      </w:pPr>
      <w:r>
        <w:rPr>
          <w:rFonts w:hint="eastAsia"/>
        </w:rPr>
        <w:t>联系电话：</w:t>
      </w:r>
      <w:r>
        <w:rPr>
          <w:rFonts w:hint="eastAsia" w:ascii="仿宋" w:hAnsi="仿宋" w:eastAsia="仿宋" w:cs="仿宋"/>
        </w:rPr>
        <w:t>0911-7092224    0911-7092253</w:t>
      </w:r>
    </w:p>
    <w:p w14:paraId="70C4772B">
      <w:pPr>
        <w:tabs>
          <w:tab w:val="left" w:pos="1620"/>
        </w:tabs>
        <w:snapToGrid w:val="0"/>
        <w:spacing w:line="500" w:lineRule="exact"/>
        <w:ind w:firstLine="566" w:firstLineChars="200"/>
        <w:rPr>
          <w:b/>
          <w:bCs/>
        </w:rPr>
      </w:pPr>
      <w:r>
        <w:rPr>
          <w:rFonts w:hint="eastAsia"/>
          <w:b/>
          <w:bCs/>
        </w:rPr>
        <w:t>五、磋商内容和要求</w:t>
      </w:r>
      <w:bookmarkEnd w:id="18"/>
      <w:bookmarkEnd w:id="19"/>
      <w:bookmarkEnd w:id="20"/>
      <w:bookmarkEnd w:id="21"/>
    </w:p>
    <w:p w14:paraId="2E114055">
      <w:pPr>
        <w:spacing w:line="500" w:lineRule="exact"/>
        <w:ind w:firstLine="566" w:firstLineChars="200"/>
        <w:rPr>
          <w:rFonts w:ascii="仿宋" w:hAnsi="仿宋" w:cs="仿宋"/>
        </w:rPr>
      </w:pPr>
      <w:r>
        <w:rPr>
          <w:rFonts w:hint="eastAsia"/>
        </w:rPr>
        <w:t>本项目为</w:t>
      </w:r>
      <w:r>
        <w:rPr>
          <w:rFonts w:hint="eastAsia"/>
          <w:lang w:eastAsia="zh-CN"/>
        </w:rPr>
        <w:t>延安市自然资源局-市本级集体建设用地调查和基准地价更新</w:t>
      </w:r>
      <w:r>
        <w:rPr>
          <w:rFonts w:hint="eastAsia" w:ascii="华文仿宋" w:hAnsi="华文仿宋" w:cs="华文仿宋"/>
        </w:rPr>
        <w:t>（详见第三章&lt;磋商内容及采购要求&gt;）。</w:t>
      </w:r>
    </w:p>
    <w:p w14:paraId="4DE42EA0">
      <w:pPr>
        <w:spacing w:line="500" w:lineRule="exact"/>
        <w:ind w:firstLine="566" w:firstLineChars="200"/>
        <w:rPr>
          <w:rFonts w:ascii="华文仿宋" w:hAnsi="华文仿宋" w:cs="华文仿宋"/>
          <w:highlight w:val="yellow"/>
        </w:rPr>
      </w:pPr>
      <w:bookmarkStart w:id="22" w:name="_Toc25753"/>
      <w:bookmarkStart w:id="23" w:name="_Toc14570_WPSOffice_Level2"/>
      <w:bookmarkStart w:id="24" w:name="_Toc6459_WPSOffice_Level2"/>
      <w:bookmarkStart w:id="25" w:name="_Toc9917_WPSOffice_Level2"/>
      <w:r>
        <w:rPr>
          <w:rFonts w:hint="eastAsia" w:ascii="华文仿宋" w:hAnsi="华文仿宋" w:cs="华文仿宋"/>
          <w:b/>
        </w:rPr>
        <w:t>六、资金来源</w:t>
      </w:r>
      <w:r>
        <w:rPr>
          <w:rFonts w:hint="eastAsia" w:ascii="华文仿宋" w:hAnsi="华文仿宋" w:cs="华文仿宋"/>
        </w:rPr>
        <w:t>：财政拨款</w:t>
      </w:r>
    </w:p>
    <w:p w14:paraId="5EB57232">
      <w:pPr>
        <w:spacing w:line="500" w:lineRule="exact"/>
        <w:ind w:firstLine="566" w:firstLineChars="200"/>
        <w:rPr>
          <w:rFonts w:hint="eastAsia" w:ascii="仿宋" w:hAnsi="仿宋" w:eastAsia="华文仿宋" w:cs="仿宋"/>
          <w:b/>
          <w:lang w:eastAsia="zh-CN"/>
        </w:rPr>
      </w:pPr>
      <w:r>
        <w:rPr>
          <w:rFonts w:hint="eastAsia" w:ascii="华文仿宋" w:hAnsi="华文仿宋" w:cs="华文仿宋"/>
          <w:b/>
        </w:rPr>
        <w:t>七、采购预算：</w:t>
      </w:r>
      <w:r>
        <w:rPr>
          <w:rFonts w:hint="eastAsia" w:ascii="华文仿宋" w:hAnsi="华文仿宋" w:cs="华文仿宋"/>
          <w:b/>
          <w:lang w:val="en-US" w:eastAsia="zh-CN"/>
        </w:rPr>
        <w:t>464400.00</w:t>
      </w:r>
      <w:r>
        <w:rPr>
          <w:rFonts w:hint="eastAsia" w:ascii="华文仿宋" w:hAnsi="华文仿宋" w:cs="华文仿宋"/>
          <w:bCs/>
        </w:rPr>
        <w:t>元</w:t>
      </w:r>
      <w:r>
        <w:rPr>
          <w:rFonts w:hint="eastAsia" w:ascii="华文仿宋" w:hAnsi="华文仿宋" w:cs="华文仿宋"/>
          <w:bCs/>
          <w:lang w:eastAsia="zh-CN"/>
        </w:rPr>
        <w:t>（</w:t>
      </w:r>
      <w:r>
        <w:rPr>
          <w:rFonts w:hint="eastAsia" w:ascii="华文仿宋" w:hAnsi="华文仿宋" w:cs="华文仿宋"/>
          <w:bCs/>
          <w:lang w:val="en-US" w:eastAsia="zh-CN"/>
        </w:rPr>
        <w:t>大写：肆拾陆万肆仟肆佰元整</w:t>
      </w:r>
      <w:r>
        <w:rPr>
          <w:rFonts w:hint="eastAsia" w:ascii="华文仿宋" w:hAnsi="华文仿宋" w:cs="华文仿宋"/>
          <w:bCs/>
          <w:lang w:eastAsia="zh-CN"/>
        </w:rPr>
        <w:t>）</w:t>
      </w:r>
    </w:p>
    <w:p w14:paraId="788B35EB">
      <w:pPr>
        <w:pStyle w:val="9"/>
        <w:spacing w:line="500" w:lineRule="exact"/>
        <w:ind w:firstLine="566" w:firstLineChars="200"/>
        <w:rPr>
          <w:rFonts w:hint="eastAsia" w:ascii="华文仿宋" w:hAnsi="华文仿宋" w:eastAsia="华文仿宋" w:cs="华文仿宋"/>
          <w:lang w:eastAsia="zh-CN"/>
        </w:rPr>
      </w:pPr>
      <w:r>
        <w:rPr>
          <w:rFonts w:hint="eastAsia" w:ascii="华文仿宋" w:hAnsi="华文仿宋" w:cs="华文仿宋"/>
          <w:b/>
        </w:rPr>
        <w:t>八、所属行业：</w:t>
      </w:r>
      <w:r>
        <w:rPr>
          <w:rFonts w:hint="eastAsia" w:ascii="华文仿宋" w:hAnsi="华文仿宋" w:cs="华文仿宋"/>
          <w:bCs/>
          <w:lang w:eastAsia="zh-CN"/>
        </w:rPr>
        <w:t>商务服务业</w:t>
      </w:r>
    </w:p>
    <w:p w14:paraId="359556C6">
      <w:pPr>
        <w:spacing w:line="500" w:lineRule="exact"/>
        <w:ind w:firstLine="566" w:firstLineChars="200"/>
        <w:rPr>
          <w:b/>
          <w:bCs/>
        </w:rPr>
      </w:pPr>
      <w:r>
        <w:rPr>
          <w:rFonts w:hint="eastAsia"/>
          <w:b/>
          <w:bCs/>
        </w:rPr>
        <w:t>九、项目属性：</w:t>
      </w:r>
      <w:r>
        <w:rPr>
          <w:rFonts w:hint="eastAsia"/>
        </w:rPr>
        <w:t>服务类</w:t>
      </w:r>
    </w:p>
    <w:p w14:paraId="12A2472C">
      <w:pPr>
        <w:spacing w:line="500" w:lineRule="exact"/>
        <w:ind w:firstLine="566" w:firstLineChars="200"/>
        <w:rPr>
          <w:b/>
          <w:bCs/>
        </w:rPr>
      </w:pPr>
      <w:r>
        <w:rPr>
          <w:rFonts w:hint="eastAsia"/>
          <w:b/>
          <w:bCs/>
        </w:rPr>
        <w:t>十、供应商资格要求</w:t>
      </w:r>
      <w:bookmarkEnd w:id="22"/>
      <w:bookmarkEnd w:id="23"/>
      <w:bookmarkEnd w:id="24"/>
      <w:bookmarkEnd w:id="25"/>
    </w:p>
    <w:p w14:paraId="601D0B61">
      <w:pPr>
        <w:spacing w:line="500" w:lineRule="exact"/>
        <w:ind w:firstLine="566" w:firstLineChars="200"/>
        <w:rPr>
          <w:rFonts w:ascii="华文仿宋" w:hAnsi="华文仿宋" w:cs="华文仿宋"/>
        </w:rPr>
      </w:pPr>
      <w:r>
        <w:rPr>
          <w:rFonts w:hint="eastAsia" w:ascii="华文仿宋" w:hAnsi="华文仿宋" w:cs="华文仿宋"/>
        </w:rPr>
        <w:t>满足《中华人民共和国政府采购法》第二十二条的规定，并提供下列材料：</w:t>
      </w:r>
    </w:p>
    <w:p w14:paraId="4F8B21F7">
      <w:pPr>
        <w:spacing w:line="500" w:lineRule="exact"/>
        <w:ind w:firstLine="566" w:firstLineChars="200"/>
        <w:rPr>
          <w:rFonts w:ascii="华文仿宋" w:hAnsi="华文仿宋" w:cs="华文仿宋"/>
        </w:rPr>
      </w:pPr>
      <w:r>
        <w:rPr>
          <w:rFonts w:hint="eastAsia" w:ascii="华文仿宋" w:hAnsi="华文仿宋" w:cs="华文仿宋"/>
        </w:rPr>
        <w:t>1.营业执照等主体资格证明文件：提供有效存续的企业营业执照（副本）/事业单位法人证书/专业服务机构执业许可证/民办非企业单位登记证书。</w:t>
      </w:r>
    </w:p>
    <w:p w14:paraId="42CCE7A1">
      <w:pPr>
        <w:spacing w:line="500" w:lineRule="exact"/>
        <w:ind w:firstLine="566" w:firstLineChars="200"/>
        <w:rPr>
          <w:rFonts w:ascii="华文仿宋" w:hAnsi="华文仿宋" w:cs="华文仿宋"/>
        </w:rPr>
      </w:pPr>
      <w:r>
        <w:rPr>
          <w:rFonts w:hint="eastAsia" w:ascii="华文仿宋" w:hAnsi="华文仿宋" w:cs="华文仿宋"/>
        </w:rPr>
        <w:t>2.投标人需提供财务状况、缴纳税收和社保缴纳三项符合要求的承诺函（无需另行提供证明文件）。</w:t>
      </w:r>
    </w:p>
    <w:p w14:paraId="72D30953">
      <w:pPr>
        <w:spacing w:line="500" w:lineRule="exact"/>
        <w:ind w:firstLine="566" w:firstLineChars="200"/>
        <w:jc w:val="left"/>
        <w:rPr>
          <w:rFonts w:ascii="华文仿宋" w:hAnsi="华文仿宋" w:cs="华文仿宋"/>
        </w:rPr>
      </w:pPr>
      <w:r>
        <w:rPr>
          <w:rFonts w:hint="eastAsia" w:ascii="华文仿宋" w:hAnsi="华文仿宋" w:cs="华文仿宋"/>
        </w:rPr>
        <w:t>3.信用记录：提供《供应商信用记录书面声明函》（按格式填写，提供原件的扫描件）。经查，供应商未被列入“信用中国”网站记录的“失信被执行人”或“重大税收违法失信主体”名单；不处于“中国政府采购网”记录的“政府采购严重违法失信行为信息记录名单”中的禁止参加政府采购活动期间。</w:t>
      </w:r>
    </w:p>
    <w:p w14:paraId="15798E47">
      <w:pPr>
        <w:spacing w:line="500" w:lineRule="exact"/>
        <w:ind w:firstLine="566" w:firstLineChars="200"/>
        <w:jc w:val="left"/>
        <w:rPr>
          <w:rFonts w:ascii="华文仿宋" w:hAnsi="华文仿宋" w:cs="华文仿宋"/>
        </w:rPr>
      </w:pPr>
      <w:r>
        <w:rPr>
          <w:rFonts w:hint="eastAsia" w:ascii="华文仿宋" w:hAnsi="华文仿宋" w:cs="华文仿宋"/>
        </w:rPr>
        <w:t>4.控股管理关系：提供直接控股和管理关系清单。若与其他供应商存在单位负责人为同一人或者存在直接控股、管理关系的，则响应无效。</w:t>
      </w:r>
    </w:p>
    <w:p w14:paraId="5799CCCC">
      <w:pPr>
        <w:widowControl w:val="0"/>
        <w:spacing w:line="500" w:lineRule="exact"/>
        <w:ind w:firstLine="566" w:firstLineChars="200"/>
        <w:jc w:val="left"/>
        <w:rPr>
          <w:rFonts w:ascii="华文仿宋" w:hAnsi="华文仿宋" w:cs="华文仿宋"/>
        </w:rPr>
      </w:pPr>
      <w:r>
        <w:rPr>
          <w:rFonts w:hint="eastAsia" w:ascii="华文仿宋" w:hAnsi="华文仿宋" w:cs="华文仿宋"/>
        </w:rPr>
        <w:t>5.书面声明：提供书面声明，包括声明具有履行合同所必需的设备和专业技术能力；未为本项目提供整体设计、规范编制或者项目管理、监理、检测等服务。</w:t>
      </w:r>
    </w:p>
    <w:p w14:paraId="1E7ADD37">
      <w:pPr>
        <w:spacing w:line="500" w:lineRule="exact"/>
        <w:ind w:firstLine="566" w:firstLineChars="200"/>
        <w:jc w:val="left"/>
        <w:rPr>
          <w:rFonts w:ascii="华文仿宋" w:hAnsi="华文仿宋" w:cs="华文仿宋"/>
        </w:rPr>
      </w:pPr>
      <w:r>
        <w:rPr>
          <w:rFonts w:hint="eastAsia" w:ascii="华文仿宋" w:hAnsi="华文仿宋" w:cs="华文仿宋"/>
        </w:rPr>
        <w:t>6.法定代表人授权委托书</w:t>
      </w:r>
      <w:r>
        <w:rPr>
          <w:rFonts w:hint="eastAsia"/>
          <w:color w:val="000000"/>
        </w:rPr>
        <w:t>及法定代表人证明书</w:t>
      </w:r>
      <w:r>
        <w:rPr>
          <w:rFonts w:hint="eastAsia" w:ascii="华文仿宋" w:hAnsi="华文仿宋" w:cs="华文仿宋"/>
        </w:rPr>
        <w:t xml:space="preserve">：法定代表人参加磋商的，须提供本人身份证扫描件（附在资格证明文件中）；法定代表人授权他人参加磋商的，须提供法定代表人授权委托书。电子磋商文件中凡是需要法定代表人盖章之处，非法人单位的负责人均参照执行。 </w:t>
      </w:r>
    </w:p>
    <w:p w14:paraId="3B541401">
      <w:pPr>
        <w:spacing w:line="500" w:lineRule="exact"/>
        <w:ind w:firstLine="566" w:firstLineChars="200"/>
      </w:pPr>
      <w:r>
        <w:rPr>
          <w:rFonts w:hint="eastAsia" w:ascii="华文仿宋" w:hAnsi="华文仿宋" w:cs="华文仿宋"/>
        </w:rPr>
        <w:t>法人的分支机构参与投标时，除提供《法定代表人授权委托书》外，还须同时提供法人给分支机构出具的授权书。</w:t>
      </w:r>
    </w:p>
    <w:p w14:paraId="3C482A24">
      <w:pPr>
        <w:widowControl w:val="0"/>
        <w:numPr>
          <w:ilvl w:val="0"/>
          <w:numId w:val="4"/>
        </w:numPr>
        <w:spacing w:line="500" w:lineRule="exact"/>
        <w:ind w:firstLine="566" w:firstLineChars="200"/>
        <w:jc w:val="left"/>
        <w:rPr>
          <w:rFonts w:ascii="华文仿宋" w:hAnsi="华文仿宋" w:cs="华文仿宋"/>
        </w:rPr>
      </w:pPr>
      <w:r>
        <w:rPr>
          <w:rFonts w:hint="eastAsia" w:ascii="华文仿宋" w:hAnsi="华文仿宋" w:cs="华文仿宋"/>
          <w:b/>
          <w:bCs/>
        </w:rPr>
        <w:t>本项目</w:t>
      </w:r>
      <w:r>
        <w:rPr>
          <w:rFonts w:hint="eastAsia" w:ascii="华文仿宋" w:hAnsi="华文仿宋" w:cs="华文仿宋"/>
          <w:b/>
          <w:bCs/>
          <w:kern w:val="0"/>
        </w:rPr>
        <w:t>不接受</w:t>
      </w:r>
      <w:r>
        <w:rPr>
          <w:rFonts w:hint="eastAsia" w:ascii="华文仿宋" w:hAnsi="华文仿宋" w:cs="华文仿宋"/>
          <w:b/>
          <w:bCs/>
        </w:rPr>
        <w:t>联合体响应，不允许分包。</w:t>
      </w:r>
      <w:r>
        <w:rPr>
          <w:rFonts w:hint="eastAsia" w:ascii="华文仿宋" w:hAnsi="华文仿宋" w:cs="华文仿宋"/>
        </w:rPr>
        <w:t>供应商提供《非联合体不分包投标声明》，视为独立响应，不分包。</w:t>
      </w:r>
    </w:p>
    <w:p w14:paraId="504CC53C">
      <w:pPr>
        <w:widowControl w:val="0"/>
        <w:spacing w:line="500" w:lineRule="exact"/>
        <w:ind w:firstLine="566" w:firstLineChars="200"/>
        <w:jc w:val="left"/>
        <w:rPr>
          <w:rFonts w:hint="eastAsia" w:ascii="华文仿宋" w:hAnsi="华文仿宋" w:cs="华文仿宋"/>
          <w:lang w:val="en-US" w:eastAsia="zh-CN"/>
        </w:rPr>
      </w:pPr>
      <w:r>
        <w:rPr>
          <w:rFonts w:hint="eastAsia" w:ascii="华文仿宋" w:hAnsi="华文仿宋" w:cs="华文仿宋"/>
        </w:rPr>
        <w:t>8.</w:t>
      </w:r>
      <w:r>
        <w:rPr>
          <w:rFonts w:hint="eastAsia" w:ascii="华文仿宋" w:hAnsi="华文仿宋" w:cs="华文仿宋"/>
          <w:lang w:val="en-US" w:eastAsia="zh-CN"/>
        </w:rPr>
        <w:t>需提供省级自然资源主管部门出具的土地估价机构备案函。</w:t>
      </w:r>
    </w:p>
    <w:p w14:paraId="28B0B5E2">
      <w:pPr>
        <w:spacing w:line="240" w:lineRule="auto"/>
        <w:ind w:firstLine="426" w:firstLineChars="200"/>
        <w:rPr>
          <w:rFonts w:ascii="宋体" w:hAnsi="宋体" w:eastAsia="宋体" w:cs="宋体"/>
          <w:b/>
          <w:bCs/>
          <w:sz w:val="21"/>
          <w:szCs w:val="21"/>
        </w:rPr>
      </w:pPr>
      <w:bookmarkStart w:id="26" w:name="_Toc31685_WPSOffice_Level2"/>
      <w:bookmarkStart w:id="27" w:name="_Toc8219_WPSOffice_Level2"/>
      <w:bookmarkStart w:id="28" w:name="_Toc8666"/>
      <w:bookmarkStart w:id="29" w:name="_Toc30876_WPSOffice_Level2"/>
      <w:r>
        <w:rPr>
          <w:rFonts w:hint="eastAsia" w:ascii="宋体" w:hAnsi="宋体" w:eastAsia="宋体" w:cs="宋体"/>
          <w:b/>
          <w:bCs/>
          <w:sz w:val="21"/>
          <w:szCs w:val="21"/>
        </w:rPr>
        <w:t>备注：1.以上资格要求均为必备资格，需提供相关证明文件并加盖供应商公章（如相关证明材料由第三方出具，应有第三方公章），缺少其中任何一项，其电子响应文件视为无效文件。</w:t>
      </w:r>
    </w:p>
    <w:p w14:paraId="7B389E6C">
      <w:pPr>
        <w:spacing w:line="240" w:lineRule="auto"/>
        <w:ind w:firstLine="426" w:firstLineChars="200"/>
        <w:rPr>
          <w:rFonts w:ascii="宋体" w:hAnsi="宋体" w:eastAsia="宋体" w:cs="宋体"/>
          <w:b/>
          <w:bCs/>
          <w:sz w:val="21"/>
          <w:szCs w:val="21"/>
        </w:rPr>
      </w:pPr>
      <w:r>
        <w:rPr>
          <w:rFonts w:hint="eastAsia" w:ascii="宋体" w:hAnsi="宋体" w:eastAsia="宋体" w:cs="宋体"/>
          <w:b/>
          <w:bCs/>
          <w:sz w:val="21"/>
          <w:szCs w:val="21"/>
        </w:rPr>
        <w:t>2.《供应商信用记录书面声明函》、《承诺函》、《法定代表人授权委托书》、《书面声明》、《残疾人福利性单位声明函》、《非联合体不分包投标声明》应按电子磋商文件第五章第一部分给定的格式填写。</w:t>
      </w:r>
    </w:p>
    <w:p w14:paraId="45001511">
      <w:pPr>
        <w:spacing w:line="240" w:lineRule="auto"/>
        <w:ind w:firstLine="426" w:firstLineChars="200"/>
        <w:rPr>
          <w:rFonts w:ascii="宋体" w:hAnsi="宋体" w:eastAsia="宋体" w:cs="宋体"/>
          <w:b/>
          <w:bCs/>
          <w:sz w:val="21"/>
          <w:szCs w:val="21"/>
          <w:highlight w:val="yellow"/>
        </w:rPr>
      </w:pPr>
      <w:r>
        <w:rPr>
          <w:rFonts w:hint="eastAsia" w:ascii="宋体" w:hAnsi="宋体" w:eastAsia="宋体" w:cs="宋体"/>
          <w:b/>
          <w:bCs/>
          <w:sz w:val="21"/>
          <w:szCs w:val="21"/>
        </w:rPr>
        <w:t>3.法人的分支机构参与投标时，电子响应文件中应附法人给分支机构出具的授权书。授权书附在《法定代表人授权委托书》后，如无授权，将被视为无效文件。法人只能授权一家分支机构参与投标，且不能与分支机构同时参与投标。</w:t>
      </w:r>
    </w:p>
    <w:p w14:paraId="39723A81">
      <w:pPr>
        <w:spacing w:line="500" w:lineRule="exact"/>
        <w:ind w:firstLine="566" w:firstLineChars="200"/>
        <w:jc w:val="left"/>
        <w:rPr>
          <w:b/>
          <w:bCs/>
        </w:rPr>
      </w:pPr>
      <w:r>
        <w:rPr>
          <w:rFonts w:hint="eastAsia"/>
          <w:b/>
          <w:bCs/>
        </w:rPr>
        <w:t>十一、执行的政府采购政策</w:t>
      </w:r>
      <w:bookmarkEnd w:id="26"/>
      <w:bookmarkEnd w:id="27"/>
      <w:bookmarkEnd w:id="28"/>
    </w:p>
    <w:p w14:paraId="6945B397">
      <w:pPr>
        <w:spacing w:line="500" w:lineRule="exact"/>
        <w:ind w:firstLine="566" w:firstLineChars="200"/>
        <w:rPr>
          <w:rFonts w:ascii="华文仿宋" w:hAnsi="华文仿宋" w:cs="华文仿宋"/>
          <w:b/>
          <w:bCs/>
        </w:rPr>
      </w:pPr>
      <w:bookmarkStart w:id="30" w:name="_Toc30400_WPSOffice_Level2"/>
      <w:bookmarkStart w:id="31" w:name="_Toc20141_WPSOffice_Level2"/>
      <w:bookmarkStart w:id="32" w:name="_Toc21125"/>
      <w:r>
        <w:rPr>
          <w:rFonts w:hint="eastAsia" w:ascii="华文仿宋" w:hAnsi="华文仿宋" w:cs="华文仿宋"/>
          <w:b/>
          <w:bCs/>
        </w:rPr>
        <w:t>（一）本项目落实政府采购政策</w:t>
      </w:r>
    </w:p>
    <w:p w14:paraId="5867A5E3">
      <w:pPr>
        <w:spacing w:line="500" w:lineRule="exact"/>
        <w:ind w:firstLine="566" w:firstLineChars="200"/>
        <w:rPr>
          <w:rFonts w:ascii="华文仿宋" w:hAnsi="华文仿宋" w:cs="华文仿宋"/>
        </w:rPr>
      </w:pPr>
      <w:r>
        <w:rPr>
          <w:rFonts w:hint="eastAsia"/>
          <w:b/>
          <w:bCs/>
        </w:rPr>
        <w:t>本项目为专门面向</w:t>
      </w:r>
      <w:r>
        <w:rPr>
          <w:rFonts w:hint="eastAsia"/>
          <w:b/>
          <w:bCs/>
          <w:lang w:val="en-US" w:eastAsia="zh-CN"/>
        </w:rPr>
        <w:t>小微</w:t>
      </w:r>
      <w:r>
        <w:rPr>
          <w:rFonts w:hint="eastAsia"/>
          <w:b/>
          <w:bCs/>
        </w:rPr>
        <w:t>企业项目</w:t>
      </w:r>
      <w:r>
        <w:rPr>
          <w:rFonts w:hint="eastAsia"/>
        </w:rPr>
        <w:t>，供应商应为</w:t>
      </w:r>
      <w:r>
        <w:rPr>
          <w:rFonts w:hint="eastAsia" w:ascii="仿宋" w:hAnsi="仿宋" w:eastAsia="仿宋" w:cs="华文仿宋"/>
        </w:rPr>
        <w:t>小型、微型企业</w:t>
      </w:r>
      <w:r>
        <w:rPr>
          <w:rFonts w:hint="eastAsia"/>
        </w:rPr>
        <w:t>或监狱企业或残疾人福利性单位。供应商为</w:t>
      </w:r>
      <w:r>
        <w:rPr>
          <w:rFonts w:hint="eastAsia" w:ascii="仿宋" w:hAnsi="仿宋" w:eastAsia="仿宋" w:cs="华文仿宋"/>
        </w:rPr>
        <w:t>小型、微型</w:t>
      </w:r>
      <w:r>
        <w:rPr>
          <w:rFonts w:hint="eastAsia"/>
        </w:rPr>
        <w:t>企业</w:t>
      </w:r>
      <w:r>
        <w:rPr>
          <w:rFonts w:hint="eastAsia" w:ascii="仿宋" w:hAnsi="仿宋" w:eastAsia="仿宋" w:cs="华文仿宋"/>
        </w:rPr>
        <w:t>的</w:t>
      </w:r>
      <w:r>
        <w:rPr>
          <w:rFonts w:hint="eastAsia"/>
        </w:rPr>
        <w:t>提供《中小企业声明函》，且企业的划分标准所属行业为</w:t>
      </w:r>
      <w:r>
        <w:rPr>
          <w:rFonts w:hint="eastAsia" w:ascii="华文仿宋" w:hAnsi="华文仿宋" w:cs="华文仿宋"/>
          <w:bCs/>
          <w:u w:val="single"/>
          <w:lang w:eastAsia="zh-CN"/>
        </w:rPr>
        <w:t>商务服务业</w:t>
      </w:r>
      <w:r>
        <w:rPr>
          <w:rFonts w:hint="eastAsia"/>
          <w:u w:val="single"/>
        </w:rPr>
        <w:t>；</w:t>
      </w:r>
      <w:r>
        <w:rPr>
          <w:rFonts w:hint="eastAsia"/>
        </w:rPr>
        <w:t>供应商为监狱企业的，应提供监狱企业的证明文件；供应商为残疾人福利性单位的，应提供《残疾人福利性单位声明函》（监狱企业或残疾人福利性单位视同小型、微型企业）。</w:t>
      </w:r>
    </w:p>
    <w:p w14:paraId="5E3B4C09">
      <w:pPr>
        <w:spacing w:line="500" w:lineRule="exact"/>
        <w:ind w:firstLine="566" w:firstLineChars="200"/>
        <w:rPr>
          <w:rFonts w:ascii="华文仿宋" w:hAnsi="华文仿宋" w:cs="华文仿宋"/>
        </w:rPr>
      </w:pPr>
      <w:r>
        <w:rPr>
          <w:rFonts w:hint="eastAsia" w:ascii="华文仿宋" w:hAnsi="华文仿宋" w:cs="华文仿宋"/>
          <w:b/>
          <w:bCs/>
        </w:rPr>
        <w:t>（二）</w:t>
      </w:r>
      <w:r>
        <w:rPr>
          <w:rFonts w:hint="eastAsia" w:cs="华文仿宋"/>
          <w:b/>
          <w:bCs/>
        </w:rPr>
        <w:t>其他政府采购政策</w:t>
      </w:r>
    </w:p>
    <w:p w14:paraId="6134DF93">
      <w:pPr>
        <w:spacing w:line="500" w:lineRule="exact"/>
        <w:ind w:firstLine="566" w:firstLineChars="200"/>
        <w:rPr>
          <w:rFonts w:ascii="华文仿宋" w:hAnsi="华文仿宋" w:cs="华文仿宋"/>
        </w:rPr>
      </w:pPr>
      <w:r>
        <w:rPr>
          <w:rFonts w:hint="eastAsia" w:ascii="华文仿宋" w:hAnsi="华文仿宋" w:cs="华文仿宋"/>
        </w:rPr>
        <w:t>1.《关于在政府采购活动中查询及使用信用记录有关问题的通知》（财库</w:t>
      </w:r>
      <w:r>
        <w:rPr>
          <w:rFonts w:hint="eastAsia" w:ascii="仿宋" w:hAnsi="仿宋" w:eastAsia="仿宋" w:cs="仿宋"/>
        </w:rPr>
        <w:t>〔2016〕125</w:t>
      </w:r>
      <w:r>
        <w:rPr>
          <w:rFonts w:hint="eastAsia" w:ascii="华文仿宋" w:hAnsi="华文仿宋" w:cs="华文仿宋"/>
        </w:rPr>
        <w:t>号）。</w:t>
      </w:r>
    </w:p>
    <w:p w14:paraId="66A404FF">
      <w:pPr>
        <w:spacing w:line="500" w:lineRule="exact"/>
        <w:ind w:firstLine="566" w:firstLineChars="200"/>
        <w:rPr>
          <w:rFonts w:ascii="华文仿宋" w:hAnsi="华文仿宋" w:cs="华文仿宋"/>
        </w:rPr>
      </w:pPr>
      <w:r>
        <w:rPr>
          <w:rFonts w:hint="eastAsia" w:ascii="华文仿宋" w:hAnsi="华文仿宋" w:cs="华文仿宋"/>
        </w:rPr>
        <w:t>2.《政府采购促进中小企业发展管理办法》（财库</w:t>
      </w:r>
      <w:r>
        <w:rPr>
          <w:rFonts w:hint="eastAsia" w:ascii="仿宋" w:hAnsi="仿宋" w:eastAsia="仿宋" w:cs="仿宋"/>
        </w:rPr>
        <w:t>〔2020〕46号）</w:t>
      </w:r>
      <w:r>
        <w:rPr>
          <w:rFonts w:hint="eastAsia" w:ascii="华文仿宋" w:hAnsi="华文仿宋" w:cs="华文仿宋"/>
        </w:rPr>
        <w:t>、《关于政府采购支持监狱企业发展有关问题的通知》（财库</w:t>
      </w:r>
      <w:r>
        <w:rPr>
          <w:rFonts w:hint="eastAsia" w:ascii="仿宋" w:hAnsi="仿宋" w:eastAsia="仿宋" w:cs="仿宋"/>
        </w:rPr>
        <w:t>〔2014〕68</w:t>
      </w:r>
      <w:r>
        <w:rPr>
          <w:rFonts w:hint="eastAsia" w:ascii="华文仿宋" w:hAnsi="华文仿宋" w:cs="华文仿宋"/>
        </w:rPr>
        <w:t>号）以及《关于促进残疾人就业政府采购政策的通知》（财库</w:t>
      </w:r>
      <w:r>
        <w:rPr>
          <w:rFonts w:hint="eastAsia" w:ascii="仿宋" w:hAnsi="仿宋" w:eastAsia="仿宋" w:cs="仿宋"/>
        </w:rPr>
        <w:t>〔2017〕141</w:t>
      </w:r>
      <w:r>
        <w:rPr>
          <w:rFonts w:hint="eastAsia" w:ascii="华文仿宋" w:hAnsi="华文仿宋" w:cs="华文仿宋"/>
        </w:rPr>
        <w:t>号）。</w:t>
      </w:r>
    </w:p>
    <w:p w14:paraId="29F696F3">
      <w:pPr>
        <w:spacing w:line="500" w:lineRule="exact"/>
        <w:ind w:firstLine="566" w:firstLineChars="200"/>
        <w:rPr>
          <w:b/>
          <w:bCs/>
        </w:rPr>
      </w:pPr>
      <w:r>
        <w:rPr>
          <w:rFonts w:hint="eastAsia" w:ascii="华文仿宋" w:hAnsi="华文仿宋" w:cs="华文仿宋"/>
        </w:rPr>
        <w:t>详见《供应商须知》中“相关的政府采购政策文件”有关内容。</w:t>
      </w:r>
    </w:p>
    <w:p w14:paraId="7996D77C">
      <w:pPr>
        <w:spacing w:line="500" w:lineRule="exact"/>
        <w:ind w:firstLine="566" w:firstLineChars="200"/>
        <w:rPr>
          <w:b/>
          <w:bCs/>
        </w:rPr>
      </w:pPr>
      <w:r>
        <w:rPr>
          <w:rFonts w:hint="eastAsia"/>
          <w:b/>
          <w:bCs/>
        </w:rPr>
        <w:t>十二、</w:t>
      </w:r>
      <w:bookmarkEnd w:id="29"/>
      <w:bookmarkEnd w:id="30"/>
      <w:bookmarkEnd w:id="31"/>
      <w:bookmarkEnd w:id="32"/>
      <w:r>
        <w:rPr>
          <w:rFonts w:hint="eastAsia"/>
          <w:b/>
          <w:bCs/>
        </w:rPr>
        <w:t>电子磋商文件获取时间及方式</w:t>
      </w:r>
    </w:p>
    <w:p w14:paraId="466482EC">
      <w:pPr>
        <w:wordWrap w:val="0"/>
        <w:spacing w:line="500" w:lineRule="exact"/>
        <w:ind w:firstLine="566" w:firstLineChars="200"/>
        <w:jc w:val="left"/>
        <w:rPr>
          <w:rFonts w:ascii="仿宋" w:hAnsi="仿宋" w:eastAsia="仿宋" w:cs="仿宋"/>
          <w:bCs/>
        </w:rPr>
      </w:pPr>
      <w:bookmarkStart w:id="33" w:name="_Toc26982_WPSOffice_Level2"/>
      <w:bookmarkStart w:id="34" w:name="_Toc20847"/>
      <w:bookmarkStart w:id="35" w:name="_Toc26863_WPSOffice_Level2"/>
      <w:bookmarkStart w:id="36" w:name="_Toc27420_WPSOffice_Level2"/>
      <w:r>
        <w:rPr>
          <w:rFonts w:hint="eastAsia" w:ascii="仿宋" w:hAnsi="仿宋" w:eastAsia="仿宋" w:cs="仿宋"/>
          <w:bCs/>
        </w:rPr>
        <w:t>1.获取方式：投标人可登录全国公共资源交易平台（陕西省·延安市）（ http://ya.sxggzyjy.cn/），选择“电子交易平台·〉政府采购交易系统·〉企业端”通过CA锁进行登录，登录后选择“交易乙方”身份进入投标人界面后，选择有意向的项目点击“我要投标”，参与投标活动。然后在〖我的项目〗中点击“项目流程·〉招标文件领取”免费下载电子招标文件。</w:t>
      </w:r>
    </w:p>
    <w:p w14:paraId="18796E07">
      <w:pPr>
        <w:wordWrap w:val="0"/>
        <w:spacing w:line="500" w:lineRule="exact"/>
        <w:ind w:firstLine="566" w:firstLineChars="200"/>
        <w:jc w:val="left"/>
        <w:rPr>
          <w:rFonts w:ascii="仿宋" w:hAnsi="仿宋" w:eastAsia="仿宋" w:cs="仿宋"/>
          <w:bCs/>
        </w:rPr>
      </w:pPr>
      <w:r>
        <w:rPr>
          <w:rFonts w:hint="eastAsia" w:ascii="仿宋" w:hAnsi="仿宋" w:eastAsia="仿宋" w:cs="仿宋"/>
          <w:bCs/>
        </w:rPr>
        <w:t>2.投标人初次使用交易平台，须先完成诚信入库登记、数字认证证书（CA锁）认证及企业信息绑定。相关操作流程详见全国公共资源交易平台（陕西省·延安市）网站〖首页·〉服务指南·〉下载专区〗中的《延安市公共资源交易中心政府采购电子招投标全流程操作手册》。</w:t>
      </w:r>
    </w:p>
    <w:p w14:paraId="122BE84B">
      <w:pPr>
        <w:wordWrap w:val="0"/>
        <w:spacing w:line="500" w:lineRule="exact"/>
        <w:ind w:firstLine="566" w:firstLineChars="200"/>
        <w:jc w:val="left"/>
        <w:rPr>
          <w:rFonts w:ascii="仿宋" w:hAnsi="仿宋" w:eastAsia="仿宋" w:cs="仿宋"/>
          <w:bCs/>
        </w:rPr>
      </w:pPr>
      <w:r>
        <w:rPr>
          <w:rFonts w:hint="eastAsia" w:ascii="仿宋" w:hAnsi="仿宋" w:eastAsia="仿宋" w:cs="仿宋"/>
          <w:bCs/>
        </w:rPr>
        <w:t>3.数字认证证书（CA锁）办理流程可参照https://www.snca.com.cn/notice/show/533.html，现场办理地址：延安市新区为民服务中心南区东楼（7号楼）A2楼，咨询电话：0911-2162266。</w:t>
      </w:r>
    </w:p>
    <w:p w14:paraId="39E7A0FB">
      <w:pPr>
        <w:spacing w:line="500" w:lineRule="exact"/>
        <w:ind w:firstLine="566" w:firstLineChars="200"/>
        <w:rPr>
          <w:rFonts w:ascii="仿宋" w:hAnsi="仿宋" w:eastAsia="仿宋" w:cs="仿宋"/>
          <w:b/>
          <w:bCs/>
        </w:rPr>
      </w:pPr>
      <w:r>
        <w:rPr>
          <w:rFonts w:hint="eastAsia" w:ascii="仿宋" w:hAnsi="仿宋" w:eastAsia="仿宋" w:cs="仿宋"/>
          <w:b/>
          <w:bCs/>
        </w:rPr>
        <w:t>4. 获取时间：2026年</w:t>
      </w:r>
      <w:r>
        <w:rPr>
          <w:rFonts w:hint="eastAsia" w:ascii="仿宋" w:hAnsi="仿宋" w:eastAsia="仿宋" w:cs="仿宋"/>
          <w:b/>
          <w:bCs/>
          <w:lang w:val="en-US" w:eastAsia="zh-CN"/>
        </w:rPr>
        <w:t>7</w:t>
      </w:r>
      <w:r>
        <w:rPr>
          <w:rFonts w:hint="eastAsia" w:ascii="仿宋" w:hAnsi="仿宋" w:eastAsia="仿宋" w:cs="仿宋"/>
          <w:b/>
          <w:bCs/>
        </w:rPr>
        <w:t>月</w:t>
      </w:r>
      <w:r>
        <w:rPr>
          <w:rFonts w:hint="eastAsia" w:ascii="仿宋" w:hAnsi="仿宋" w:eastAsia="仿宋" w:cs="仿宋"/>
          <w:b/>
          <w:bCs/>
          <w:lang w:val="en-US" w:eastAsia="zh-CN"/>
        </w:rPr>
        <w:t>10</w:t>
      </w:r>
      <w:r>
        <w:rPr>
          <w:rFonts w:hint="eastAsia" w:ascii="仿宋" w:hAnsi="仿宋" w:eastAsia="仿宋" w:cs="仿宋"/>
          <w:b/>
          <w:bCs/>
        </w:rPr>
        <w:t>日至2026年</w:t>
      </w:r>
      <w:r>
        <w:rPr>
          <w:rFonts w:hint="eastAsia" w:ascii="仿宋" w:hAnsi="仿宋" w:eastAsia="仿宋" w:cs="仿宋"/>
          <w:b/>
          <w:bCs/>
          <w:lang w:val="en-US" w:eastAsia="zh-CN"/>
        </w:rPr>
        <w:t>7</w:t>
      </w:r>
      <w:r>
        <w:rPr>
          <w:rFonts w:hint="eastAsia" w:ascii="仿宋" w:hAnsi="仿宋" w:eastAsia="仿宋" w:cs="仿宋"/>
          <w:b/>
          <w:bCs/>
        </w:rPr>
        <w:t>月</w:t>
      </w:r>
      <w:r>
        <w:rPr>
          <w:rFonts w:hint="eastAsia" w:ascii="仿宋" w:hAnsi="仿宋" w:eastAsia="仿宋" w:cs="仿宋"/>
          <w:b/>
          <w:bCs/>
          <w:lang w:val="en-US" w:eastAsia="zh-CN"/>
        </w:rPr>
        <w:t>16</w:t>
      </w:r>
      <w:bookmarkStart w:id="308" w:name="_GoBack"/>
      <w:bookmarkEnd w:id="308"/>
      <w:r>
        <w:rPr>
          <w:rFonts w:hint="eastAsia" w:ascii="仿宋" w:hAnsi="仿宋" w:eastAsia="仿宋" w:cs="仿宋"/>
          <w:b/>
          <w:bCs/>
        </w:rPr>
        <w:t>日，每天上午08:30:00至12:00:00，下午1</w:t>
      </w:r>
      <w:r>
        <w:rPr>
          <w:rFonts w:hint="eastAsia" w:ascii="仿宋" w:hAnsi="仿宋" w:eastAsia="仿宋" w:cs="仿宋"/>
          <w:b/>
          <w:bCs/>
          <w:lang w:val="en-US" w:eastAsia="zh-CN"/>
        </w:rPr>
        <w:t>5</w:t>
      </w:r>
      <w:r>
        <w:rPr>
          <w:rFonts w:hint="eastAsia" w:ascii="仿宋" w:hAnsi="仿宋" w:eastAsia="仿宋" w:cs="仿宋"/>
          <w:b/>
          <w:bCs/>
        </w:rPr>
        <w:t>:</w:t>
      </w:r>
      <w:r>
        <w:rPr>
          <w:rFonts w:hint="eastAsia" w:ascii="仿宋" w:hAnsi="仿宋" w:eastAsia="仿宋" w:cs="仿宋"/>
          <w:b/>
          <w:bCs/>
          <w:lang w:val="en-US" w:eastAsia="zh-CN"/>
        </w:rPr>
        <w:t>0</w:t>
      </w:r>
      <w:r>
        <w:rPr>
          <w:rFonts w:hint="eastAsia" w:ascii="仿宋" w:hAnsi="仿宋" w:eastAsia="仿宋" w:cs="仿宋"/>
          <w:b/>
          <w:bCs/>
        </w:rPr>
        <w:t>0:00至</w:t>
      </w:r>
      <w:r>
        <w:rPr>
          <w:rFonts w:hint="eastAsia" w:ascii="仿宋" w:hAnsi="仿宋" w:eastAsia="仿宋" w:cs="仿宋"/>
          <w:b/>
          <w:bCs/>
          <w:lang w:val="en-US" w:eastAsia="zh-CN"/>
        </w:rPr>
        <w:t>17</w:t>
      </w:r>
      <w:r>
        <w:rPr>
          <w:rFonts w:hint="eastAsia" w:ascii="仿宋" w:hAnsi="仿宋" w:eastAsia="仿宋" w:cs="仿宋"/>
          <w:b/>
          <w:bCs/>
        </w:rPr>
        <w:t>:</w:t>
      </w:r>
      <w:r>
        <w:rPr>
          <w:rFonts w:hint="eastAsia" w:ascii="仿宋" w:hAnsi="仿宋" w:eastAsia="仿宋" w:cs="仿宋"/>
          <w:b/>
          <w:bCs/>
          <w:lang w:val="en-US" w:eastAsia="zh-CN"/>
        </w:rPr>
        <w:t>3</w:t>
      </w:r>
      <w:r>
        <w:rPr>
          <w:rFonts w:hint="eastAsia" w:ascii="仿宋" w:hAnsi="仿宋" w:eastAsia="仿宋" w:cs="仿宋"/>
          <w:b/>
          <w:bCs/>
        </w:rPr>
        <w:t>0:00（北京时间,法定节假日除外）</w:t>
      </w:r>
    </w:p>
    <w:p w14:paraId="5B801CE7">
      <w:pPr>
        <w:spacing w:line="500" w:lineRule="exact"/>
        <w:ind w:firstLine="566" w:firstLineChars="200"/>
        <w:rPr>
          <w:b/>
          <w:bCs/>
        </w:rPr>
      </w:pPr>
      <w:r>
        <w:rPr>
          <w:rFonts w:hint="eastAsia"/>
          <w:b/>
          <w:bCs/>
        </w:rPr>
        <w:t>十三、磋商保证金</w:t>
      </w:r>
      <w:bookmarkEnd w:id="33"/>
      <w:bookmarkEnd w:id="34"/>
      <w:bookmarkEnd w:id="35"/>
      <w:bookmarkEnd w:id="36"/>
    </w:p>
    <w:p w14:paraId="196D441B">
      <w:pPr>
        <w:spacing w:line="500" w:lineRule="exact"/>
        <w:ind w:firstLine="566" w:firstLineChars="200"/>
        <w:rPr>
          <w:rFonts w:ascii="华文仿宋" w:hAnsi="华文仿宋" w:cs="华文仿宋"/>
        </w:rPr>
      </w:pPr>
      <w:r>
        <w:rPr>
          <w:rFonts w:hint="eastAsia" w:ascii="华文仿宋" w:hAnsi="华文仿宋" w:cs="华文仿宋"/>
        </w:rPr>
        <w:t>不收取。</w:t>
      </w:r>
    </w:p>
    <w:p w14:paraId="7250A74C">
      <w:pPr>
        <w:spacing w:line="500" w:lineRule="exact"/>
        <w:ind w:firstLine="566" w:firstLineChars="200"/>
      </w:pPr>
      <w:r>
        <w:rPr>
          <w:rFonts w:hint="eastAsia"/>
          <w:b/>
        </w:rPr>
        <w:t>十四</w:t>
      </w:r>
      <w:r>
        <w:rPr>
          <w:b/>
        </w:rPr>
        <w:t>、提交</w:t>
      </w:r>
      <w:r>
        <w:rPr>
          <w:rFonts w:hint="eastAsia"/>
          <w:b/>
        </w:rPr>
        <w:t>电子响应</w:t>
      </w:r>
      <w:r>
        <w:rPr>
          <w:b/>
        </w:rPr>
        <w:t>文件截止时间及</w:t>
      </w:r>
      <w:r>
        <w:rPr>
          <w:rFonts w:hint="eastAsia"/>
          <w:b/>
        </w:rPr>
        <w:t>开启</w:t>
      </w:r>
      <w:r>
        <w:rPr>
          <w:b/>
        </w:rPr>
        <w:t>时间和地点</w:t>
      </w:r>
    </w:p>
    <w:p w14:paraId="4574051B">
      <w:pPr>
        <w:spacing w:line="500" w:lineRule="exact"/>
        <w:ind w:firstLine="566" w:firstLineChars="200"/>
        <w:rPr>
          <w:bCs/>
        </w:rPr>
      </w:pPr>
      <w:r>
        <w:rPr>
          <w:rFonts w:hint="eastAsia" w:ascii="华文仿宋" w:hAnsi="华文仿宋" w:cs="华文仿宋"/>
          <w:b/>
          <w:bCs/>
        </w:rPr>
        <w:t>1.</w:t>
      </w:r>
      <w:r>
        <w:rPr>
          <w:rFonts w:hint="eastAsia"/>
          <w:b/>
          <w:bCs/>
        </w:rPr>
        <w:t>提交电子响应文件：</w:t>
      </w:r>
      <w:r>
        <w:rPr>
          <w:rFonts w:hint="eastAsia"/>
          <w:b/>
        </w:rPr>
        <w:t>电子响应文件一份</w:t>
      </w:r>
    </w:p>
    <w:p w14:paraId="16993F7F">
      <w:pPr>
        <w:spacing w:line="500" w:lineRule="exact"/>
        <w:ind w:firstLine="566" w:firstLineChars="200"/>
      </w:pPr>
      <w:r>
        <w:rPr>
          <w:rFonts w:hint="eastAsia"/>
        </w:rPr>
        <w:t>电子响应文件（*.SXSTF）可于提交电子响应文件截止时间前任意时段登录全国公共资源交易平台（</w:t>
      </w:r>
      <w:r>
        <w:rPr>
          <w:rFonts w:hint="eastAsia" w:cs="华文仿宋"/>
        </w:rPr>
        <w:t>陕西省</w:t>
      </w:r>
      <w:r>
        <w:rPr>
          <w:rFonts w:hint="eastAsia" w:ascii="仿宋" w:hAnsi="仿宋" w:eastAsia="仿宋" w:cs="仿宋"/>
          <w:bCs/>
        </w:rPr>
        <w:t>·</w:t>
      </w:r>
      <w:r>
        <w:rPr>
          <w:rFonts w:hint="eastAsia" w:ascii="华文仿宋" w:hAnsi="华文仿宋" w:cs="华文仿宋"/>
        </w:rPr>
        <w:t>延安市</w:t>
      </w:r>
      <w:r>
        <w:rPr>
          <w:rFonts w:hint="eastAsia"/>
        </w:rPr>
        <w:t xml:space="preserve">）网站进行提交，逾期系统将拒绝接收。  </w:t>
      </w:r>
    </w:p>
    <w:p w14:paraId="2342ABB3">
      <w:pPr>
        <w:spacing w:line="500" w:lineRule="exact"/>
        <w:ind w:firstLine="566" w:firstLineChars="200"/>
        <w:rPr>
          <w:rFonts w:eastAsia="仿宋"/>
          <w:b/>
          <w:bCs/>
        </w:rPr>
      </w:pPr>
      <w:r>
        <w:rPr>
          <w:rFonts w:hint="eastAsia" w:ascii="华文仿宋" w:hAnsi="华文仿宋" w:cs="华文仿宋"/>
          <w:b/>
          <w:bCs/>
        </w:rPr>
        <w:t>2.</w:t>
      </w:r>
      <w:r>
        <w:rPr>
          <w:rFonts w:hint="eastAsia"/>
          <w:b/>
          <w:bCs/>
        </w:rPr>
        <w:t>提交电子响应文件截止时间：</w:t>
      </w:r>
      <w:r>
        <w:rPr>
          <w:rFonts w:hint="eastAsia" w:ascii="仿宋" w:hAnsi="仿宋" w:eastAsia="仿宋" w:cs="仿宋"/>
          <w:b/>
          <w:bCs/>
          <w:lang w:val="zh-CN"/>
        </w:rPr>
        <w:t>202</w:t>
      </w:r>
      <w:r>
        <w:rPr>
          <w:rFonts w:hint="eastAsia" w:ascii="仿宋" w:hAnsi="仿宋" w:eastAsia="仿宋" w:cs="仿宋"/>
          <w:b/>
          <w:bCs/>
        </w:rPr>
        <w:t>6</w:t>
      </w:r>
      <w:r>
        <w:rPr>
          <w:rFonts w:hint="eastAsia" w:ascii="仿宋" w:hAnsi="仿宋" w:eastAsia="仿宋" w:cs="仿宋"/>
          <w:b/>
          <w:bCs/>
          <w:lang w:val="zh-CN"/>
        </w:rPr>
        <w:t>年</w:t>
      </w:r>
      <w:r>
        <w:rPr>
          <w:rFonts w:hint="eastAsia" w:ascii="仿宋" w:hAnsi="仿宋" w:eastAsia="仿宋" w:cs="仿宋"/>
          <w:b/>
          <w:bCs/>
          <w:lang w:val="en-US" w:eastAsia="zh-CN"/>
        </w:rPr>
        <w:t>7</w:t>
      </w:r>
      <w:r>
        <w:rPr>
          <w:rFonts w:hint="eastAsia" w:ascii="仿宋" w:hAnsi="仿宋" w:eastAsia="仿宋" w:cs="仿宋"/>
          <w:b/>
          <w:bCs/>
          <w:lang w:val="zh-CN"/>
        </w:rPr>
        <w:t>月</w:t>
      </w:r>
      <w:r>
        <w:rPr>
          <w:rFonts w:hint="eastAsia" w:ascii="仿宋" w:hAnsi="仿宋" w:eastAsia="仿宋" w:cs="仿宋"/>
          <w:b/>
          <w:bCs/>
          <w:lang w:val="en-US" w:eastAsia="zh-CN"/>
        </w:rPr>
        <w:t>22</w:t>
      </w:r>
      <w:r>
        <w:rPr>
          <w:rFonts w:hint="eastAsia" w:ascii="仿宋" w:hAnsi="仿宋" w:eastAsia="仿宋" w:cs="仿宋"/>
          <w:b/>
          <w:bCs/>
          <w:lang w:val="zh-CN"/>
        </w:rPr>
        <w:t>日</w:t>
      </w:r>
      <w:r>
        <w:rPr>
          <w:rFonts w:hint="eastAsia" w:ascii="仿宋" w:hAnsi="仿宋" w:eastAsia="仿宋" w:cs="仿宋"/>
          <w:b/>
          <w:bCs/>
        </w:rPr>
        <w:t xml:space="preserve"> </w:t>
      </w:r>
      <w:r>
        <w:rPr>
          <w:rFonts w:hint="eastAsia" w:ascii="仿宋" w:hAnsi="仿宋" w:eastAsia="仿宋" w:cs="仿宋"/>
          <w:b/>
          <w:bCs/>
          <w:lang w:val="en-US" w:eastAsia="zh-CN"/>
        </w:rPr>
        <w:t>上</w:t>
      </w:r>
      <w:r>
        <w:rPr>
          <w:rFonts w:hint="eastAsia" w:ascii="仿宋" w:hAnsi="仿宋" w:eastAsia="仿宋" w:cs="仿宋"/>
          <w:b/>
          <w:bCs/>
        </w:rPr>
        <w:t>午</w:t>
      </w:r>
      <w:r>
        <w:rPr>
          <w:rFonts w:hint="eastAsia" w:ascii="仿宋" w:hAnsi="仿宋" w:eastAsia="仿宋" w:cs="仿宋"/>
          <w:b/>
          <w:bCs/>
          <w:lang w:val="en-US" w:eastAsia="zh-CN"/>
        </w:rPr>
        <w:t>09</w:t>
      </w:r>
      <w:r>
        <w:rPr>
          <w:rFonts w:hint="eastAsia" w:ascii="仿宋" w:hAnsi="仿宋" w:eastAsia="仿宋" w:cs="仿宋"/>
          <w:b/>
          <w:bCs/>
          <w:lang w:val="zh-CN"/>
        </w:rPr>
        <w:t>:</w:t>
      </w:r>
      <w:r>
        <w:rPr>
          <w:rFonts w:hint="eastAsia" w:ascii="仿宋" w:hAnsi="仿宋" w:eastAsia="仿宋" w:cs="仿宋"/>
          <w:b/>
          <w:bCs/>
        </w:rPr>
        <w:t>0</w:t>
      </w:r>
      <w:r>
        <w:rPr>
          <w:rFonts w:hint="eastAsia" w:ascii="仿宋" w:hAnsi="仿宋" w:eastAsia="仿宋" w:cs="仿宋"/>
          <w:b/>
          <w:bCs/>
          <w:lang w:val="zh-CN"/>
        </w:rPr>
        <w:t>0</w:t>
      </w:r>
    </w:p>
    <w:p w14:paraId="46737D6A">
      <w:pPr>
        <w:spacing w:line="500" w:lineRule="exact"/>
        <w:ind w:firstLine="542" w:firstLineChars="200"/>
        <w:rPr>
          <w:b/>
          <w:bCs/>
          <w:spacing w:val="-6"/>
        </w:rPr>
      </w:pPr>
      <w:r>
        <w:rPr>
          <w:rFonts w:hint="eastAsia" w:ascii="华文仿宋" w:hAnsi="华文仿宋" w:cs="华文仿宋"/>
          <w:b/>
          <w:bCs/>
          <w:spacing w:val="-6"/>
        </w:rPr>
        <w:t>3.</w:t>
      </w:r>
      <w:r>
        <w:rPr>
          <w:rFonts w:hint="eastAsia"/>
          <w:b/>
          <w:bCs/>
          <w:spacing w:val="-6"/>
        </w:rPr>
        <w:t>开启时间：同提交电子响应文件截止时间。</w:t>
      </w:r>
    </w:p>
    <w:p w14:paraId="6CF654CE">
      <w:pPr>
        <w:spacing w:line="500" w:lineRule="exact"/>
        <w:ind w:firstLine="566" w:firstLineChars="200"/>
        <w:rPr>
          <w:rFonts w:hint="default"/>
          <w:b/>
          <w:bCs/>
          <w:lang w:val="en-US"/>
        </w:rPr>
      </w:pPr>
      <w:r>
        <w:rPr>
          <w:rFonts w:hint="eastAsia" w:ascii="华文仿宋" w:hAnsi="华文仿宋" w:cs="华文仿宋"/>
          <w:b/>
          <w:bCs/>
        </w:rPr>
        <w:t>4.</w:t>
      </w:r>
      <w:r>
        <w:rPr>
          <w:rFonts w:hint="eastAsia"/>
          <w:b/>
          <w:bCs/>
        </w:rPr>
        <w:t>开启地点：延安市新区为民服务中心南区东楼二楼公共资源交易中心</w:t>
      </w:r>
      <w:r>
        <w:rPr>
          <w:rFonts w:hint="eastAsia"/>
          <w:b/>
          <w:bCs/>
          <w:lang w:val="en-US" w:eastAsia="zh-CN"/>
        </w:rPr>
        <w:t>开标八室</w:t>
      </w:r>
    </w:p>
    <w:p w14:paraId="4205E09F">
      <w:pPr>
        <w:spacing w:line="500" w:lineRule="exact"/>
        <w:ind w:left="566" w:leftChars="200"/>
        <w:rPr>
          <w:b/>
          <w:bCs/>
        </w:rPr>
      </w:pPr>
      <w:r>
        <w:rPr>
          <w:rFonts w:hint="eastAsia"/>
          <w:b/>
          <w:bCs/>
        </w:rPr>
        <w:t>评标地点：延安市新区为民服务中心南区东楼二楼公共资源交易中心</w:t>
      </w:r>
      <w:r>
        <w:rPr>
          <w:rFonts w:hint="eastAsia"/>
          <w:b/>
          <w:bCs/>
          <w:lang w:val="en-US" w:eastAsia="zh-CN"/>
        </w:rPr>
        <w:t>评标</w:t>
      </w:r>
      <w:r>
        <w:rPr>
          <w:rFonts w:hint="eastAsia"/>
          <w:b/>
          <w:bCs/>
        </w:rPr>
        <w:t>室</w:t>
      </w:r>
    </w:p>
    <w:p w14:paraId="0E4A96E5">
      <w:pPr>
        <w:wordWrap w:val="0"/>
        <w:spacing w:line="500" w:lineRule="exact"/>
        <w:ind w:firstLine="566" w:firstLineChars="200"/>
        <w:rPr>
          <w:rFonts w:ascii="宋体" w:hAnsi="宋体" w:eastAsia="宋体" w:cs="宋体"/>
          <w:color w:val="000000"/>
          <w:sz w:val="21"/>
          <w:szCs w:val="21"/>
        </w:rPr>
      </w:pPr>
      <w:r>
        <w:rPr>
          <w:rFonts w:hint="eastAsia" w:ascii="华文仿宋" w:hAnsi="华文仿宋" w:cs="华文仿宋"/>
          <w:b/>
          <w:bCs/>
          <w:color w:val="000000"/>
        </w:rPr>
        <w:t>5.开启形式：</w:t>
      </w:r>
      <w:r>
        <w:rPr>
          <w:rFonts w:hint="eastAsia" w:ascii="华文仿宋" w:hAnsi="华文仿宋" w:cs="华文仿宋"/>
          <w:b/>
          <w:bCs/>
        </w:rPr>
        <w:t>本项目采用不见面开标方式。</w:t>
      </w:r>
      <w:r>
        <w:rPr>
          <w:rFonts w:hint="eastAsia" w:ascii="华文仿宋" w:hAnsi="华文仿宋" w:cs="华文仿宋"/>
        </w:rPr>
        <w:t>投标人需在开启前最少一个小时登录全国公共资源交易平台（陕西省·延安市）首页选择“不见面开标</w:t>
      </w:r>
      <w:r>
        <w:rPr>
          <w:rFonts w:hint="eastAsia" w:ascii="仿宋" w:hAnsi="仿宋" w:eastAsia="仿宋" w:cs="仿宋"/>
          <w:bCs/>
        </w:rPr>
        <w:t>·〉</w:t>
      </w:r>
      <w:r>
        <w:rPr>
          <w:rFonts w:hint="eastAsia" w:ascii="华文仿宋" w:hAnsi="华文仿宋" w:cs="华文仿宋"/>
        </w:rPr>
        <w:t>采购项目不见面开标大厅”自行调试，并按照全国公共资源交易平台（陕西省·延安市）-电子交易平台-政府采购交易系统要求进行投标文件解密。如遇困难，请拨打系统平台技术支持电话：</w:t>
      </w:r>
      <w:r>
        <w:rPr>
          <w:rFonts w:hint="eastAsia" w:ascii="仿宋" w:hAnsi="仿宋" w:eastAsia="仿宋" w:cs="仿宋"/>
          <w:b/>
          <w:bCs/>
          <w:lang w:val="en-US" w:eastAsia="zh-CN"/>
        </w:rPr>
        <w:t>051258188039</w:t>
      </w:r>
      <w:r>
        <w:rPr>
          <w:rFonts w:hint="eastAsia" w:ascii="华文仿宋" w:hAnsi="华文仿宋" w:cs="华文仿宋"/>
          <w:b/>
          <w:bCs/>
        </w:rPr>
        <w:t>。</w:t>
      </w:r>
    </w:p>
    <w:p w14:paraId="72AA4BD4">
      <w:pPr>
        <w:spacing w:line="500" w:lineRule="exact"/>
        <w:ind w:firstLine="566" w:firstLineChars="200"/>
        <w:rPr>
          <w:b/>
          <w:bCs/>
          <w:color w:val="000000"/>
        </w:rPr>
      </w:pPr>
      <w:r>
        <w:rPr>
          <w:rFonts w:hint="eastAsia"/>
          <w:b/>
          <w:bCs/>
          <w:color w:val="000000"/>
        </w:rPr>
        <w:t>十五、采购代理机构收费标准：免费。</w:t>
      </w:r>
    </w:p>
    <w:p w14:paraId="63096619">
      <w:pPr>
        <w:spacing w:line="500" w:lineRule="exact"/>
        <w:ind w:firstLine="566" w:firstLineChars="200"/>
        <w:rPr>
          <w:b/>
          <w:bCs/>
          <w:color w:val="000000"/>
        </w:rPr>
      </w:pPr>
      <w:bookmarkStart w:id="37" w:name="_Toc20005"/>
      <w:bookmarkStart w:id="38" w:name="_Toc22849_WPSOffice_Level2"/>
      <w:bookmarkStart w:id="39" w:name="_Toc14110_WPSOffice_Level2"/>
      <w:bookmarkStart w:id="40" w:name="_Toc17917"/>
      <w:bookmarkStart w:id="41" w:name="_Toc10758_WPSOffice_Level2"/>
      <w:r>
        <w:rPr>
          <w:rFonts w:hint="eastAsia"/>
          <w:b/>
          <w:bCs/>
          <w:color w:val="000000"/>
        </w:rPr>
        <w:t>十六、公告期自发布之日起</w:t>
      </w:r>
      <w:r>
        <w:rPr>
          <w:rFonts w:hint="eastAsia" w:ascii="仿宋" w:hAnsi="仿宋" w:eastAsia="仿宋" w:cs="仿宋"/>
          <w:b/>
          <w:bCs/>
          <w:color w:val="000000"/>
        </w:rPr>
        <w:t>3</w:t>
      </w:r>
      <w:r>
        <w:rPr>
          <w:rFonts w:hint="eastAsia"/>
          <w:b/>
          <w:bCs/>
          <w:color w:val="000000"/>
        </w:rPr>
        <w:t>个工作日。</w:t>
      </w:r>
      <w:bookmarkEnd w:id="37"/>
      <w:bookmarkEnd w:id="38"/>
      <w:bookmarkEnd w:id="39"/>
      <w:bookmarkEnd w:id="40"/>
      <w:bookmarkEnd w:id="41"/>
    </w:p>
    <w:p w14:paraId="142257A8">
      <w:pPr>
        <w:spacing w:line="500" w:lineRule="exact"/>
        <w:rPr>
          <w:rFonts w:ascii="宋体" w:hAnsi="宋体" w:eastAsia="宋体" w:cs="宋体"/>
          <w:b/>
          <w:bCs/>
          <w:color w:val="000000"/>
        </w:rPr>
      </w:pPr>
    </w:p>
    <w:p w14:paraId="4F49721D">
      <w:pPr>
        <w:spacing w:line="500" w:lineRule="exact"/>
        <w:ind w:firstLine="566" w:firstLineChars="200"/>
        <w:rPr>
          <w:rFonts w:ascii="宋体" w:hAnsi="宋体" w:eastAsia="宋体" w:cs="宋体"/>
          <w:b/>
          <w:bCs/>
          <w:color w:val="000000"/>
        </w:rPr>
      </w:pPr>
    </w:p>
    <w:p w14:paraId="15323F99">
      <w:pPr>
        <w:spacing w:line="500" w:lineRule="exact"/>
        <w:ind w:firstLine="566" w:firstLineChars="200"/>
        <w:rPr>
          <w:rFonts w:ascii="宋体" w:hAnsi="宋体" w:eastAsia="宋体" w:cs="宋体"/>
          <w:b/>
          <w:bCs/>
          <w:color w:val="000000"/>
        </w:rPr>
      </w:pPr>
    </w:p>
    <w:p w14:paraId="3CDFAC6B">
      <w:pPr>
        <w:spacing w:line="500" w:lineRule="exact"/>
        <w:ind w:firstLine="566" w:firstLineChars="200"/>
        <w:rPr>
          <w:rFonts w:ascii="宋体" w:hAnsi="宋体" w:eastAsia="宋体" w:cs="宋体"/>
          <w:b/>
          <w:bCs/>
          <w:color w:val="000000"/>
        </w:rPr>
      </w:pPr>
      <w:r>
        <w:rPr>
          <w:rFonts w:hint="eastAsia" w:ascii="宋体" w:hAnsi="宋体" w:eastAsia="宋体" w:cs="宋体"/>
          <w:b/>
          <w:bCs/>
          <w:color w:val="000000"/>
        </w:rPr>
        <w:t>特别提醒：</w:t>
      </w:r>
    </w:p>
    <w:p w14:paraId="3B0458BA">
      <w:pPr>
        <w:numPr>
          <w:ilvl w:val="255"/>
          <w:numId w:val="0"/>
        </w:numPr>
        <w:wordWrap w:val="0"/>
        <w:spacing w:line="500" w:lineRule="exact"/>
        <w:ind w:firstLine="426" w:firstLineChars="200"/>
        <w:rPr>
          <w:rFonts w:ascii="宋体" w:hAnsi="宋体" w:eastAsia="宋体" w:cs="宋体"/>
          <w:b/>
          <w:bCs/>
          <w:sz w:val="21"/>
          <w:szCs w:val="21"/>
        </w:rPr>
      </w:pPr>
      <w:bookmarkStart w:id="42" w:name="_Toc15046_WPSOffice_Level1"/>
      <w:bookmarkStart w:id="43" w:name="_Toc495014610"/>
      <w:bookmarkStart w:id="44" w:name="_Toc445306492"/>
      <w:bookmarkStart w:id="45" w:name="_Toc495012820"/>
      <w:bookmarkStart w:id="46" w:name="_Toc495012770"/>
      <w:bookmarkStart w:id="47" w:name="_Toc22804_WPSOffice_Level1"/>
      <w:bookmarkStart w:id="48" w:name="_Toc495014648"/>
      <w:bookmarkStart w:id="49" w:name="_Toc7814"/>
      <w:bookmarkStart w:id="50" w:name="_Toc19337_WPSOffice_Level1"/>
      <w:bookmarkStart w:id="51" w:name="_Toc495014584"/>
      <w:bookmarkStart w:id="52" w:name="_Toc495014953"/>
      <w:bookmarkStart w:id="53" w:name="_Toc495014919"/>
      <w:bookmarkStart w:id="54" w:name="_Toc4326"/>
      <w:r>
        <w:rPr>
          <w:rFonts w:hint="eastAsia" w:ascii="宋体" w:hAnsi="宋体" w:eastAsia="宋体" w:cs="宋体"/>
          <w:b/>
          <w:bCs/>
          <w:sz w:val="21"/>
          <w:szCs w:val="21"/>
        </w:rPr>
        <w:t>1.本项目采用不见面开标方式。投标人须使用数字认证证书（CA锁）对电子投标文件进行签章、加密、递交及开标时解密等相关招投标事宜。开标前，投标人需登录网络开标大厅。开标时，按照全国公共资源交易平台（陕西省·延安市）-电子交易平台-政府采购交易系统要求进行远程解密，如因投标人自身原因造成无法解密投标文件，按无效投标对待。</w:t>
      </w:r>
    </w:p>
    <w:p w14:paraId="0A487854">
      <w:pPr>
        <w:spacing w:line="460" w:lineRule="exact"/>
        <w:ind w:firstLine="426" w:firstLineChars="200"/>
        <w:rPr>
          <w:rFonts w:ascii="宋体" w:hAnsi="宋体" w:eastAsia="宋体" w:cs="Times New Roman"/>
          <w:b/>
          <w:bCs/>
          <w:sz w:val="21"/>
          <w:szCs w:val="21"/>
        </w:rPr>
      </w:pPr>
      <w:r>
        <w:rPr>
          <w:rFonts w:ascii="宋体" w:hAnsi="宋体" w:eastAsia="宋体" w:cs="宋体"/>
          <w:b/>
          <w:bCs/>
          <w:sz w:val="21"/>
          <w:szCs w:val="21"/>
        </w:rPr>
        <w:t>2</w:t>
      </w:r>
      <w:r>
        <w:rPr>
          <w:rFonts w:hint="eastAsia" w:ascii="宋体" w:hAnsi="宋体" w:eastAsia="宋体" w:cs="宋体"/>
          <w:b/>
          <w:bCs/>
          <w:sz w:val="21"/>
          <w:szCs w:val="21"/>
        </w:rPr>
        <w:t>.制作电子响应文件。。投标人须在“全国公共资源交易中心平台（陕西省·延安市）（http://ya.sxggzyjy.cn/）”的“服务指南”栏目“下载专区”中，免费下载“陕西省公共资源交易平台政府采购电子标书制作工具”，并升级至最新版本，使用该客户端制作电子投标文件，制作扩展名为“.SXSTF”的电子投标文件。”</w:t>
      </w:r>
    </w:p>
    <w:p w14:paraId="3DC4F6ED">
      <w:pPr>
        <w:wordWrap w:val="0"/>
        <w:spacing w:line="460" w:lineRule="exact"/>
        <w:ind w:firstLine="426" w:firstLineChars="200"/>
        <w:rPr>
          <w:rFonts w:ascii="黑体" w:hAnsi="黑体" w:eastAsia="黑体"/>
          <w:b/>
          <w:bCs/>
          <w:sz w:val="32"/>
          <w:szCs w:val="32"/>
        </w:rPr>
      </w:pPr>
      <w:r>
        <w:rPr>
          <w:rFonts w:ascii="宋体" w:hAnsi="宋体" w:eastAsia="宋体" w:cs="宋体"/>
          <w:b/>
          <w:bCs/>
          <w:sz w:val="21"/>
          <w:szCs w:val="21"/>
        </w:rPr>
        <w:t>3</w:t>
      </w:r>
      <w:r>
        <w:rPr>
          <w:rFonts w:hint="eastAsia" w:ascii="宋体" w:hAnsi="宋体" w:eastAsia="宋体" w:cs="宋体"/>
          <w:b/>
          <w:bCs/>
          <w:sz w:val="21"/>
          <w:szCs w:val="21"/>
        </w:rPr>
        <w:t>.递交电子响应文件。登录全国公共资源交易中心平台（陕西省</w:t>
      </w:r>
      <w:r>
        <w:rPr>
          <w:rFonts w:hint="eastAsia" w:ascii="仿宋" w:hAnsi="仿宋" w:eastAsia="仿宋" w:cs="仿宋"/>
          <w:bCs/>
        </w:rPr>
        <w:t>·</w:t>
      </w:r>
      <w:r>
        <w:rPr>
          <w:rFonts w:hint="eastAsia" w:ascii="宋体" w:hAnsi="宋体" w:eastAsia="宋体" w:cs="宋体"/>
          <w:b/>
          <w:bCs/>
          <w:sz w:val="21"/>
          <w:szCs w:val="21"/>
        </w:rPr>
        <w:t>延安市）（http://ya.sxggzyjy.cn/），选择“电子交易平台</w:t>
      </w:r>
      <w:r>
        <w:rPr>
          <w:rFonts w:hint="eastAsia" w:ascii="仿宋" w:hAnsi="仿宋" w:eastAsia="仿宋" w:cs="仿宋"/>
          <w:bCs/>
        </w:rPr>
        <w:t>·〉</w:t>
      </w:r>
      <w:r>
        <w:rPr>
          <w:rFonts w:hint="eastAsia" w:ascii="宋体" w:hAnsi="宋体" w:eastAsia="宋体" w:cs="宋体"/>
          <w:b/>
          <w:bCs/>
          <w:sz w:val="21"/>
          <w:szCs w:val="21"/>
        </w:rPr>
        <w:t>政府采购交易系统</w:t>
      </w:r>
      <w:r>
        <w:rPr>
          <w:rFonts w:hint="eastAsia" w:ascii="仿宋" w:hAnsi="仿宋" w:eastAsia="仿宋" w:cs="仿宋"/>
          <w:bCs/>
        </w:rPr>
        <w:t>·〉</w:t>
      </w:r>
      <w:r>
        <w:rPr>
          <w:rFonts w:hint="eastAsia" w:ascii="宋体" w:hAnsi="宋体" w:eastAsia="宋体" w:cs="宋体"/>
          <w:b/>
          <w:bCs/>
          <w:sz w:val="21"/>
          <w:szCs w:val="21"/>
        </w:rPr>
        <w:t>企业端”进行登录，登录后选择“交易乙方”身份进入，进入菜单“政府采购</w:t>
      </w:r>
      <w:r>
        <w:rPr>
          <w:rFonts w:hint="eastAsia" w:ascii="仿宋" w:hAnsi="仿宋" w:eastAsia="仿宋" w:cs="仿宋"/>
          <w:bCs/>
        </w:rPr>
        <w:t>·〉</w:t>
      </w:r>
      <w:r>
        <w:rPr>
          <w:rFonts w:hint="eastAsia" w:ascii="宋体" w:hAnsi="宋体" w:eastAsia="宋体" w:cs="宋体"/>
          <w:b/>
          <w:bCs/>
          <w:sz w:val="21"/>
          <w:szCs w:val="21"/>
        </w:rPr>
        <w:t>我的项目</w:t>
      </w:r>
      <w:r>
        <w:rPr>
          <w:rFonts w:hint="eastAsia" w:ascii="仿宋" w:hAnsi="仿宋" w:eastAsia="仿宋" w:cs="仿宋"/>
          <w:bCs/>
        </w:rPr>
        <w:t>·〉</w:t>
      </w:r>
      <w:r>
        <w:rPr>
          <w:rFonts w:hint="eastAsia" w:ascii="宋体" w:hAnsi="宋体" w:eastAsia="宋体" w:cs="宋体"/>
          <w:b/>
          <w:bCs/>
          <w:sz w:val="21"/>
          <w:szCs w:val="21"/>
        </w:rPr>
        <w:t>项目流程</w:t>
      </w:r>
      <w:r>
        <w:rPr>
          <w:rFonts w:hint="eastAsia" w:ascii="仿宋" w:hAnsi="仿宋" w:eastAsia="仿宋" w:cs="仿宋"/>
          <w:bCs/>
        </w:rPr>
        <w:t>·〉</w:t>
      </w:r>
      <w:r>
        <w:rPr>
          <w:rFonts w:hint="eastAsia" w:ascii="宋体" w:hAnsi="宋体" w:eastAsia="宋体" w:cs="宋体"/>
          <w:b/>
          <w:bCs/>
          <w:sz w:val="21"/>
          <w:szCs w:val="21"/>
        </w:rPr>
        <w:t>上传投标文件”，上传加密的电子响应文件。上传成功后，电子化平台将予以记录。</w:t>
      </w:r>
    </w:p>
    <w:p w14:paraId="2F88FE28">
      <w:pPr>
        <w:keepNext/>
        <w:keepLines/>
        <w:rPr>
          <w:rFonts w:ascii="黑体" w:hAnsi="黑体" w:eastAsia="黑体"/>
          <w:b/>
          <w:bCs/>
          <w:color w:val="000000"/>
          <w:sz w:val="32"/>
          <w:szCs w:val="32"/>
        </w:rPr>
      </w:pPr>
    </w:p>
    <w:p w14:paraId="640C375A">
      <w:pPr>
        <w:pStyle w:val="2"/>
        <w:pageBreakBefore/>
        <w:rPr>
          <w:rFonts w:ascii="黑体" w:hAnsi="黑体"/>
          <w:szCs w:val="32"/>
        </w:rPr>
      </w:pPr>
      <w:bookmarkStart w:id="55" w:name="_Toc7074"/>
      <w:r>
        <w:rPr>
          <w:rFonts w:ascii="黑体" w:hAnsi="黑体"/>
          <w:b w:val="0"/>
          <w:szCs w:val="32"/>
        </w:rPr>
        <w:t xml:space="preserve">第二章  </w:t>
      </w:r>
      <w:r>
        <w:rPr>
          <w:rFonts w:hint="eastAsia" w:ascii="黑体" w:hAnsi="黑体"/>
          <w:b w:val="0"/>
          <w:szCs w:val="32"/>
        </w:rPr>
        <w:t>供应商</w:t>
      </w:r>
      <w:r>
        <w:rPr>
          <w:rFonts w:ascii="黑体" w:hAnsi="黑体"/>
          <w:b w:val="0"/>
          <w:szCs w:val="32"/>
        </w:rPr>
        <w:t>须知</w:t>
      </w:r>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3A368699">
      <w:pPr>
        <w:pStyle w:val="3"/>
        <w:ind w:firstLine="567"/>
        <w:rPr>
          <w:color w:val="000000"/>
          <w:sz w:val="28"/>
          <w:szCs w:val="28"/>
        </w:rPr>
      </w:pPr>
      <w:bookmarkStart w:id="56" w:name="_Toc18466_WPSOffice_Level2"/>
      <w:bookmarkStart w:id="57" w:name="_Toc24451_WPSOffice_Level2"/>
      <w:bookmarkStart w:id="58" w:name="_Toc3858_WPSOffice_Level2"/>
      <w:bookmarkStart w:id="59" w:name="_Toc11989"/>
      <w:bookmarkStart w:id="60" w:name="_Toc16238"/>
      <w:bookmarkStart w:id="61" w:name="_Toc12337"/>
      <w:r>
        <w:rPr>
          <w:rFonts w:hint="eastAsia"/>
          <w:color w:val="000000"/>
          <w:sz w:val="28"/>
          <w:szCs w:val="28"/>
        </w:rPr>
        <w:t>一、定义</w:t>
      </w:r>
      <w:bookmarkEnd w:id="56"/>
      <w:bookmarkEnd w:id="57"/>
      <w:bookmarkEnd w:id="58"/>
      <w:bookmarkEnd w:id="59"/>
      <w:bookmarkEnd w:id="60"/>
      <w:bookmarkEnd w:id="61"/>
    </w:p>
    <w:p w14:paraId="0A588FBD">
      <w:pPr>
        <w:spacing w:line="500" w:lineRule="exact"/>
        <w:ind w:firstLine="606" w:firstLineChars="200"/>
        <w:rPr>
          <w:rFonts w:ascii="华文仿宋" w:hAnsi="华文仿宋" w:cs="华文仿宋"/>
          <w:color w:val="000000"/>
          <w:sz w:val="30"/>
          <w:szCs w:val="30"/>
        </w:rPr>
      </w:pPr>
      <w:bookmarkStart w:id="62" w:name="_Toc11840_WPSOffice_Level3"/>
      <w:r>
        <w:rPr>
          <w:rFonts w:hint="eastAsia" w:ascii="华文仿宋" w:hAnsi="华文仿宋" w:cs="华文仿宋"/>
          <w:color w:val="000000"/>
          <w:sz w:val="30"/>
          <w:szCs w:val="30"/>
        </w:rPr>
        <w:t>（一）</w:t>
      </w:r>
      <w:r>
        <w:rPr>
          <w:rFonts w:hint="eastAsia" w:ascii="华文仿宋" w:hAnsi="华文仿宋" w:cs="华文仿宋"/>
          <w:color w:val="000000"/>
        </w:rPr>
        <w:t>采 购 人</w:t>
      </w:r>
      <w:r>
        <w:rPr>
          <w:rFonts w:hint="eastAsia" w:ascii="华文仿宋" w:hAnsi="华文仿宋" w:cs="华文仿宋"/>
          <w:color w:val="000000"/>
          <w:sz w:val="30"/>
          <w:szCs w:val="30"/>
        </w:rPr>
        <w:t>：</w:t>
      </w:r>
      <w:bookmarkEnd w:id="62"/>
      <w:r>
        <w:rPr>
          <w:rFonts w:hint="eastAsia" w:ascii="华文仿宋" w:hAnsi="华文仿宋" w:cs="华文仿宋"/>
          <w:color w:val="000000"/>
          <w:sz w:val="30"/>
          <w:szCs w:val="30"/>
        </w:rPr>
        <w:t xml:space="preserve">延安市自然资源局 </w:t>
      </w:r>
    </w:p>
    <w:p w14:paraId="37FF17B0">
      <w:pPr>
        <w:spacing w:line="500" w:lineRule="exact"/>
        <w:ind w:firstLine="606" w:firstLineChars="200"/>
        <w:rPr>
          <w:rFonts w:ascii="华文仿宋" w:hAnsi="华文仿宋" w:cs="华文仿宋"/>
          <w:color w:val="000000"/>
          <w:sz w:val="30"/>
          <w:szCs w:val="30"/>
        </w:rPr>
      </w:pPr>
      <w:r>
        <w:rPr>
          <w:rFonts w:hint="eastAsia" w:ascii="华文仿宋" w:hAnsi="华文仿宋" w:cs="华文仿宋"/>
          <w:color w:val="000000"/>
          <w:sz w:val="30"/>
          <w:szCs w:val="30"/>
        </w:rPr>
        <w:t>（二）监督机构：延安市财政局</w:t>
      </w:r>
    </w:p>
    <w:p w14:paraId="152B257E">
      <w:pPr>
        <w:spacing w:line="500" w:lineRule="exact"/>
        <w:ind w:firstLine="606" w:firstLineChars="200"/>
        <w:rPr>
          <w:rFonts w:ascii="华文仿宋" w:hAnsi="华文仿宋" w:cs="华文仿宋"/>
          <w:color w:val="000000"/>
          <w:sz w:val="30"/>
          <w:szCs w:val="30"/>
        </w:rPr>
      </w:pPr>
      <w:r>
        <w:rPr>
          <w:rFonts w:hint="eastAsia" w:ascii="华文仿宋" w:hAnsi="华文仿宋" w:cs="华文仿宋"/>
          <w:color w:val="000000"/>
          <w:sz w:val="30"/>
          <w:szCs w:val="30"/>
        </w:rPr>
        <w:t>（三）集中采购机构：延安市公共资源交易中心（延安市市直单位政府采购中心）（以下简称：中心）</w:t>
      </w:r>
    </w:p>
    <w:p w14:paraId="13264BFC">
      <w:pPr>
        <w:spacing w:line="500" w:lineRule="exact"/>
        <w:ind w:firstLine="606" w:firstLineChars="200"/>
        <w:rPr>
          <w:rFonts w:ascii="华文仿宋" w:hAnsi="华文仿宋" w:cs="华文仿宋"/>
          <w:color w:val="000000"/>
          <w:sz w:val="30"/>
          <w:szCs w:val="30"/>
        </w:rPr>
      </w:pPr>
      <w:bookmarkStart w:id="63" w:name="_Toc20141_WPSOffice_Level3"/>
      <w:r>
        <w:rPr>
          <w:rFonts w:hint="eastAsia" w:ascii="华文仿宋" w:hAnsi="华文仿宋" w:cs="华文仿宋"/>
          <w:color w:val="000000"/>
          <w:sz w:val="30"/>
          <w:szCs w:val="30"/>
        </w:rPr>
        <w:t>（四）供应商：</w:t>
      </w:r>
      <w:r>
        <w:rPr>
          <w:rFonts w:hint="eastAsia"/>
          <w:color w:val="000000"/>
          <w:sz w:val="30"/>
          <w:szCs w:val="30"/>
        </w:rPr>
        <w:t>拟向采购人提供货物、工程或者服务的法人、其他组织或者自然人</w:t>
      </w:r>
      <w:bookmarkEnd w:id="63"/>
      <w:r>
        <w:rPr>
          <w:rFonts w:hint="eastAsia"/>
          <w:color w:val="000000"/>
          <w:sz w:val="30"/>
          <w:szCs w:val="30"/>
        </w:rPr>
        <w:t>。</w:t>
      </w:r>
    </w:p>
    <w:p w14:paraId="28B231EA">
      <w:pPr>
        <w:pStyle w:val="3"/>
        <w:ind w:firstLine="567"/>
        <w:rPr>
          <w:rFonts w:ascii="华文仿宋" w:hAnsi="华文仿宋" w:cs="华文仿宋"/>
          <w:color w:val="000000"/>
          <w:sz w:val="28"/>
          <w:szCs w:val="28"/>
        </w:rPr>
      </w:pPr>
      <w:bookmarkStart w:id="64" w:name="_Toc9291"/>
      <w:bookmarkStart w:id="65" w:name="_Toc1878"/>
      <w:bookmarkStart w:id="66" w:name="_Toc27278_WPSOffice_Level2"/>
      <w:bookmarkStart w:id="67" w:name="_Toc4606"/>
      <w:bookmarkStart w:id="68" w:name="_Toc20906_WPSOffice_Level2"/>
      <w:bookmarkStart w:id="69" w:name="_Toc11745_WPSOffice_Level2"/>
      <w:r>
        <w:rPr>
          <w:rFonts w:hint="eastAsia" w:ascii="华文仿宋" w:hAnsi="华文仿宋" w:cs="华文仿宋"/>
          <w:color w:val="000000"/>
          <w:sz w:val="28"/>
          <w:szCs w:val="28"/>
        </w:rPr>
        <w:t>二、供应商注意事项</w:t>
      </w:r>
      <w:bookmarkEnd w:id="64"/>
      <w:bookmarkEnd w:id="65"/>
      <w:bookmarkEnd w:id="66"/>
      <w:bookmarkEnd w:id="67"/>
      <w:bookmarkEnd w:id="68"/>
      <w:bookmarkEnd w:id="69"/>
    </w:p>
    <w:p w14:paraId="779C769A">
      <w:pPr>
        <w:spacing w:line="500" w:lineRule="exact"/>
        <w:ind w:firstLine="566" w:firstLineChars="200"/>
        <w:rPr>
          <w:b/>
          <w:bCs/>
          <w:color w:val="000000"/>
        </w:rPr>
      </w:pPr>
      <w:bookmarkStart w:id="70" w:name="_Toc21291"/>
      <w:bookmarkStart w:id="71" w:name="_Toc26982_WPSOffice_Level3"/>
      <w:r>
        <w:rPr>
          <w:rFonts w:hint="eastAsia"/>
          <w:b/>
          <w:bCs/>
          <w:color w:val="000000"/>
        </w:rPr>
        <w:t>（一）询问</w:t>
      </w:r>
      <w:bookmarkEnd w:id="70"/>
      <w:bookmarkEnd w:id="71"/>
    </w:p>
    <w:p w14:paraId="62BFE68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供应商针对电子磋商文件（包括采购需求、供应商资格条件、商务条款等）依法提出书面询问的，采购人应在三个工作日内书面答复；供应商向中心提出书面询问的，中心应告知采购人并协助采购人做出答复。</w:t>
      </w:r>
    </w:p>
    <w:p w14:paraId="7E6BED7F">
      <w:pPr>
        <w:spacing w:line="500" w:lineRule="exact"/>
        <w:ind w:firstLine="566" w:firstLineChars="200"/>
        <w:rPr>
          <w:b/>
          <w:bCs/>
          <w:color w:val="000000"/>
        </w:rPr>
      </w:pPr>
      <w:r>
        <w:rPr>
          <w:rFonts w:hint="eastAsia" w:ascii="华文仿宋" w:hAnsi="华文仿宋" w:cs="华文仿宋"/>
          <w:color w:val="000000"/>
        </w:rPr>
        <w:t>供应商对采购过程、中标（成交）结果，向中心提出书面询问的，中心应在三个工作日内书面答复。</w:t>
      </w:r>
    </w:p>
    <w:p w14:paraId="38DE71F2">
      <w:pPr>
        <w:spacing w:line="500" w:lineRule="exact"/>
        <w:ind w:firstLine="566" w:firstLineChars="200"/>
        <w:rPr>
          <w:rFonts w:ascii="华文仿宋" w:hAnsi="华文仿宋" w:cs="华文仿宋"/>
          <w:b/>
          <w:color w:val="000000"/>
        </w:rPr>
      </w:pPr>
      <w:bookmarkStart w:id="72" w:name="_Toc669_WPSOffice_Level3"/>
      <w:r>
        <w:rPr>
          <w:rFonts w:hint="eastAsia" w:ascii="华文仿宋" w:hAnsi="华文仿宋" w:cs="华文仿宋"/>
          <w:b/>
          <w:color w:val="000000"/>
        </w:rPr>
        <w:t>（二）现场踏勘及标前答疑会</w:t>
      </w:r>
      <w:bookmarkEnd w:id="72"/>
    </w:p>
    <w:p w14:paraId="12E6BF8D">
      <w:pPr>
        <w:pStyle w:val="7"/>
        <w:spacing w:line="500" w:lineRule="exact"/>
        <w:ind w:firstLine="566" w:firstLineChars="200"/>
        <w:rPr>
          <w:color w:val="000000"/>
        </w:rPr>
      </w:pPr>
      <w:bookmarkStart w:id="73" w:name="_Toc9412_WPSOffice_Level3"/>
      <w:r>
        <w:rPr>
          <w:rFonts w:hint="eastAsia"/>
          <w:color w:val="000000"/>
        </w:rPr>
        <w:t>采购项目安排现场考察和标前答疑的，采购人应尽量在现场予以解答（口头提问可口头答复），现场不能做出解答的，应在三个工作日内书面答复，并交由</w:t>
      </w:r>
      <w:r>
        <w:rPr>
          <w:rFonts w:hint="eastAsia" w:ascii="华文仿宋" w:hAnsi="华文仿宋" w:cs="华文仿宋"/>
          <w:color w:val="000000"/>
        </w:rPr>
        <w:t>中心</w:t>
      </w:r>
      <w:r>
        <w:rPr>
          <w:rFonts w:hint="eastAsia"/>
          <w:color w:val="000000"/>
        </w:rPr>
        <w:t>在财政部门指定的媒体上发布。</w:t>
      </w:r>
    </w:p>
    <w:p w14:paraId="57A11BAD">
      <w:pPr>
        <w:spacing w:line="500" w:lineRule="exact"/>
        <w:ind w:firstLine="566" w:firstLineChars="200"/>
        <w:rPr>
          <w:rFonts w:ascii="华文仿宋" w:hAnsi="华文仿宋" w:cs="华文仿宋"/>
          <w:bCs/>
          <w:color w:val="000000"/>
        </w:rPr>
      </w:pPr>
      <w:r>
        <w:rPr>
          <w:rFonts w:hint="eastAsia"/>
          <w:color w:val="000000"/>
        </w:rPr>
        <w:t>答复内容可能影响</w:t>
      </w:r>
      <w:r>
        <w:rPr>
          <w:rFonts w:hint="eastAsia" w:ascii="华文仿宋" w:hAnsi="华文仿宋" w:cs="华文仿宋"/>
          <w:color w:val="000000"/>
        </w:rPr>
        <w:t>电子</w:t>
      </w:r>
      <w:r>
        <w:rPr>
          <w:rFonts w:hint="eastAsia"/>
          <w:color w:val="000000"/>
        </w:rPr>
        <w:t>响应文件编制的，应当顺延开标时间。</w:t>
      </w:r>
      <w:r>
        <w:rPr>
          <w:rFonts w:hint="eastAsia" w:ascii="华文仿宋" w:hAnsi="华文仿宋" w:cs="华文仿宋"/>
          <w:bCs/>
          <w:color w:val="000000"/>
        </w:rPr>
        <w:t>凡未参加现场踏勘和标前答疑的供应商，由此造成的偏差由各供应商自行负责。</w:t>
      </w:r>
    </w:p>
    <w:p w14:paraId="623967AA">
      <w:pPr>
        <w:spacing w:line="500" w:lineRule="exact"/>
        <w:ind w:firstLine="566" w:firstLineChars="200"/>
        <w:rPr>
          <w:rFonts w:ascii="华文仿宋" w:hAnsi="华文仿宋" w:cs="华文仿宋"/>
          <w:b/>
        </w:rPr>
      </w:pPr>
      <w:r>
        <w:rPr>
          <w:rFonts w:hint="eastAsia" w:ascii="华文仿宋" w:hAnsi="华文仿宋" w:cs="华文仿宋"/>
          <w:b/>
        </w:rPr>
        <w:t>本项目不组织集中踏勘和标前答疑。</w:t>
      </w:r>
    </w:p>
    <w:p w14:paraId="358952DE">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（三）质疑和投诉</w:t>
      </w:r>
      <w:bookmarkEnd w:id="73"/>
    </w:p>
    <w:p w14:paraId="56B1B3B5">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供应商如果认为电子磋商文件（包括采购需求、供应商资格条件、商务条款等）使自身的合法权益受到损害，可以在获取电子磋商文件之日起7个工作日内，以书面形式向采购人提出质疑；供应商如果认为采购过程或成交结果使自身的合法权益受到损害，可以在知道或者应知其权益受到损害之日起</w:t>
      </w:r>
      <w:r>
        <w:rPr>
          <w:rFonts w:hint="eastAsia" w:ascii="仿宋" w:hAnsi="仿宋" w:eastAsia="仿宋" w:cs="仿宋"/>
          <w:color w:val="000000"/>
        </w:rPr>
        <w:t>７</w:t>
      </w:r>
      <w:r>
        <w:rPr>
          <w:rFonts w:hint="eastAsia" w:ascii="华文仿宋" w:hAnsi="华文仿宋" w:cs="华文仿宋"/>
          <w:color w:val="000000"/>
        </w:rPr>
        <w:t>个工作日内，以书面形式向中心提出质疑。</w:t>
      </w:r>
    </w:p>
    <w:p w14:paraId="415CB1D0">
      <w:pPr>
        <w:spacing w:line="500" w:lineRule="exact"/>
        <w:ind w:firstLine="566" w:firstLineChars="200"/>
        <w:contextualSpacing/>
        <w:rPr>
          <w:rFonts w:ascii="华文仿宋" w:hAnsi="华文仿宋" w:cs="华文仿宋"/>
        </w:rPr>
      </w:pPr>
      <w:r>
        <w:rPr>
          <w:rFonts w:hint="eastAsia" w:ascii="华文仿宋" w:hAnsi="华文仿宋" w:cs="华文仿宋"/>
        </w:rPr>
        <w:t>1.供应商提出质疑应当提交质疑函和必要的证明材料，并按财政部《质疑函范本》给定的格式进行填写，范本下载详见【财政部国库司（gks.mof.gov.cn）】网站〖首页•〉政府采购管理〗栏目中的《政府采购供应商质疑函范本》。</w:t>
      </w:r>
    </w:p>
    <w:p w14:paraId="5D8F986F">
      <w:pPr>
        <w:spacing w:line="500" w:lineRule="exact"/>
        <w:ind w:firstLine="566" w:firstLineChars="200"/>
        <w:contextualSpacing/>
        <w:rPr>
          <w:rFonts w:ascii="华文仿宋" w:hAnsi="华文仿宋" w:cs="华文仿宋"/>
        </w:rPr>
      </w:pPr>
      <w:r>
        <w:rPr>
          <w:rFonts w:hint="eastAsia" w:ascii="华文仿宋" w:hAnsi="华文仿宋" w:cs="华文仿宋"/>
        </w:rPr>
        <w:t>《政府采购供应商质疑函范本》链接地址：</w:t>
      </w:r>
    </w:p>
    <w:p w14:paraId="21CEC489">
      <w:pPr>
        <w:spacing w:line="500" w:lineRule="exact"/>
        <w:ind w:firstLine="566" w:firstLineChars="200"/>
        <w:contextualSpacing/>
        <w:rPr>
          <w:rFonts w:ascii="华文仿宋" w:hAnsi="华文仿宋" w:cs="华文仿宋"/>
        </w:rPr>
      </w:pPr>
      <w:r>
        <w:fldChar w:fldCharType="begin"/>
      </w:r>
      <w:r>
        <w:instrText xml:space="preserve"> HYPERLINK "http://gks.mof.gov.cn/ztztz/zhengfucaigouguanli/201802/t20180201_2804589.htm" </w:instrText>
      </w:r>
      <w:r>
        <w:fldChar w:fldCharType="separate"/>
      </w:r>
      <w:r>
        <w:rPr>
          <w:rFonts w:hint="eastAsia" w:ascii="华文仿宋" w:hAnsi="华文仿宋" w:cs="华文仿宋"/>
        </w:rPr>
        <w:t>http://gks.mof.gov.cn/ztztz/zhengfucaigouguanli/201802/t20180201_2804589.htm</w:t>
      </w:r>
      <w:r>
        <w:rPr>
          <w:rFonts w:hint="eastAsia" w:ascii="华文仿宋" w:hAnsi="华文仿宋" w:cs="华文仿宋"/>
        </w:rPr>
        <w:fldChar w:fldCharType="end"/>
      </w:r>
    </w:p>
    <w:p w14:paraId="44C6D794">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580BFA85">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3.在法定质疑期内，针对同一采购程序环节的质疑应当一次性提出。中心或采购人将在收到书面质疑后7个工作日内做出答复，并以书面形式通知质疑人和其他有关供应商。</w:t>
      </w:r>
    </w:p>
    <w:p w14:paraId="30AC7DF3">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4.有下列情形之一的，属于无效质疑，中心和采购人不予受理：</w:t>
      </w:r>
    </w:p>
    <w:p w14:paraId="4AFC351C">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（1）质疑人不是参与本次政府采购项目的供应商或潜在供应商；</w:t>
      </w:r>
    </w:p>
    <w:p w14:paraId="7F33FEF7">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（2）质疑人与质疑事项不存在利害关系的；</w:t>
      </w:r>
    </w:p>
    <w:p w14:paraId="55C9FA0B">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（3）未在法定期限内提出质疑的；</w:t>
      </w:r>
    </w:p>
    <w:p w14:paraId="48DAA16A">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（4）质疑未以书面形式提出，或质疑函主要内容构成不完整的，或缺乏必要的证明材料及证明材料不完整的；</w:t>
      </w:r>
    </w:p>
    <w:p w14:paraId="40AEAB52">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（5）质疑函没有合法有效的签字、盖章或授权的；</w:t>
      </w:r>
    </w:p>
    <w:p w14:paraId="0583D1B4">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（6）以非法手段取得证据、材料的；</w:t>
      </w:r>
    </w:p>
    <w:p w14:paraId="77F82064">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（7）质疑答复后，同一质疑人就同一事项再次提出质疑的；</w:t>
      </w:r>
    </w:p>
    <w:p w14:paraId="59458B2B">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（8）不符合法律、法规、规章和政府采购监管机构规定的其他条件的。</w:t>
      </w:r>
    </w:p>
    <w:p w14:paraId="3C3DB05A">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5.质疑人对中心或采购人的答复不满意，以及中心或采购人未在规定时间内做出答复的，可以在答复期满后</w:t>
      </w:r>
      <w:r>
        <w:rPr>
          <w:rFonts w:hint="eastAsia" w:ascii="仿宋" w:hAnsi="仿宋" w:eastAsia="仿宋" w:cs="仿宋"/>
          <w:color w:val="000000"/>
        </w:rPr>
        <w:t>15</w:t>
      </w:r>
      <w:r>
        <w:rPr>
          <w:rFonts w:hint="eastAsia" w:ascii="华文仿宋" w:hAnsi="华文仿宋" w:cs="华文仿宋"/>
          <w:color w:val="000000"/>
        </w:rPr>
        <w:t>个工作日内向政府采购监管机构提出投诉。</w:t>
      </w:r>
    </w:p>
    <w:p w14:paraId="5F87F86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6.供应商投诉的事项不得超出已质疑事项的范围。</w:t>
      </w:r>
    </w:p>
    <w:p w14:paraId="21C6BC6E">
      <w:pPr>
        <w:spacing w:line="500" w:lineRule="exact"/>
        <w:ind w:firstLine="566" w:firstLineChars="200"/>
        <w:rPr>
          <w:rFonts w:ascii="华文仿宋" w:hAnsi="华文仿宋" w:cs="华文仿宋"/>
          <w:b/>
          <w:color w:val="000000"/>
        </w:rPr>
      </w:pPr>
      <w:r>
        <w:rPr>
          <w:rFonts w:hint="eastAsia" w:ascii="华文仿宋" w:hAnsi="华文仿宋" w:cs="华文仿宋"/>
          <w:b/>
          <w:bCs/>
          <w:color w:val="000000"/>
        </w:rPr>
        <w:t>7.</w:t>
      </w:r>
      <w:r>
        <w:rPr>
          <w:rFonts w:hint="eastAsia" w:ascii="华文仿宋" w:hAnsi="华文仿宋" w:cs="华文仿宋"/>
          <w:b/>
          <w:color w:val="000000"/>
        </w:rPr>
        <w:t>对捏造事实、提供虚假材料进行质疑、投诉的行为予以严肃处理：</w:t>
      </w:r>
    </w:p>
    <w:p w14:paraId="7B5A7F8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依据</w:t>
      </w:r>
      <w:r>
        <w:rPr>
          <w:rFonts w:hint="eastAsia"/>
          <w:color w:val="000000"/>
        </w:rPr>
        <w:t>《中华人民共和国政府采购法》及其实施条例、《政府采购竞争性磋商采购方式管理暂行办法》及有关问题的补充通知、《政府采购质疑和投诉办法》等法律法规文件的规定，供应商质疑、投诉应当有明确的请求和必要的证明材料。</w:t>
      </w:r>
      <w:r>
        <w:rPr>
          <w:rFonts w:hint="eastAsia"/>
          <w:b/>
          <w:bCs/>
          <w:color w:val="000000"/>
        </w:rPr>
        <w:t>投诉人在全国范围内十二个月内三次以上投诉查无实据的，由财政部门列入不良行为记录名单</w:t>
      </w:r>
      <w:r>
        <w:rPr>
          <w:rFonts w:hint="eastAsia"/>
          <w:color w:val="000000"/>
        </w:rPr>
        <w:t>。对于捏造事实、提供虚假材料或者以非法手段取得证明材料进行投诉的，财政部门应当予以驳回，并将其列入不良行为记录名单，禁止其一至三年内参加政府采购活动。</w:t>
      </w:r>
    </w:p>
    <w:p w14:paraId="7D5681FF">
      <w:pPr>
        <w:spacing w:line="500" w:lineRule="exact"/>
        <w:ind w:firstLine="566" w:firstLineChars="200"/>
        <w:rPr>
          <w:rFonts w:ascii="华文仿宋" w:hAnsi="华文仿宋" w:cs="华文仿宋"/>
          <w:b/>
          <w:color w:val="000000"/>
        </w:rPr>
      </w:pPr>
      <w:r>
        <w:rPr>
          <w:rFonts w:hint="eastAsia" w:ascii="华文仿宋" w:hAnsi="华文仿宋" w:cs="华文仿宋"/>
          <w:color w:val="000000"/>
        </w:rPr>
        <w:t>8.</w:t>
      </w:r>
      <w:r>
        <w:rPr>
          <w:rFonts w:hint="eastAsia" w:ascii="华文仿宋" w:hAnsi="华文仿宋" w:cs="华文仿宋"/>
          <w:b/>
          <w:color w:val="000000"/>
        </w:rPr>
        <w:t>对捏造事实诬告陷害他人、诽谤他人的法律适用：</w:t>
      </w:r>
    </w:p>
    <w:p w14:paraId="43E8DEA4">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243</w:t>
      </w:r>
      <w:r>
        <w:rPr>
          <w:rFonts w:hint="eastAsia" w:ascii="华文仿宋" w:hAnsi="华文仿宋" w:cs="华文仿宋"/>
          <w:color w:val="000000"/>
        </w:rPr>
        <w:t>条【诬告陷害罪】捏造事实诬告陷害他人，意图使他人受刑事追究，情节严重的，处三年以下有期徒刑、拘役或者管制；造成严重后果的，处三年以上十年以下有期徒刑。</w:t>
      </w:r>
    </w:p>
    <w:p w14:paraId="4502AB9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246</w:t>
      </w:r>
      <w:r>
        <w:rPr>
          <w:rFonts w:hint="eastAsia" w:ascii="华文仿宋" w:hAnsi="华文仿宋" w:cs="华文仿宋"/>
          <w:color w:val="000000"/>
        </w:rPr>
        <w:t>条【侮辱罪、诽谤罪】以暴力或者其他方法公然侮辱他人或者捏造事实诽谤他人，情节严重的，处三年以下有期徒刑、拘役、管制或者剥夺政治权利。</w:t>
      </w:r>
    </w:p>
    <w:p w14:paraId="3576F34F">
      <w:pPr>
        <w:spacing w:line="500" w:lineRule="exact"/>
        <w:ind w:firstLine="566" w:firstLineChars="200"/>
        <w:rPr>
          <w:rFonts w:ascii="华文仿宋" w:hAnsi="华文仿宋" w:cs="华文仿宋"/>
          <w:color w:val="FF0000"/>
          <w:sz w:val="36"/>
          <w:szCs w:val="36"/>
        </w:rPr>
      </w:pPr>
      <w:r>
        <w:rPr>
          <w:rFonts w:hint="eastAsia" w:ascii="华文仿宋" w:hAnsi="华文仿宋" w:cs="华文仿宋"/>
        </w:rPr>
        <w:t>9.质疑函递交地址：延安市公共资源交易中心（延安市市直单位政府采购中心）</w:t>
      </w:r>
    </w:p>
    <w:p w14:paraId="3E9B6AB8">
      <w:pPr>
        <w:spacing w:line="500" w:lineRule="exact"/>
        <w:ind w:firstLine="566" w:firstLineChars="200"/>
        <w:rPr>
          <w:rFonts w:ascii="仿宋" w:hAnsi="仿宋" w:eastAsia="仿宋" w:cs="仿宋"/>
        </w:rPr>
      </w:pPr>
      <w:r>
        <w:rPr>
          <w:rFonts w:hint="eastAsia" w:ascii="华文仿宋" w:hAnsi="华文仿宋" w:cs="华文仿宋"/>
        </w:rPr>
        <w:t>联系电话：</w:t>
      </w:r>
      <w:r>
        <w:rPr>
          <w:rFonts w:hint="eastAsia" w:ascii="仿宋" w:hAnsi="仿宋" w:eastAsia="仿宋" w:cs="仿宋"/>
        </w:rPr>
        <w:t>0911-2162209</w:t>
      </w:r>
    </w:p>
    <w:p w14:paraId="0754CAB5">
      <w:pPr>
        <w:spacing w:line="500" w:lineRule="exact"/>
        <w:ind w:firstLine="566" w:firstLineChars="200"/>
        <w:rPr>
          <w:rFonts w:ascii="华文仿宋" w:cs="Times New Roman"/>
        </w:rPr>
      </w:pPr>
      <w:r>
        <w:rPr>
          <w:rFonts w:hint="eastAsia" w:ascii="华文仿宋" w:hAnsi="华文仿宋" w:cs="华文仿宋"/>
        </w:rPr>
        <w:t>投诉书递交地址：延安市新区为民服务中心综合楼（1号楼）延安市财政局采购科</w:t>
      </w:r>
    </w:p>
    <w:p w14:paraId="5CAE8253">
      <w:pPr>
        <w:spacing w:line="500" w:lineRule="exact"/>
        <w:ind w:firstLine="566" w:firstLineChars="200"/>
        <w:rPr>
          <w:rFonts w:ascii="华文仿宋" w:cs="Times New Roman"/>
          <w:u w:val="single"/>
        </w:rPr>
      </w:pPr>
      <w:r>
        <w:rPr>
          <w:rFonts w:hint="eastAsia" w:ascii="华文仿宋" w:hAnsi="华文仿宋" w:cs="华文仿宋"/>
        </w:rPr>
        <w:t>联系电话：</w:t>
      </w:r>
      <w:r>
        <w:rPr>
          <w:rFonts w:hint="eastAsia" w:ascii="仿宋" w:hAnsi="仿宋" w:eastAsia="仿宋" w:cs="仿宋"/>
        </w:rPr>
        <w:t>0911-7091014</w:t>
      </w:r>
    </w:p>
    <w:p w14:paraId="5F8AC138">
      <w:pPr>
        <w:spacing w:line="500" w:lineRule="exact"/>
        <w:ind w:firstLine="566" w:firstLineChars="200"/>
        <w:contextualSpacing/>
        <w:rPr>
          <w:rFonts w:ascii="华文仿宋" w:hAnsi="华文仿宋" w:cs="华文仿宋"/>
          <w:b/>
          <w:color w:val="000000"/>
        </w:rPr>
      </w:pPr>
      <w:bookmarkStart w:id="74" w:name="_Toc14110_WPSOffice_Level3"/>
      <w:r>
        <w:rPr>
          <w:rFonts w:hint="eastAsia" w:ascii="华文仿宋" w:hAnsi="华文仿宋" w:cs="华文仿宋"/>
          <w:b/>
          <w:color w:val="000000"/>
        </w:rPr>
        <w:t>（四）关于信用记录的查询和使用</w:t>
      </w:r>
    </w:p>
    <w:p w14:paraId="2FDF944E">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1.磋商小组将在资格审查阶段通过【</w:t>
      </w:r>
      <w:r>
        <w:fldChar w:fldCharType="begin"/>
      </w:r>
      <w:r>
        <w:instrText xml:space="preserve"> HYPERLINK "http://www.creditchina.gov.cn" </w:instrText>
      </w:r>
      <w:r>
        <w:fldChar w:fldCharType="separate"/>
      </w:r>
      <w:r>
        <w:rPr>
          <w:rStyle w:val="23"/>
          <w:rFonts w:hint="eastAsia" w:ascii="华文仿宋" w:hAnsi="华文仿宋" w:cs="华文仿宋"/>
          <w:sz w:val="28"/>
        </w:rPr>
        <w:t>信用中国</w:t>
      </w:r>
      <w:r>
        <w:rPr>
          <w:rStyle w:val="23"/>
          <w:rFonts w:hint="eastAsia" w:ascii="华文仿宋" w:hAnsi="华文仿宋" w:cs="华文仿宋"/>
          <w:sz w:val="28"/>
        </w:rPr>
        <w:fldChar w:fldCharType="end"/>
      </w:r>
      <w:r>
        <w:rPr>
          <w:rFonts w:hint="eastAsia" w:ascii="华文仿宋" w:hAnsi="华文仿宋" w:cs="华文仿宋"/>
          <w:color w:val="000000"/>
        </w:rPr>
        <w:t>（www.creditchina.gov.cn）】、【</w:t>
      </w:r>
      <w:r>
        <w:fldChar w:fldCharType="begin"/>
      </w:r>
      <w:r>
        <w:instrText xml:space="preserve"> HYPERLINK "http://www.ccgp.gov.cn/cr/list" </w:instrText>
      </w:r>
      <w:r>
        <w:fldChar w:fldCharType="separate"/>
      </w:r>
      <w:r>
        <w:rPr>
          <w:rStyle w:val="23"/>
          <w:rFonts w:hint="eastAsia" w:ascii="华文仿宋" w:hAnsi="华文仿宋" w:cs="华文仿宋"/>
          <w:sz w:val="28"/>
        </w:rPr>
        <w:t>中国政府采购网</w:t>
      </w:r>
      <w:r>
        <w:rPr>
          <w:rStyle w:val="23"/>
          <w:rFonts w:hint="eastAsia" w:ascii="华文仿宋" w:hAnsi="华文仿宋" w:cs="华文仿宋"/>
          <w:sz w:val="28"/>
        </w:rPr>
        <w:fldChar w:fldCharType="end"/>
      </w:r>
      <w:r>
        <w:rPr>
          <w:rFonts w:hint="eastAsia" w:ascii="华文仿宋" w:hAnsi="华文仿宋" w:cs="华文仿宋"/>
          <w:color w:val="000000"/>
        </w:rPr>
        <w:t>（www.ccgp.gov.cn）】网站对电子响应文件中的《供应商信用记录书面声明函》的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财库</w:t>
      </w:r>
      <w:r>
        <w:rPr>
          <w:rFonts w:hint="eastAsia" w:ascii="仿宋" w:hAnsi="仿宋" w:eastAsia="仿宋" w:cs="仿宋"/>
          <w:color w:val="000000"/>
        </w:rPr>
        <w:t>〔2016〕125号）</w:t>
      </w:r>
      <w:r>
        <w:rPr>
          <w:rFonts w:hint="eastAsia" w:ascii="华文仿宋" w:hAnsi="华文仿宋" w:cs="华文仿宋"/>
          <w:color w:val="000000"/>
        </w:rPr>
        <w:t>的第二条第（三）款规定，其磋商或成交资格将被取消。</w:t>
      </w:r>
    </w:p>
    <w:p w14:paraId="1516D6B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2.供应商在参加政府采购活动前</w:t>
      </w:r>
      <w:r>
        <w:rPr>
          <w:rFonts w:hint="eastAsia" w:ascii="仿宋" w:hAnsi="仿宋" w:eastAsia="仿宋" w:cs="仿宋"/>
          <w:color w:val="000000"/>
        </w:rPr>
        <w:t>3</w:t>
      </w:r>
      <w:r>
        <w:rPr>
          <w:rFonts w:hint="eastAsia" w:ascii="华文仿宋" w:hAnsi="华文仿宋" w:cs="华文仿宋"/>
          <w:color w:val="000000"/>
        </w:rPr>
        <w:t>年内因违法经营被禁止在一定期限内参加政府采购活动，期限届满的，可以参加政府采购活动的，但供应商应提供相关证明材料。</w:t>
      </w:r>
    </w:p>
    <w:p w14:paraId="034FEF0C">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供应商信用记录及企业基本信息查询的时间段为“磋商公告发布之日（含当日）至提交电子响应文件截止之日（含当日）”。信用记录查询的结果，可以纸质截图或将截图保存至电子介质的形式留存。供应商未如实填报《供应商信用记录书面声明函》的，视为“供应商提供虚假材料谋取中标、成交的”行为。</w:t>
      </w:r>
    </w:p>
    <w:p w14:paraId="6EDE748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4.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67A706C9">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（五）相关的政府采购政策</w:t>
      </w:r>
      <w:bookmarkEnd w:id="74"/>
      <w:r>
        <w:rPr>
          <w:rFonts w:hint="eastAsia" w:ascii="华文仿宋" w:hAnsi="华文仿宋" w:cs="华文仿宋"/>
          <w:b/>
          <w:color w:val="000000"/>
        </w:rPr>
        <w:t>文件</w:t>
      </w:r>
    </w:p>
    <w:p w14:paraId="37ECB81C">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1.根据《政府采购促进中小企业发展管理办法》（财库</w:t>
      </w:r>
      <w:r>
        <w:rPr>
          <w:rFonts w:hint="eastAsia" w:ascii="仿宋" w:hAnsi="仿宋" w:eastAsia="仿宋" w:cs="仿宋"/>
          <w:color w:val="000000"/>
        </w:rPr>
        <w:t>〔2020〕46</w:t>
      </w:r>
      <w:r>
        <w:rPr>
          <w:rFonts w:hint="eastAsia" w:ascii="华文仿宋" w:hAnsi="华文仿宋" w:cs="华文仿宋"/>
          <w:color w:val="000000"/>
        </w:rPr>
        <w:t>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享受中小企业扶持政策。</w:t>
      </w:r>
    </w:p>
    <w:p w14:paraId="4B927E0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 xml:space="preserve">在货物采购项目中，供应商提供的货物既有中小企业制造货物，也有大型企业制造货物的，不享受本办法规定的中小企业扶持政策。 </w:t>
      </w:r>
    </w:p>
    <w:p w14:paraId="109BA99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2%-3%的扣除，工程项目为1%-2%的扣除。联合体各方均为小型、微型企业的，联合体视同为小型、微型企业。组成联合体或者接受分包的小微企业与联合体内其他企业、分包企业之间存在直接控股、管理关系的，不享受价格扣除优惠政策。</w:t>
      </w:r>
    </w:p>
    <w:p w14:paraId="7FFB5AE8">
      <w:pPr>
        <w:pStyle w:val="9"/>
        <w:spacing w:line="500" w:lineRule="exact"/>
        <w:ind w:firstLine="566" w:firstLineChars="200"/>
        <w:rPr>
          <w:rFonts w:ascii="仿宋" w:hAnsi="仿宋" w:eastAsia="仿宋" w:cs="仿宋"/>
          <w:color w:val="000000"/>
        </w:rPr>
      </w:pPr>
      <w:r>
        <w:rPr>
          <w:rFonts w:hint="eastAsia" w:ascii="仿宋" w:hAnsi="仿宋" w:eastAsia="仿宋" w:cs="仿宋"/>
          <w:color w:val="000000"/>
        </w:rPr>
        <w:t>根据《关于进一步加大政府采购支持中小企业力度的通知》（财库〔2022〕19号）的有关规定，货物服务采购项目给予中小企业的价格扣除优惠，由财库〔2020〕46号文件规定的6%—10%提高至10%—20%。大中型企业与中小企业组成联合体或者大中型企业向中小企业分包的，评审优惠幅度由2%—3%提高至4%—6%。政府采购工程的价格评审优惠按照财库〔2020〕46号文件的规定执行。</w:t>
      </w:r>
    </w:p>
    <w:p w14:paraId="750A44FA">
      <w:pPr>
        <w:spacing w:line="500" w:lineRule="exact"/>
        <w:ind w:firstLine="566" w:firstLineChars="200"/>
        <w:rPr>
          <w:rFonts w:ascii="华文仿宋" w:hAnsi="华文仿宋" w:cs="华文仿宋"/>
          <w:b/>
          <w:bCs/>
        </w:rPr>
      </w:pPr>
      <w:r>
        <w:rPr>
          <w:rFonts w:hint="eastAsia" w:ascii="仿宋" w:hAnsi="仿宋" w:eastAsia="仿宋" w:cs="仿宋"/>
          <w:b/>
          <w:bCs/>
          <w:color w:val="000000"/>
        </w:rPr>
        <w:t>参加政府采</w:t>
      </w:r>
      <w:r>
        <w:rPr>
          <w:rFonts w:hint="eastAsia" w:ascii="仿宋" w:hAnsi="仿宋" w:eastAsia="仿宋" w:cs="仿宋"/>
          <w:b/>
          <w:bCs/>
        </w:rPr>
        <w:t>购活动的中小企业应提供《中小企业声明函》原件的扫描件。未提供上述声明函原件的扫描件的，</w:t>
      </w:r>
      <w:r>
        <w:rPr>
          <w:rFonts w:hint="eastAsia" w:ascii="华文仿宋" w:hAnsi="华文仿宋" w:cs="华文仿宋"/>
          <w:b/>
          <w:bCs/>
        </w:rPr>
        <w:t>则电子响应文件无效。</w:t>
      </w:r>
    </w:p>
    <w:p w14:paraId="3762E9FC">
      <w:pPr>
        <w:pStyle w:val="9"/>
        <w:spacing w:line="500" w:lineRule="exact"/>
        <w:ind w:firstLine="566"/>
        <w:rPr>
          <w:color w:val="000000"/>
        </w:rPr>
      </w:pPr>
      <w:r>
        <w:rPr>
          <w:rFonts w:hint="eastAsia" w:ascii="华文仿宋" w:hAnsi="华文仿宋" w:cs="华文仿宋"/>
          <w:color w:val="000000"/>
        </w:rPr>
        <w:t>备注：小微企业划分标准参照《中小企业划型标准规定》（工信部联企业</w:t>
      </w:r>
      <w:r>
        <w:rPr>
          <w:rFonts w:hint="eastAsia" w:ascii="仿宋" w:hAnsi="仿宋" w:eastAsia="仿宋" w:cs="仿宋"/>
          <w:color w:val="000000"/>
        </w:rPr>
        <w:t>〔2011〕300</w:t>
      </w:r>
      <w:r>
        <w:rPr>
          <w:rFonts w:hint="eastAsia" w:ascii="华文仿宋" w:hAnsi="华文仿宋" w:cs="华文仿宋"/>
          <w:color w:val="000000"/>
        </w:rPr>
        <w:t>号）执行。</w:t>
      </w:r>
    </w:p>
    <w:p w14:paraId="1C0AD0A0">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rPr>
        <w:t>.</w:t>
      </w:r>
      <w:r>
        <w:rPr>
          <w:rFonts w:hint="eastAsia" w:ascii="华文仿宋" w:hAnsi="华文仿宋" w:cs="华文仿宋"/>
          <w:color w:val="000000"/>
          <w:lang w:val="zh-CN"/>
        </w:rPr>
        <w:t>监狱企业应符合《财政部</w:t>
      </w:r>
      <w:r>
        <w:rPr>
          <w:rFonts w:hint="eastAsia" w:ascii="华文仿宋" w:hAnsi="华文仿宋" w:cs="华文仿宋"/>
          <w:color w:val="000000"/>
        </w:rPr>
        <w:t xml:space="preserve"> 司法部关于政府采购支持监狱企业发展有关问题的通知》（财库〔</w:t>
      </w:r>
      <w:r>
        <w:rPr>
          <w:rFonts w:hint="eastAsia" w:ascii="仿宋" w:hAnsi="仿宋" w:eastAsia="仿宋" w:cs="仿宋"/>
          <w:color w:val="000000"/>
        </w:rPr>
        <w:t>2014</w:t>
      </w:r>
      <w:r>
        <w:rPr>
          <w:rFonts w:hint="eastAsia" w:ascii="华文仿宋" w:hAnsi="华文仿宋" w:cs="华文仿宋"/>
          <w:color w:val="000000"/>
        </w:rPr>
        <w:t>〕</w:t>
      </w:r>
      <w:r>
        <w:rPr>
          <w:rFonts w:hint="eastAsia" w:ascii="仿宋" w:hAnsi="仿宋" w:eastAsia="仿宋" w:cs="仿宋"/>
          <w:color w:val="000000"/>
        </w:rPr>
        <w:t>68</w:t>
      </w:r>
      <w:r>
        <w:rPr>
          <w:rFonts w:hint="eastAsia" w:ascii="华文仿宋" w:hAnsi="华文仿宋" w:cs="华文仿宋"/>
          <w:color w:val="000000"/>
        </w:rPr>
        <w:t>号）文件规定</w:t>
      </w:r>
      <w:r>
        <w:rPr>
          <w:rFonts w:hint="eastAsia" w:ascii="华文仿宋" w:hAnsi="华文仿宋" w:cs="华文仿宋"/>
          <w:color w:val="000000"/>
          <w:lang w:val="zh-CN"/>
        </w:rPr>
        <w:t>，并提供由省级以上监狱管理局、戒毒管理局(含新疆生产建设兵团)出具的属于</w:t>
      </w:r>
      <w:r>
        <w:rPr>
          <w:rFonts w:hint="eastAsia" w:ascii="华文仿宋" w:hAnsi="华文仿宋" w:cs="华文仿宋"/>
          <w:b/>
          <w:bCs/>
          <w:color w:val="000000"/>
          <w:lang w:val="zh-CN"/>
        </w:rPr>
        <w:t>监狱企业的证明文件</w:t>
      </w:r>
      <w:r>
        <w:rPr>
          <w:rFonts w:hint="eastAsia" w:ascii="华文仿宋" w:hAnsi="华文仿宋" w:cs="华文仿宋"/>
          <w:color w:val="000000"/>
          <w:lang w:val="zh-CN"/>
        </w:rPr>
        <w:t>扫描件，监狱和戒毒企业</w:t>
      </w:r>
      <w:r>
        <w:rPr>
          <w:rFonts w:hint="eastAsia" w:ascii="华文仿宋" w:hAnsi="华文仿宋" w:cs="华文仿宋"/>
          <w:color w:val="000000"/>
        </w:rPr>
        <w:t>视同小型、微型企业。</w:t>
      </w:r>
    </w:p>
    <w:p w14:paraId="5521C224">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3.根据财政部、民政部、中国残疾人联合会下发的《关于促进残疾人就业政府采购政策的通知》（财库</w:t>
      </w:r>
      <w:r>
        <w:rPr>
          <w:rFonts w:hint="eastAsia" w:ascii="仿宋" w:hAnsi="仿宋" w:eastAsia="仿宋" w:cs="仿宋"/>
          <w:color w:val="000000"/>
        </w:rPr>
        <w:t>〔2017〕141</w:t>
      </w:r>
      <w:r>
        <w:rPr>
          <w:rFonts w:hint="eastAsia" w:ascii="华文仿宋" w:hAnsi="华文仿宋" w:cs="华文仿宋"/>
          <w:color w:val="000000"/>
        </w:rPr>
        <w:t>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189BC023">
      <w:pPr>
        <w:spacing w:line="500" w:lineRule="exact"/>
        <w:ind w:firstLine="566" w:firstLineChars="200"/>
        <w:rPr>
          <w:rFonts w:ascii="华文仿宋" w:hAnsi="华文仿宋" w:cs="华文仿宋"/>
          <w:b/>
          <w:bCs/>
        </w:rPr>
      </w:pPr>
      <w:r>
        <w:rPr>
          <w:rFonts w:hint="eastAsia" w:ascii="华文仿宋" w:hAnsi="华文仿宋" w:cs="华文仿宋"/>
          <w:b/>
          <w:bCs/>
        </w:rPr>
        <w:t>参加政府采购活动的残疾人单位应提供《残疾人福利性单位声明函》原件的扫描件。未提供上述声明函原件的扫描件的供应商，则电子响应文件无效。</w:t>
      </w:r>
    </w:p>
    <w:p w14:paraId="0A088054">
      <w:pPr>
        <w:pStyle w:val="12"/>
        <w:keepNext w:val="0"/>
        <w:keepLines w:val="0"/>
        <w:pageBreakBefore w:val="0"/>
        <w:kinsoku/>
        <w:overflowPunct/>
        <w:topLinePunct w:val="0"/>
        <w:autoSpaceDE/>
        <w:autoSpaceDN/>
        <w:bidi w:val="0"/>
        <w:adjustRightInd/>
        <w:spacing w:line="500" w:lineRule="exact"/>
        <w:ind w:firstLine="566" w:firstLineChars="200"/>
        <w:textAlignment w:val="auto"/>
        <w:rPr>
          <w:rFonts w:ascii="华文仿宋" w:hAnsi="华文仿宋" w:eastAsia="华文仿宋" w:cs="华文仿宋"/>
          <w:color w:val="000000"/>
          <w:sz w:val="28"/>
        </w:rPr>
      </w:pPr>
      <w:r>
        <w:rPr>
          <w:rFonts w:hint="eastAsia" w:ascii="华文仿宋" w:hAnsi="华文仿宋" w:eastAsia="华文仿宋" w:cs="华文仿宋"/>
          <w:color w:val="000000"/>
          <w:sz w:val="28"/>
          <w:szCs w:val="28"/>
        </w:rPr>
        <w:t>4.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5EA8342">
      <w:pPr>
        <w:keepNext w:val="0"/>
        <w:keepLines w:val="0"/>
        <w:pageBreakBefore w:val="0"/>
        <w:kinsoku/>
        <w:overflowPunct/>
        <w:topLinePunct w:val="0"/>
        <w:autoSpaceDE/>
        <w:autoSpaceDN/>
        <w:bidi w:val="0"/>
        <w:adjustRightInd/>
        <w:spacing w:line="500" w:lineRule="exact"/>
        <w:ind w:firstLine="566" w:firstLineChars="200"/>
        <w:textAlignment w:val="auto"/>
        <w:rPr>
          <w:rFonts w:ascii="华文仿宋" w:hAnsi="华文仿宋" w:cs="华文仿宋"/>
          <w:color w:val="000000"/>
          <w:kern w:val="0"/>
        </w:rPr>
      </w:pPr>
      <w:r>
        <w:rPr>
          <w:rFonts w:hint="eastAsia" w:ascii="华文仿宋" w:hAnsi="华文仿宋" w:cs="华文仿宋"/>
          <w:color w:val="000000"/>
          <w:kern w:val="0"/>
        </w:rPr>
        <w:t>5.根据国务院办公厅《关于建立政府强制采购节能产品制度的通知》（国办发</w:t>
      </w:r>
      <w:r>
        <w:rPr>
          <w:rFonts w:hint="eastAsia" w:ascii="仿宋" w:hAnsi="仿宋" w:eastAsia="仿宋" w:cs="仿宋"/>
          <w:color w:val="000000"/>
        </w:rPr>
        <w:t>〔2007〕51</w:t>
      </w:r>
      <w:r>
        <w:rPr>
          <w:rFonts w:hint="eastAsia" w:ascii="华文仿宋" w:hAnsi="华文仿宋" w:cs="华文仿宋"/>
          <w:color w:val="000000"/>
          <w:kern w:val="0"/>
        </w:rPr>
        <w:t>号）有关要求，采购人需购买的产品属于政府强制采购节能产品范围应当在清单之内采购。节能清单中无对应细化分类且节能清单中的产品确实无法满足工作需要的，允许在节能清单之外采购。</w:t>
      </w:r>
      <w:bookmarkStart w:id="75" w:name="_Toc3858_WPSOffice_Level3"/>
    </w:p>
    <w:p w14:paraId="25AAFA90">
      <w:pPr>
        <w:pStyle w:val="7"/>
        <w:keepNext w:val="0"/>
        <w:keepLines w:val="0"/>
        <w:pageBreakBefore w:val="0"/>
        <w:kinsoku/>
        <w:overflowPunct/>
        <w:topLinePunct w:val="0"/>
        <w:autoSpaceDE/>
        <w:autoSpaceDN/>
        <w:bidi w:val="0"/>
        <w:adjustRightInd/>
        <w:spacing w:line="500" w:lineRule="exact"/>
        <w:ind w:firstLine="566" w:firstLineChars="200"/>
        <w:textAlignment w:val="auto"/>
        <w:rPr>
          <w:rFonts w:ascii="华文仿宋" w:hAnsi="华文仿宋" w:cs="华文仿宋"/>
          <w:color w:val="000000"/>
          <w:kern w:val="0"/>
        </w:rPr>
      </w:pPr>
      <w:r>
        <w:rPr>
          <w:rFonts w:hint="eastAsia" w:ascii="华文仿宋" w:hAnsi="华文仿宋" w:cs="华文仿宋"/>
          <w:color w:val="000000"/>
          <w:kern w:val="0"/>
        </w:rPr>
        <w:t>6.节能产品政府采购品目清单详见财政部、发展改革委《关于印发节能产品政府采购品目清单的通知》（财库〔2019〕19号）。</w:t>
      </w:r>
    </w:p>
    <w:p w14:paraId="1159B232">
      <w:pPr>
        <w:pStyle w:val="7"/>
        <w:keepNext w:val="0"/>
        <w:keepLines w:val="0"/>
        <w:pageBreakBefore w:val="0"/>
        <w:kinsoku/>
        <w:overflowPunct/>
        <w:topLinePunct w:val="0"/>
        <w:autoSpaceDE/>
        <w:autoSpaceDN/>
        <w:bidi w:val="0"/>
        <w:adjustRightInd/>
        <w:spacing w:line="500" w:lineRule="exact"/>
        <w:ind w:firstLine="566" w:firstLineChars="200"/>
        <w:textAlignment w:val="auto"/>
        <w:rPr>
          <w:rFonts w:ascii="华文仿宋" w:hAnsi="华文仿宋" w:cs="华文仿宋"/>
          <w:color w:val="000000"/>
          <w:kern w:val="0"/>
        </w:rPr>
      </w:pPr>
      <w:r>
        <w:rPr>
          <w:rFonts w:hint="eastAsia" w:ascii="华文仿宋" w:hAnsi="华文仿宋" w:cs="华文仿宋"/>
          <w:color w:val="000000"/>
          <w:kern w:val="0"/>
        </w:rPr>
        <w:t>7.环境标志产品政府采购品目清单详见财政部、生态环境部《关于印发环境标志产品政府采购品目清单的通知》（财库〔2019〕18号）。</w:t>
      </w:r>
    </w:p>
    <w:p w14:paraId="1DC39A2E">
      <w:pPr>
        <w:pStyle w:val="7"/>
        <w:keepNext w:val="0"/>
        <w:keepLines w:val="0"/>
        <w:pageBreakBefore w:val="0"/>
        <w:kinsoku/>
        <w:overflowPunct/>
        <w:topLinePunct w:val="0"/>
        <w:autoSpaceDE/>
        <w:autoSpaceDN/>
        <w:bidi w:val="0"/>
        <w:adjustRightInd/>
        <w:spacing w:line="500" w:lineRule="exact"/>
        <w:ind w:firstLine="566" w:firstLineChars="200"/>
        <w:textAlignment w:val="auto"/>
        <w:rPr>
          <w:rFonts w:ascii="华文仿宋" w:hAnsi="华文仿宋" w:cs="华文仿宋"/>
          <w:color w:val="000000"/>
          <w:kern w:val="0"/>
        </w:rPr>
      </w:pPr>
      <w:r>
        <w:rPr>
          <w:rFonts w:hint="eastAsia" w:ascii="华文仿宋" w:hAnsi="华文仿宋" w:cs="华文仿宋"/>
          <w:color w:val="000000"/>
          <w:kern w:val="0"/>
        </w:rPr>
        <w:t>8.国家确定的节能产品、环境标志产品认证机构详见市场监管总局《关于发布参与实施政府采购节能产品、环境标志产品认证机构名录的公告》（2019年第16号）。</w:t>
      </w:r>
    </w:p>
    <w:p w14:paraId="21621E9C">
      <w:pPr>
        <w:pStyle w:val="7"/>
        <w:keepNext w:val="0"/>
        <w:keepLines w:val="0"/>
        <w:pageBreakBefore w:val="0"/>
        <w:kinsoku/>
        <w:wordWrap w:val="0"/>
        <w:overflowPunct/>
        <w:topLinePunct w:val="0"/>
        <w:autoSpaceDE/>
        <w:autoSpaceDN/>
        <w:bidi w:val="0"/>
        <w:adjustRightInd/>
        <w:spacing w:line="500" w:lineRule="exact"/>
        <w:ind w:firstLine="566" w:firstLineChars="200"/>
        <w:textAlignment w:val="auto"/>
        <w:rPr>
          <w:rFonts w:hint="eastAsia" w:ascii="华文仿宋" w:hAnsi="华文仿宋" w:eastAsia="华文仿宋" w:cs="华文仿宋"/>
          <w:kern w:val="0"/>
        </w:rPr>
      </w:pPr>
      <w:r>
        <w:rPr>
          <w:rFonts w:hint="eastAsia" w:ascii="华文仿宋" w:hAnsi="华文仿宋" w:eastAsia="华文仿宋" w:cs="华文仿宋"/>
          <w:color w:val="000000"/>
          <w:kern w:val="0"/>
        </w:rPr>
        <w:t>9.</w:t>
      </w:r>
      <w:r>
        <w:rPr>
          <w:rFonts w:hint="eastAsia" w:ascii="华文仿宋" w:hAnsi="华文仿宋" w:eastAsia="华文仿宋" w:cs="华文仿宋"/>
          <w:kern w:val="0"/>
        </w:rPr>
        <w:t>根据陕西省财政厅关于印发《陕西省中小企业政府采购信用融资办法》（陕财办采〔2018〕23号）规定“</w:t>
      </w:r>
      <w:r>
        <w:rPr>
          <w:rFonts w:hint="eastAsia" w:ascii="华文仿宋" w:hAnsi="华文仿宋" w:eastAsia="华文仿宋" w:cs="华文仿宋"/>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r>
        <w:rPr>
          <w:rFonts w:hint="eastAsia" w:ascii="华文仿宋" w:hAnsi="华文仿宋" w:eastAsia="华文仿宋" w:cs="华文仿宋"/>
          <w:kern w:val="0"/>
        </w:rPr>
        <w:t>”（</w:t>
      </w:r>
      <w:r>
        <w:rPr>
          <w:rFonts w:hint="eastAsia" w:ascii="华文仿宋" w:hAnsi="华文仿宋" w:eastAsia="华文仿宋" w:cs="华文仿宋"/>
        </w:rPr>
        <w:fldChar w:fldCharType="begin"/>
      </w:r>
      <w:r>
        <w:rPr>
          <w:rFonts w:hint="eastAsia" w:ascii="华文仿宋" w:hAnsi="华文仿宋" w:eastAsia="华文仿宋" w:cs="华文仿宋"/>
        </w:rPr>
        <w:instrText xml:space="preserve"> HYPERLINK "http://www.ccgp-shaanxi.gov.cn/zcdservice/zcd/shanxi/" </w:instrText>
      </w:r>
      <w:r>
        <w:rPr>
          <w:rFonts w:hint="eastAsia" w:ascii="华文仿宋" w:hAnsi="华文仿宋" w:eastAsia="华文仿宋" w:cs="华文仿宋"/>
        </w:rPr>
        <w:fldChar w:fldCharType="separate"/>
      </w:r>
      <w:r>
        <w:rPr>
          <w:rFonts w:hint="eastAsia" w:ascii="华文仿宋" w:hAnsi="华文仿宋" w:eastAsia="华文仿宋" w:cs="华文仿宋"/>
          <w:kern w:val="0"/>
        </w:rPr>
        <w:t>陕西省政府采购信用融资平台</w:t>
      </w:r>
      <w:r>
        <w:rPr>
          <w:rFonts w:hint="eastAsia" w:ascii="华文仿宋" w:hAnsi="华文仿宋" w:eastAsia="华文仿宋" w:cs="华文仿宋"/>
          <w:kern w:val="0"/>
        </w:rPr>
        <w:fldChar w:fldCharType="end"/>
      </w:r>
      <w:r>
        <w:rPr>
          <w:rFonts w:hint="eastAsia" w:ascii="华文仿宋" w:hAnsi="华文仿宋" w:eastAsia="华文仿宋" w:cs="华文仿宋"/>
          <w:kern w:val="0"/>
        </w:rPr>
        <w:t>：http://www.ccgp-shaanxi.gov.cn/zcdservice/zcd/shanxi/）</w:t>
      </w:r>
    </w:p>
    <w:p w14:paraId="2BE78231">
      <w:pPr>
        <w:pStyle w:val="9"/>
        <w:spacing w:line="500" w:lineRule="exact"/>
        <w:ind w:firstLine="566" w:firstLineChars="200"/>
        <w:rPr>
          <w:rFonts w:hint="eastAsia" w:ascii="华文仿宋" w:hAnsi="华文仿宋" w:cs="华文仿宋"/>
          <w:b/>
          <w:bCs/>
          <w:color w:val="000000"/>
          <w:lang w:val="en-US" w:eastAsia="zh-CN"/>
        </w:rPr>
      </w:pPr>
    </w:p>
    <w:p w14:paraId="33677CDD">
      <w:pPr>
        <w:pStyle w:val="9"/>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10.根据财政部《关于推动解决政府采购异常低价问题的通知》（财库〔2026〕2号）有关要求，（一）政府采购评审中出现下列情形之一的，评审委员会应当启动异常低价投标（响应）审查程序：</w:t>
      </w:r>
    </w:p>
    <w:p w14:paraId="4C072B07">
      <w:pPr>
        <w:pStyle w:val="9"/>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1.投标（响应）报价低于全部通过符合性审查供应商投标（响应）报价平均值50%的，即投标（响应）报价&lt;全部通过符合性审查供应商投标（响应）报价平均值×50%；</w:t>
      </w:r>
    </w:p>
    <w:p w14:paraId="25A43F27">
      <w:pPr>
        <w:pStyle w:val="9"/>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2.投标（响应）报价低于通过符合性审查的次低报价供应商投标（响应）报价50%的，即投标（响应）报价&lt;通过符合性审查的次低报价供应商投标（响应）报价×50%；</w:t>
      </w:r>
    </w:p>
    <w:p w14:paraId="224F4432">
      <w:pPr>
        <w:pStyle w:val="9"/>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3.投标（响应）报价低于采购项目最高限价45%的，即投标（响应）报价&lt;采购项目最高限价×45%；</w:t>
      </w:r>
    </w:p>
    <w:p w14:paraId="53A01D5D">
      <w:pPr>
        <w:pStyle w:val="9"/>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4.评审委员会基于专业判断，认为供应商报价过低，有可能影响产品质量或者不能诚信履约的其他情形。</w:t>
      </w:r>
    </w:p>
    <w:p w14:paraId="6D436582">
      <w:pPr>
        <w:pStyle w:val="9"/>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采购人可以结合具体项目实际情况，提高上述第1项至第3项中启动异常低价投标（响应）审查的数值标准，但是最高不得超过65%。</w:t>
      </w:r>
    </w:p>
    <w:p w14:paraId="6E8687E8">
      <w:pPr>
        <w:pStyle w:val="9"/>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　相关法律法规对供应商报价有规定的，从其规定。</w:t>
      </w:r>
    </w:p>
    <w:p w14:paraId="201B3D67">
      <w:pPr>
        <w:pStyle w:val="9"/>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D810017">
      <w:pPr>
        <w:pStyle w:val="9"/>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ACEC765">
      <w:pPr>
        <w:pStyle w:val="9"/>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F1D540A">
      <w:pPr>
        <w:pStyle w:val="9"/>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57C89733">
      <w:pPr>
        <w:pStyle w:val="9"/>
        <w:spacing w:line="500" w:lineRule="exact"/>
        <w:ind w:firstLine="566" w:firstLineChars="200"/>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75C29BEA">
      <w:pPr>
        <w:pStyle w:val="9"/>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val="en-US" w:eastAsia="zh-CN"/>
        </w:rPr>
        <w:t>注：</w:t>
      </w:r>
      <w:r>
        <w:rPr>
          <w:rFonts w:hint="eastAsia" w:ascii="华文仿宋" w:hAnsi="华文仿宋" w:cs="华文仿宋"/>
          <w:b/>
          <w:bCs/>
          <w:color w:val="000000"/>
        </w:rPr>
        <w:t>本项目为专门面向</w:t>
      </w:r>
      <w:r>
        <w:rPr>
          <w:rFonts w:hint="eastAsia" w:ascii="华文仿宋" w:hAnsi="华文仿宋" w:cs="华文仿宋"/>
          <w:b/>
          <w:bCs/>
          <w:color w:val="000000"/>
          <w:lang w:val="en-US" w:eastAsia="zh-CN"/>
        </w:rPr>
        <w:t>小微</w:t>
      </w:r>
      <w:r>
        <w:rPr>
          <w:rFonts w:hint="eastAsia" w:ascii="华文仿宋" w:hAnsi="华文仿宋" w:cs="华文仿宋"/>
          <w:b/>
          <w:bCs/>
          <w:color w:val="000000"/>
        </w:rPr>
        <w:t>企业的采购项目，因此，不再执行价格评审优惠扶持政策。</w:t>
      </w:r>
    </w:p>
    <w:p w14:paraId="00914645">
      <w:pPr>
        <w:spacing w:line="500" w:lineRule="exact"/>
        <w:ind w:firstLine="566" w:firstLineChars="200"/>
        <w:rPr>
          <w:rFonts w:ascii="华文仿宋" w:hAnsi="华文仿宋" w:cs="华文仿宋"/>
          <w:b/>
          <w:color w:val="000000"/>
          <w:kern w:val="0"/>
        </w:rPr>
      </w:pPr>
      <w:r>
        <w:rPr>
          <w:rFonts w:hint="eastAsia" w:ascii="华文仿宋" w:hAnsi="华文仿宋" w:cs="华文仿宋"/>
          <w:b/>
          <w:color w:val="000000"/>
          <w:kern w:val="0"/>
        </w:rPr>
        <w:t>（六）关于产品和服务</w:t>
      </w:r>
      <w:bookmarkEnd w:id="75"/>
    </w:p>
    <w:p w14:paraId="5564119A">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1</w:t>
      </w:r>
      <w:r>
        <w:rPr>
          <w:rFonts w:hint="eastAsia" w:ascii="华文仿宋" w:hAnsi="华文仿宋" w:cs="华文仿宋"/>
          <w:bCs/>
          <w:color w:val="000000"/>
        </w:rPr>
        <w:t>.所有产品必须具有在中国境内法定许可的生产及销售资格，且为全新原厂制造，其核心关键部分为近10个月内所生产的非淘汰类产品；属于《中华人民共和国实施强制性产品认证的产品目录》的产品，就不能提供超出此目录范畴外的替代品，此外，还须同时具备国家认监委颁布《中国强制认证》（CCC认证）。</w:t>
      </w:r>
    </w:p>
    <w:p w14:paraId="59B5164F">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ascii="华文仿宋" w:hAnsi="华文仿宋" w:cs="华文仿宋"/>
          <w:bCs/>
          <w:color w:val="000000"/>
        </w:rPr>
        <w:t>.采购的产品属于政府采购节能产品、环境标志产品品目清单范围的，供应商需提供国家确定的认证机构出具的、处于有效期之内的节能产品、环境标志产品认证证书，对获得证书的产品实施政府优先采购或强制采购。</w:t>
      </w:r>
    </w:p>
    <w:p w14:paraId="40497B79">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3</w:t>
      </w:r>
      <w:r>
        <w:rPr>
          <w:rFonts w:hint="eastAsia" w:ascii="华文仿宋" w:hAnsi="华文仿宋" w:cs="华文仿宋"/>
          <w:bCs/>
          <w:color w:val="000000"/>
        </w:rPr>
        <w:t>.主机设备要有标准配置清单，使用操作及安全须知等重要资料应附有中文说明；国内制造的产品必须同时具备出厂合格证和相关检测报告。购置的计算机设备必须配有正版合法的经委托人认可的操作系统和软件。</w:t>
      </w:r>
    </w:p>
    <w:p w14:paraId="06BF0AE3">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4</w:t>
      </w:r>
      <w:r>
        <w:rPr>
          <w:rFonts w:hint="eastAsia" w:ascii="华文仿宋" w:hAnsi="华文仿宋" w:cs="华文仿宋"/>
          <w:bCs/>
          <w:color w:val="000000"/>
        </w:rPr>
        <w:t>.信息安全产品应当获得国家信息安全认证，并可提供由中国信息安全认证中心按照国家标准认证颁发的有效认证证书。</w:t>
      </w:r>
    </w:p>
    <w:p w14:paraId="4B01F98A">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5</w:t>
      </w:r>
      <w:r>
        <w:rPr>
          <w:rFonts w:hint="eastAsia" w:ascii="华文仿宋" w:hAnsi="华文仿宋" w:cs="华文仿宋"/>
          <w:bCs/>
          <w:color w:val="000000"/>
        </w:rPr>
        <w:t>.根据《政府采购进口产品管理办法》（财库〔2007〕119号）与《关于政府采购进口产品管理有关问题的通知》（财办库〔200</w:t>
      </w:r>
      <w:r>
        <w:rPr>
          <w:rFonts w:ascii="华文仿宋" w:hAnsi="华文仿宋" w:cs="华文仿宋"/>
          <w:bCs/>
          <w:color w:val="000000"/>
        </w:rPr>
        <w:t>8</w:t>
      </w:r>
      <w:r>
        <w:rPr>
          <w:rFonts w:hint="eastAsia" w:ascii="华文仿宋" w:hAnsi="华文仿宋" w:cs="华文仿宋"/>
          <w:bCs/>
          <w:color w:val="000000"/>
        </w:rPr>
        <w:t>〕</w:t>
      </w:r>
      <w:r>
        <w:rPr>
          <w:rFonts w:hint="eastAsia" w:ascii="仿宋" w:hAnsi="仿宋" w:eastAsia="仿宋" w:cs="仿宋"/>
          <w:bCs/>
          <w:color w:val="000000"/>
        </w:rPr>
        <w:t>248</w:t>
      </w:r>
      <w:r>
        <w:rPr>
          <w:rFonts w:hint="eastAsia" w:ascii="华文仿宋" w:hAnsi="华文仿宋" w:cs="华文仿宋"/>
          <w:bCs/>
          <w:color w:val="000000"/>
        </w:rPr>
        <w:t>号）的有关规定，未经核准同意，供应商投标时必须提供本国产品，供应商以进口产品参与磋商的，将作无效磋商处理。</w:t>
      </w:r>
    </w:p>
    <w:p w14:paraId="3CDBBAA4">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6.如电子磋商文件中已说明，经政府采购管理部门审核同意，允许部分或全部产品采购进口产品，供应商既可提供本国产品，也可以提供进口产品。根据延安市财政局（延财办采〔2023〕14号）文件要求，参加本次采购的供应商不得采购美光公司产品（包括含有美光芯片的产品）。在提供的进口产品中，优先采购向我国企业转让技术、与我国企业签订消化吸收再创新方案的供应商的进口产品。进口产品必须同时具备原产地证明、中国商检证明及合法进货渠道全套单证。</w:t>
      </w:r>
    </w:p>
    <w:p w14:paraId="0275AAA1">
      <w:pPr>
        <w:spacing w:line="500" w:lineRule="exact"/>
        <w:ind w:firstLine="566" w:firstLineChars="200"/>
        <w:rPr>
          <w:rFonts w:ascii="华文仿宋" w:hAnsi="华文仿宋" w:cs="华文仿宋"/>
          <w:b/>
          <w:color w:val="000000"/>
        </w:rPr>
      </w:pPr>
      <w:bookmarkStart w:id="76" w:name="_Toc11745_WPSOffice_Level3"/>
      <w:r>
        <w:rPr>
          <w:rFonts w:hint="eastAsia" w:ascii="华文仿宋" w:hAnsi="华文仿宋" w:cs="华文仿宋"/>
          <w:b/>
          <w:color w:val="000000"/>
        </w:rPr>
        <w:t>（七）关于同一品牌产品的处理</w:t>
      </w:r>
    </w:p>
    <w:p w14:paraId="3F6ADECA">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单一产品采购项目中，提供相同品牌的产品的不同供应商参加同一合同项下投标的，提供相同品牌产品且通过资格审查、符合性审查的不同供应商，按一家供应商计算，评审后得分最高的同品牌供应商获得成交供应商推荐资格；评审得分相同的，由磋商小组按照最后报价最低的方式确定一个获得成交供应商推荐资格，其他同品牌供应商不作为成交候选人。</w:t>
      </w:r>
    </w:p>
    <w:p w14:paraId="2C8067BE">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2.非单一产品采购项目，采购人将根据采购项目技术构成、产品价格比重等因素确定核心产品（可能不止一种），并在电子磋商文件中载明。提供相同品牌的核心产品且通过资格审查、符合性审查的不同供应商参加同一合同项下投标的，按一家供应商计算，评审后得分最高的同品牌供应商获得成交供应商推荐资格；评审得分相同的，由磋商小组按照投标报价最低的方式确定一个获得成交供应商推荐资格，其他同品牌供应商不作为中标候选人。</w:t>
      </w:r>
    </w:p>
    <w:p w14:paraId="4B6B11D5">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3.核心产品为两个以上时，多家供应商提供的核心产品有部分采用或全部采用相同品牌的，按一家供应商计算。</w:t>
      </w:r>
    </w:p>
    <w:p w14:paraId="12BA57ED">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（八）知识产权与保密事项</w:t>
      </w:r>
      <w:bookmarkEnd w:id="76"/>
    </w:p>
    <w:p w14:paraId="19D60168">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1.所有涉及知识产权的产品及设计，供应商必须确保委托人、采购人拥有其合法的、不受限制的无偿使用权，并免受任何侵权诉讼或索偿，否则，由此产生的一切经济损失和法律责任由供应商承担。</w:t>
      </w:r>
    </w:p>
    <w:p w14:paraId="73090024">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bCs/>
          <w:color w:val="000000"/>
        </w:rPr>
        <w:t>由采购人向供应商提供的用户需求书、图纸、样品、模型、模件和所有资料，供应商获得后，应对其保密。除非采购人同意，供应商不得向第三方透露或将其用于本次磋商以外的任何用途。电子响应文件开启后，若采购人有要求，供应商人须归还采购人认为需保密的文件和资料，并销毁所有相应的备份文件及资料。</w:t>
      </w:r>
    </w:p>
    <w:p w14:paraId="4F235C34">
      <w:pPr>
        <w:spacing w:line="500" w:lineRule="exact"/>
        <w:ind w:firstLine="566" w:firstLineChars="200"/>
        <w:rPr>
          <w:rFonts w:ascii="华文仿宋" w:hAnsi="华文仿宋" w:cs="华文仿宋"/>
          <w:color w:val="000000"/>
        </w:rPr>
      </w:pPr>
      <w:bookmarkStart w:id="77" w:name="_Toc17240_WPSOffice_Level3"/>
      <w:r>
        <w:rPr>
          <w:rFonts w:hint="eastAsia" w:ascii="华文仿宋" w:hAnsi="华文仿宋" w:cs="华文仿宋"/>
          <w:b/>
          <w:color w:val="000000"/>
        </w:rPr>
        <w:t>（九）供应商的磋商费用自理</w:t>
      </w:r>
      <w:bookmarkEnd w:id="77"/>
    </w:p>
    <w:p w14:paraId="553136C4">
      <w:pPr>
        <w:pStyle w:val="3"/>
        <w:ind w:firstLine="567"/>
        <w:rPr>
          <w:rFonts w:ascii="华文仿宋" w:hAnsi="华文仿宋" w:cs="华文仿宋"/>
          <w:color w:val="000000"/>
          <w:sz w:val="28"/>
          <w:szCs w:val="28"/>
        </w:rPr>
      </w:pPr>
      <w:r>
        <w:rPr>
          <w:rFonts w:hint="eastAsia" w:ascii="华文仿宋" w:hAnsi="华文仿宋" w:cs="华文仿宋"/>
          <w:color w:val="000000"/>
          <w:sz w:val="28"/>
          <w:szCs w:val="28"/>
        </w:rPr>
        <w:t>三、电子磋商文件</w:t>
      </w:r>
    </w:p>
    <w:p w14:paraId="22304D69">
      <w:pPr>
        <w:spacing w:line="500" w:lineRule="exact"/>
        <w:ind w:firstLine="566" w:firstLineChars="200"/>
        <w:rPr>
          <w:rFonts w:ascii="华文仿宋" w:hAnsi="华文仿宋" w:cs="华文仿宋"/>
          <w:b/>
          <w:color w:val="000000"/>
        </w:rPr>
      </w:pPr>
      <w:bookmarkStart w:id="78" w:name="_Toc20873_WPSOffice_Level3"/>
      <w:r>
        <w:rPr>
          <w:rFonts w:hint="eastAsia" w:ascii="华文仿宋" w:hAnsi="华文仿宋" w:cs="华文仿宋"/>
          <w:b/>
          <w:color w:val="000000"/>
        </w:rPr>
        <w:t>（一）电子磋商文件包括下列内容</w:t>
      </w:r>
      <w:bookmarkEnd w:id="78"/>
    </w:p>
    <w:p w14:paraId="6431474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第一章　磋商邀请函</w:t>
      </w:r>
    </w:p>
    <w:p w14:paraId="67F7064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第二章　供应商须知</w:t>
      </w:r>
    </w:p>
    <w:p w14:paraId="4D7D94EF">
      <w:pPr>
        <w:spacing w:line="500" w:lineRule="exact"/>
        <w:ind w:firstLine="566" w:firstLineChars="200"/>
        <w:rPr>
          <w:rFonts w:ascii="华文仿宋" w:hAnsi="华文仿宋" w:cs="华文仿宋"/>
          <w:bCs/>
          <w:color w:val="000000"/>
        </w:rPr>
      </w:pPr>
      <w:bookmarkStart w:id="79" w:name="_Toc20041_WPSOffice_Level3"/>
      <w:r>
        <w:rPr>
          <w:rFonts w:hint="eastAsia" w:ascii="华文仿宋" w:hAnsi="华文仿宋" w:cs="华文仿宋"/>
          <w:bCs/>
          <w:color w:val="000000"/>
        </w:rPr>
        <w:t>第三章　磋商内容及采购要求</w:t>
      </w:r>
    </w:p>
    <w:p w14:paraId="6308C27A">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第四章　合同草案条款</w:t>
      </w:r>
    </w:p>
    <w:p w14:paraId="730417BB">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第五章　电子响应文件构成及格式</w:t>
      </w:r>
    </w:p>
    <w:p w14:paraId="5DB5D621">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（二）电子磋商文件的检查及阅读</w:t>
      </w:r>
      <w:bookmarkEnd w:id="79"/>
    </w:p>
    <w:p w14:paraId="4ECD263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下载电子磋商文件后应仔细阅读检查电子磋商文件中的所有内容，按照电子磋商文件中所列事项、条款、规范要求及格式，在电子响应文件中对电子磋商文件做出全面的响应，并按电子磋商文件的要求提交全部资料。</w:t>
      </w:r>
    </w:p>
    <w:p w14:paraId="137424B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项目废标后重新组织磋商的，中心将重新编制、发布新版电子磋商文件，供应商应按新版电子磋商文件重新编制电子响应文件。原电子磋商文件及电子响应文件失效。</w:t>
      </w:r>
    </w:p>
    <w:p w14:paraId="5300AAAE">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电子响应文件封面、响应函以及法定代表人授权委托书三处的项目名称、项目编号、标段（如有）应当与最新发布的电子磋商文件保持一致，否则将被视为无效电子响应文件。</w:t>
      </w:r>
    </w:p>
    <w:p w14:paraId="5E5EF7AA">
      <w:pPr>
        <w:spacing w:line="500" w:lineRule="exact"/>
        <w:ind w:firstLine="566" w:firstLineChars="200"/>
        <w:rPr>
          <w:rFonts w:ascii="华文仿宋" w:hAnsi="华文仿宋" w:cs="华文仿宋"/>
          <w:b/>
          <w:color w:val="000000"/>
        </w:rPr>
      </w:pPr>
      <w:bookmarkStart w:id="80" w:name="_Toc12798_WPSOffice_Level3"/>
      <w:r>
        <w:rPr>
          <w:rFonts w:hint="eastAsia" w:ascii="华文仿宋" w:hAnsi="华文仿宋" w:cs="华文仿宋"/>
          <w:b/>
          <w:color w:val="000000"/>
        </w:rPr>
        <w:t>（三）电子磋商文件的修改、澄清</w:t>
      </w:r>
      <w:bookmarkEnd w:id="80"/>
    </w:p>
    <w:p w14:paraId="3705CC60">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rPr>
        <w:t>.在提交电子响应文件截止之日前，中心可对已发出的电子磋商文件进行必要的澄清或者修改，澄清或者修改的内容作为电子磋商文件的组成部分。澄清或者修改的内容可能影响电子响应文件编制的，中心将在提交电子响应文件截止之日至少</w:t>
      </w:r>
      <w:r>
        <w:rPr>
          <w:rFonts w:hint="eastAsia" w:ascii="仿宋" w:hAnsi="仿宋" w:eastAsia="仿宋" w:cs="仿宋"/>
          <w:color w:val="000000"/>
        </w:rPr>
        <w:t>5</w:t>
      </w:r>
      <w:r>
        <w:rPr>
          <w:rFonts w:hint="eastAsia" w:ascii="华文仿宋" w:hAnsi="华文仿宋" w:cs="华文仿宋"/>
          <w:color w:val="000000"/>
        </w:rPr>
        <w:t>日前，在财政部门指定的政府采购信息发布媒体上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；不足</w:t>
      </w:r>
      <w:r>
        <w:rPr>
          <w:rFonts w:hint="eastAsia" w:ascii="仿宋" w:hAnsi="仿宋" w:eastAsia="仿宋" w:cs="仿宋"/>
          <w:color w:val="000000"/>
        </w:rPr>
        <w:t>5</w:t>
      </w:r>
      <w:r>
        <w:rPr>
          <w:rFonts w:hint="eastAsia" w:ascii="华文仿宋" w:hAnsi="华文仿宋" w:cs="华文仿宋"/>
          <w:color w:val="000000"/>
        </w:rPr>
        <w:t>日，中心将顺延提交电子响应文件的截止时间。</w:t>
      </w:r>
    </w:p>
    <w:p w14:paraId="5194D428">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rPr>
        <w:t>.供应商对电子磋商文件提出质疑的，应在获取电子磋商文件之日起起7个工作日内以书面形式提出，采购人以书面形式予以答复；在此之后提出的针对电子磋商文件的质疑为无效质疑。答复的内容可能影响电子响应文件编制的，中心将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w:t>
      </w:r>
    </w:p>
    <w:p w14:paraId="0DEF47BE">
      <w:pPr>
        <w:spacing w:line="500" w:lineRule="exact"/>
        <w:ind w:firstLine="566" w:firstLineChars="200"/>
        <w:rPr>
          <w:rFonts w:ascii="华文仿宋" w:hAnsi="华文仿宋" w:cs="华文仿宋"/>
          <w:color w:val="000000"/>
        </w:rPr>
      </w:pPr>
      <w:r>
        <w:rPr>
          <w:rFonts w:hint="eastAsia" w:ascii="仿宋" w:hAnsi="仿宋" w:eastAsia="仿宋" w:cs="仿宋"/>
          <w:color w:val="000000"/>
        </w:rPr>
        <w:t>3</w:t>
      </w:r>
      <w:r>
        <w:rPr>
          <w:rFonts w:hint="eastAsia" w:ascii="华文仿宋" w:hAnsi="华文仿宋" w:cs="华文仿宋"/>
          <w:color w:val="000000"/>
        </w:rPr>
        <w:t>.各供应商在提交电子响应文件截止时间之前，应随时关注下列地址发布的变更公告，也可登</w:t>
      </w:r>
      <w:r>
        <w:rPr>
          <w:rFonts w:hint="eastAsia" w:ascii="华文仿宋" w:hAnsi="华文仿宋" w:cs="华文仿宋"/>
        </w:rPr>
        <w:t>录全国公共资源交易平台（</w:t>
      </w:r>
      <w:r>
        <w:rPr>
          <w:rFonts w:hint="eastAsia" w:ascii="华文仿宋" w:hAnsi="华文仿宋" w:cs="华文仿宋"/>
          <w:kern w:val="0"/>
        </w:rPr>
        <w:t>陕西省·延安市</w:t>
      </w:r>
      <w:r>
        <w:rPr>
          <w:rFonts w:hint="eastAsia" w:ascii="华文仿宋" w:hAnsi="华文仿宋" w:cs="华文仿宋"/>
        </w:rPr>
        <w:t>）政府采购交易系统查看左上角的</w:t>
      </w:r>
      <w:r>
        <w:rPr>
          <w:rFonts w:hint="eastAsia" w:ascii="华文仿宋" w:hAnsi="华文仿宋" w:cs="华文仿宋"/>
          <w:color w:val="000000"/>
        </w:rPr>
        <w:t>信息提醒，中心</w:t>
      </w:r>
      <w:r>
        <w:rPr>
          <w:rFonts w:hint="eastAsia" w:ascii="华文仿宋" w:hAnsi="华文仿宋" w:cs="华文仿宋"/>
          <w:b/>
          <w:bCs/>
          <w:color w:val="000000"/>
        </w:rPr>
        <w:t>不再单独通知，因供应商未及时关注所造成的一切后果由供应商自行承担：</w:t>
      </w:r>
    </w:p>
    <w:p w14:paraId="4523BA2F">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fldChar w:fldCharType="begin"/>
      </w:r>
      <w:r>
        <w:instrText xml:space="preserve"> HYPERLINK "http://www.ccgp-shaanxi.gov.cn/" </w:instrText>
      </w:r>
      <w:r>
        <w:fldChar w:fldCharType="separate"/>
      </w:r>
      <w:r>
        <w:rPr>
          <w:rStyle w:val="23"/>
          <w:rFonts w:hint="eastAsia" w:ascii="华文仿宋" w:hAnsi="华文仿宋" w:cs="华文仿宋"/>
          <w:sz w:val="28"/>
          <w:szCs w:val="28"/>
        </w:rPr>
        <w:t>陕西省政府采购网</w:t>
      </w:r>
      <w:r>
        <w:rPr>
          <w:rStyle w:val="23"/>
          <w:rFonts w:hint="eastAsia" w:ascii="华文仿宋" w:hAnsi="华文仿宋" w:cs="华文仿宋"/>
          <w:sz w:val="28"/>
          <w:szCs w:val="28"/>
        </w:rPr>
        <w:fldChar w:fldCharType="end"/>
      </w:r>
      <w:r>
        <w:rPr>
          <w:rFonts w:hint="eastAsia" w:ascii="华文仿宋" w:hAnsi="华文仿宋" w:cs="华文仿宋"/>
          <w:color w:val="000000"/>
        </w:rPr>
        <w:t>（www.ccgp-shaanxi.gov.cn）】中的〖首页·〉市级公告·〉更正公告〗；</w:t>
      </w:r>
    </w:p>
    <w:p w14:paraId="56FAB6C6">
      <w:pPr>
        <w:spacing w:line="500" w:lineRule="exact"/>
        <w:ind w:firstLine="566" w:firstLineChars="200"/>
        <w:rPr>
          <w:rFonts w:ascii="华文仿宋" w:cs="Times New Roman"/>
        </w:rPr>
      </w:pPr>
      <w:r>
        <w:rPr>
          <w:rFonts w:hint="eastAsia" w:ascii="华文仿宋" w:hAnsi="华文仿宋" w:cs="华文仿宋"/>
        </w:rPr>
        <w:t>（</w:t>
      </w:r>
      <w:r>
        <w:rPr>
          <w:rFonts w:ascii="华文仿宋" w:hAnsi="华文仿宋" w:cs="华文仿宋"/>
        </w:rPr>
        <w:t>2</w:t>
      </w:r>
      <w:r>
        <w:rPr>
          <w:rFonts w:hint="eastAsia" w:ascii="华文仿宋" w:hAnsi="华文仿宋" w:cs="华文仿宋"/>
        </w:rPr>
        <w:t>）【</w:t>
      </w:r>
      <w:r>
        <w:rPr>
          <w:rFonts w:hint="eastAsia" w:ascii="华文仿宋" w:hAnsi="华文仿宋" w:cs="华文仿宋"/>
          <w:kern w:val="0"/>
        </w:rPr>
        <w:t>全国公共资源交易平台（陕西省·延安市）（ http://ya.sxggzyjy.cn/ ）</w:t>
      </w:r>
      <w:r>
        <w:rPr>
          <w:rFonts w:hint="eastAsia" w:ascii="华文仿宋" w:hAnsi="华文仿宋" w:cs="华文仿宋"/>
        </w:rPr>
        <w:t>】中的〖首页·〉交易大厅·〉政府采购〗。</w:t>
      </w:r>
    </w:p>
    <w:p w14:paraId="4F066AEE">
      <w:pPr>
        <w:wordWrap w:val="0"/>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（四）电子磋商文件的解释权归中心。</w:t>
      </w:r>
    </w:p>
    <w:p w14:paraId="1E019135">
      <w:pPr>
        <w:pStyle w:val="3"/>
        <w:ind w:firstLine="567"/>
        <w:rPr>
          <w:rFonts w:ascii="华文仿宋" w:hAnsi="华文仿宋" w:cs="华文仿宋"/>
          <w:color w:val="000000"/>
          <w:sz w:val="28"/>
          <w:szCs w:val="28"/>
        </w:rPr>
      </w:pPr>
      <w:bookmarkStart w:id="81" w:name="_Toc13240"/>
      <w:bookmarkStart w:id="82" w:name="_Toc21288_WPSOffice_Level2"/>
      <w:bookmarkStart w:id="83" w:name="_Toc17240_WPSOffice_Level2"/>
      <w:bookmarkStart w:id="84" w:name="_Toc16980_WPSOffice_Level2"/>
      <w:bookmarkStart w:id="85" w:name="_Toc22637"/>
      <w:bookmarkStart w:id="86" w:name="_Toc3222"/>
      <w:r>
        <w:rPr>
          <w:rFonts w:hint="eastAsia" w:ascii="华文仿宋" w:hAnsi="华文仿宋" w:cs="华文仿宋"/>
          <w:color w:val="000000"/>
          <w:sz w:val="28"/>
          <w:szCs w:val="28"/>
        </w:rPr>
        <w:t>四、</w:t>
      </w:r>
      <w:bookmarkEnd w:id="81"/>
      <w:bookmarkEnd w:id="82"/>
      <w:bookmarkEnd w:id="83"/>
      <w:bookmarkEnd w:id="84"/>
      <w:bookmarkEnd w:id="85"/>
      <w:bookmarkEnd w:id="86"/>
      <w:bookmarkStart w:id="87" w:name="_Toc20873_WPSOffice_Level2"/>
      <w:bookmarkStart w:id="88" w:name="_Toc19768_WPSOffice_Level2"/>
      <w:bookmarkStart w:id="89" w:name="_Toc15996"/>
      <w:bookmarkStart w:id="90" w:name="_Toc30415"/>
      <w:bookmarkStart w:id="91" w:name="_Toc22501_WPSOffice_Level2"/>
      <w:bookmarkStart w:id="92" w:name="_Toc13064"/>
      <w:r>
        <w:rPr>
          <w:rFonts w:hint="eastAsia" w:ascii="华文仿宋" w:hAnsi="华文仿宋" w:cs="华文仿宋"/>
          <w:color w:val="000000"/>
          <w:sz w:val="28"/>
          <w:szCs w:val="28"/>
        </w:rPr>
        <w:t>磋商报价</w:t>
      </w:r>
      <w:bookmarkEnd w:id="87"/>
      <w:bookmarkEnd w:id="88"/>
      <w:bookmarkEnd w:id="89"/>
      <w:bookmarkEnd w:id="90"/>
      <w:bookmarkEnd w:id="91"/>
      <w:bookmarkEnd w:id="92"/>
    </w:p>
    <w:p w14:paraId="6E1D528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磋商报价是供应商响应本项目要求的全部工作内容的价格体现，包括完成采购内容所需的直接费、间接费、利润、税金及其它相关的一切费用。供应商在报价时应充分考虑所有可能发生的费用，</w:t>
      </w:r>
      <w:r>
        <w:rPr>
          <w:rFonts w:hint="eastAsia" w:ascii="华文仿宋" w:hAnsi="华文仿宋" w:cs="华文仿宋"/>
          <w:color w:val="000000"/>
          <w:lang w:val="zh-CN"/>
        </w:rPr>
        <w:t>电子磋商文件</w:t>
      </w:r>
      <w:r>
        <w:rPr>
          <w:rFonts w:hint="eastAsia" w:ascii="华文仿宋" w:hAnsi="华文仿宋" w:cs="华文仿宋"/>
          <w:color w:val="000000"/>
        </w:rPr>
        <w:t>未列明，而供应商认为应当计取的费用均应列入报价中。报价时不论是否计取，采购人均按已计取对待。</w:t>
      </w:r>
    </w:p>
    <w:p w14:paraId="113D4F2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（一）供应商应按照《电子响应文件构成及格式》中《第一次磋商报价表》中的相关要求填写需要响应的内容。</w:t>
      </w:r>
    </w:p>
    <w:p w14:paraId="555A4355">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rPr>
        <w:t>（二）磋商报价采取多轮报价的办法，最后报价作为计算价格分值的依据。供应商应在磋</w:t>
      </w:r>
      <w:r>
        <w:rPr>
          <w:rFonts w:hint="eastAsia" w:ascii="华文仿宋" w:hAnsi="华文仿宋" w:cs="华文仿宋"/>
          <w:b/>
          <w:bCs/>
        </w:rPr>
        <w:t>商当天，磋商小组规定的报价时间内，使用制作电子响应文件的数字认证证书（CA锁）登录全国公共资源交易平台（陕西省·延安市）网站〖首页·〉电子交易平台·〉政府采购交易系统·〉企业端〗后，</w:t>
      </w:r>
      <w:r>
        <w:rPr>
          <w:rFonts w:hint="eastAsia" w:ascii="华文仿宋" w:hAnsi="华文仿宋" w:cs="华文仿宋"/>
          <w:b/>
          <w:bCs/>
          <w:color w:val="000000"/>
        </w:rPr>
        <w:t>在〖我的项目〗下找到本次磋商的项目，填写最后报价表，签章并提交。</w:t>
      </w:r>
    </w:p>
    <w:p w14:paraId="60BA2E89">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rPr>
        <w:t>（三）如采购内容无实质性变更，各供应商的报价应逐次降低，本次报价超过采购预算或电子磋商文件规定的最高限价的，按无效响应处理；本次报价超过上次报价但未超过采购预算或电子磋商文件规定的最高限价的，或在规定时间内最后报价未提交、提交不成功的均为无效报价，按无效响应处理。</w:t>
      </w:r>
    </w:p>
    <w:p w14:paraId="447625F9">
      <w:pPr>
        <w:pStyle w:val="7"/>
        <w:rPr>
          <w:rFonts w:ascii="华文仿宋" w:hAnsi="华文仿宋" w:cs="华文仿宋"/>
          <w:color w:val="000000"/>
        </w:rPr>
      </w:pPr>
      <w:r>
        <w:rPr>
          <w:rFonts w:hint="eastAsia" w:ascii="华文仿宋" w:hAnsi="华文仿宋" w:cs="华文仿宋"/>
          <w:color w:val="000000"/>
        </w:rPr>
        <w:t>“规定时间”由磋商小组具体确定。</w:t>
      </w:r>
    </w:p>
    <w:p w14:paraId="33DC393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供应商最终报价较首次报价降价的，成交后，签订合同时应按照成交价较首次报价的下浮比率修改分项报价表中的相应报价。</w:t>
      </w:r>
    </w:p>
    <w:p w14:paraId="37DA8DD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（四）</w:t>
      </w:r>
      <w:r>
        <w:rPr>
          <w:rFonts w:hint="eastAsia" w:ascii="华文仿宋" w:hAnsi="华文仿宋" w:cs="华文仿宋"/>
          <w:color w:val="000000"/>
          <w:lang w:val="zh-CN"/>
        </w:rPr>
        <w:t>磋商</w:t>
      </w:r>
      <w:r>
        <w:rPr>
          <w:rFonts w:hint="eastAsia" w:ascii="华文仿宋" w:hAnsi="华文仿宋" w:cs="华文仿宋"/>
          <w:color w:val="000000"/>
        </w:rPr>
        <w:t>报价货币：</w:t>
      </w:r>
      <w:r>
        <w:rPr>
          <w:rFonts w:hint="eastAsia" w:ascii="华文仿宋" w:hAnsi="华文仿宋" w:cs="华文仿宋"/>
          <w:b/>
          <w:color w:val="000000"/>
        </w:rPr>
        <w:t>人民币</w:t>
      </w:r>
      <w:r>
        <w:rPr>
          <w:rFonts w:hint="eastAsia" w:ascii="华文仿宋" w:hAnsi="华文仿宋" w:cs="华文仿宋"/>
          <w:color w:val="000000"/>
        </w:rPr>
        <w:t>；</w:t>
      </w:r>
      <w:r>
        <w:rPr>
          <w:rFonts w:hint="eastAsia" w:ascii="华文仿宋" w:hAnsi="华文仿宋" w:cs="华文仿宋"/>
          <w:b/>
          <w:bCs/>
          <w:color w:val="000000"/>
        </w:rPr>
        <w:t>单位：元</w:t>
      </w:r>
      <w:r>
        <w:rPr>
          <w:rFonts w:hint="eastAsia" w:ascii="华文仿宋" w:hAnsi="华文仿宋" w:cs="华文仿宋"/>
          <w:bCs/>
          <w:color w:val="000000"/>
        </w:rPr>
        <w:t>，</w:t>
      </w:r>
      <w:r>
        <w:rPr>
          <w:rFonts w:hint="eastAsia" w:ascii="华文仿宋" w:hAnsi="华文仿宋" w:cs="华文仿宋"/>
          <w:b/>
          <w:color w:val="000000"/>
        </w:rPr>
        <w:t>保留到元</w:t>
      </w:r>
      <w:r>
        <w:rPr>
          <w:rFonts w:hint="eastAsia" w:ascii="华文仿宋" w:hAnsi="华文仿宋" w:cs="华文仿宋"/>
          <w:bCs/>
          <w:color w:val="000000"/>
        </w:rPr>
        <w:t>。</w:t>
      </w:r>
    </w:p>
    <w:p w14:paraId="1745098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（五）磋商报价大小写不一致的以大写为准。</w:t>
      </w:r>
    </w:p>
    <w:p w14:paraId="2A27429B">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（六）因供应商对电子磋商文件理解不透、误解、疏漏或对市场行情了解不清造成的后果和风险，均由供应商自己负责。</w:t>
      </w:r>
    </w:p>
    <w:p w14:paraId="651EA0E2">
      <w:pPr>
        <w:pStyle w:val="3"/>
        <w:ind w:firstLine="567"/>
        <w:rPr>
          <w:rFonts w:ascii="华文仿宋" w:hAnsi="华文仿宋" w:cs="华文仿宋"/>
          <w:color w:val="000000"/>
          <w:sz w:val="28"/>
          <w:szCs w:val="28"/>
        </w:rPr>
      </w:pPr>
      <w:bookmarkStart w:id="93" w:name="_Toc11009"/>
      <w:bookmarkStart w:id="94" w:name="_Toc23179"/>
      <w:bookmarkStart w:id="95" w:name="_Toc14959_WPSOffice_Level2"/>
      <w:bookmarkStart w:id="96" w:name="_Toc29669_WPSOffice_Level2"/>
      <w:bookmarkStart w:id="97" w:name="_Toc20041_WPSOffice_Level2"/>
      <w:bookmarkStart w:id="98" w:name="_Toc14979"/>
      <w:r>
        <w:rPr>
          <w:rFonts w:hint="eastAsia" w:ascii="华文仿宋" w:hAnsi="华文仿宋" w:cs="华文仿宋"/>
          <w:color w:val="000000"/>
          <w:sz w:val="28"/>
          <w:szCs w:val="28"/>
        </w:rPr>
        <w:t>五、电子响应文件</w:t>
      </w:r>
      <w:bookmarkEnd w:id="93"/>
      <w:bookmarkEnd w:id="94"/>
      <w:bookmarkEnd w:id="95"/>
      <w:bookmarkEnd w:id="96"/>
      <w:bookmarkEnd w:id="97"/>
      <w:bookmarkEnd w:id="98"/>
    </w:p>
    <w:p w14:paraId="530FFE6F">
      <w:pPr>
        <w:spacing w:line="500" w:lineRule="exact"/>
        <w:ind w:firstLine="566" w:firstLineChars="200"/>
        <w:rPr>
          <w:rFonts w:ascii="华文仿宋" w:hAnsi="华文仿宋" w:cs="华文仿宋"/>
          <w:b/>
          <w:bCs/>
          <w:color w:val="000000"/>
        </w:rPr>
      </w:pPr>
      <w:bookmarkStart w:id="99" w:name="_Toc7898_WPSOffice_Level2"/>
      <w:bookmarkStart w:id="100" w:name="_Toc18733_WPSOffice_Level2"/>
      <w:bookmarkStart w:id="101" w:name="_Toc30535_WPSOffice_Level2"/>
      <w:r>
        <w:rPr>
          <w:rFonts w:hint="eastAsia" w:ascii="华文仿宋" w:hAnsi="华文仿宋" w:cs="华文仿宋"/>
          <w:b/>
          <w:bCs/>
          <w:color w:val="000000"/>
        </w:rPr>
        <w:t>（一）电子响应文件形式</w:t>
      </w:r>
    </w:p>
    <w:p w14:paraId="6668278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本项目采用电子响应文件的形式。</w:t>
      </w:r>
    </w:p>
    <w:p w14:paraId="09CEC48C">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编制电子响应文件时，应使用最新发布的电子磋商文件及专用制作工具进行编制。并使用数字认证证书（CA锁）对电子响应文件进行签署、加密、递交及磋商时解密等相关操作。</w:t>
      </w:r>
    </w:p>
    <w:p w14:paraId="24D8E32B">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1.电子磋商文件下载。供应商登录</w:t>
      </w:r>
      <w:r>
        <w:rPr>
          <w:rFonts w:hint="eastAsia" w:ascii="华文仿宋" w:hAnsi="华文仿宋" w:cs="华文仿宋"/>
        </w:rPr>
        <w:t>全国公共资源交易平台（陕西省·延安市）网站〖首页</w:t>
      </w:r>
      <w:r>
        <w:rPr>
          <w:rFonts w:hint="eastAsia" w:ascii="仿宋" w:hAnsi="仿宋" w:eastAsia="仿宋" w:cs="仿宋"/>
          <w:bCs/>
        </w:rPr>
        <w:t>·〉</w:t>
      </w:r>
      <w:r>
        <w:rPr>
          <w:rFonts w:hint="eastAsia" w:ascii="华文仿宋" w:hAnsi="华文仿宋" w:cs="华文仿宋"/>
        </w:rPr>
        <w:t>电子交易平台</w:t>
      </w:r>
      <w:r>
        <w:rPr>
          <w:rFonts w:hint="eastAsia" w:ascii="仿宋" w:hAnsi="仿宋" w:eastAsia="仿宋" w:cs="仿宋"/>
          <w:bCs/>
        </w:rPr>
        <w:t>·〉</w:t>
      </w:r>
      <w:r>
        <w:rPr>
          <w:rFonts w:hint="eastAsia" w:ascii="华文仿宋" w:hAnsi="华文仿宋" w:cs="华文仿宋"/>
        </w:rPr>
        <w:t>政府采购交易系统</w:t>
      </w:r>
      <w:r>
        <w:rPr>
          <w:rFonts w:hint="eastAsia" w:ascii="仿宋" w:hAnsi="仿宋" w:eastAsia="仿宋" w:cs="仿宋"/>
          <w:bCs/>
        </w:rPr>
        <w:t>·〉</w:t>
      </w:r>
      <w:r>
        <w:rPr>
          <w:rFonts w:hint="eastAsia" w:ascii="华文仿宋" w:hAnsi="华文仿宋" w:cs="华文仿宋"/>
        </w:rPr>
        <w:t>企业端〗</w:t>
      </w:r>
      <w:r>
        <w:rPr>
          <w:rFonts w:hint="eastAsia" w:ascii="华文仿宋" w:hAnsi="华文仿宋" w:cs="华文仿宋"/>
          <w:color w:val="000000"/>
        </w:rPr>
        <w:t>后，在〖招标公告/出让公告〗模块中选择项目</w:t>
      </w:r>
      <w:r>
        <w:rPr>
          <w:rFonts w:hint="eastAsia" w:ascii="华文仿宋" w:hAnsi="华文仿宋" w:cs="华文仿宋"/>
          <w:bCs/>
          <w:color w:val="000000"/>
        </w:rPr>
        <w:t>点击“我要投标”，参与投标活动。然后即可</w:t>
      </w:r>
      <w:r>
        <w:rPr>
          <w:rFonts w:hint="eastAsia" w:ascii="华文仿宋" w:hAnsi="华文仿宋" w:cs="华文仿宋"/>
          <w:color w:val="000000"/>
        </w:rPr>
        <w:t>在〖我的项目〗中点击“项目流程</w:t>
      </w:r>
      <w:r>
        <w:rPr>
          <w:rFonts w:hint="eastAsia" w:ascii="仿宋" w:hAnsi="仿宋" w:eastAsia="仿宋" w:cs="仿宋"/>
          <w:bCs/>
        </w:rPr>
        <w:t>·〉</w:t>
      </w:r>
      <w:r>
        <w:rPr>
          <w:rFonts w:hint="eastAsia" w:ascii="华文仿宋" w:hAnsi="华文仿宋" w:cs="华文仿宋"/>
          <w:color w:val="000000"/>
        </w:rPr>
        <w:t>交易文件下载”下载电子磋商文件（*.SXSZF）。</w:t>
      </w:r>
    </w:p>
    <w:p w14:paraId="534460FC">
      <w:pPr>
        <w:spacing w:line="500" w:lineRule="exact"/>
        <w:ind w:firstLine="566" w:firstLineChars="200"/>
        <w:rPr>
          <w:rFonts w:ascii="华文仿宋" w:hAnsi="华文仿宋" w:cs="华文仿宋"/>
          <w:b/>
          <w:bCs/>
          <w:color w:val="000000"/>
        </w:rPr>
      </w:pPr>
      <w:r>
        <w:rPr>
          <w:rFonts w:hint="eastAsia" w:ascii="华文仿宋" w:hAnsi="华文仿宋" w:cs="华文仿宋"/>
          <w:color w:val="000000"/>
        </w:rPr>
        <w:t>注意：该项目如有变更文件，则应点击“项目流程&gt;答疑文件下载”下载更新后的电子磋商文件（*.SXSCF），</w:t>
      </w:r>
      <w:r>
        <w:rPr>
          <w:rFonts w:hint="eastAsia" w:ascii="华文仿宋" w:hAnsi="华文仿宋" w:cs="华文仿宋"/>
          <w:b/>
          <w:bCs/>
          <w:color w:val="000000"/>
        </w:rPr>
        <w:t>使用旧版电子磋商文件制作的电子响应文件，系统将拒绝接收。</w:t>
      </w:r>
    </w:p>
    <w:p w14:paraId="097300AD">
      <w:pPr>
        <w:spacing w:line="500" w:lineRule="exact"/>
        <w:ind w:firstLine="566" w:firstLineChars="200"/>
        <w:rPr>
          <w:rFonts w:ascii="华文仿宋" w:hAnsi="华文仿宋" w:cs="华文仿宋"/>
          <w:color w:val="FF0000"/>
        </w:rPr>
      </w:pPr>
      <w:r>
        <w:rPr>
          <w:rFonts w:hint="eastAsia" w:ascii="华文仿宋" w:hAnsi="华文仿宋" w:cs="华文仿宋"/>
          <w:color w:val="000000"/>
        </w:rPr>
        <w:t>2</w:t>
      </w:r>
      <w:r>
        <w:rPr>
          <w:rFonts w:hint="eastAsia" w:ascii="华文仿宋" w:hAnsi="华文仿宋" w:cs="华文仿宋"/>
        </w:rPr>
        <w:t>.电子磋商文件需要使用专用软件打开、浏览。供应商可在全国公共资源交易平台（陕西省·延安市）网站〖首页·〉服务指南·〉下载专区〗免费下载“陕西省公共资源交易平台政府采购电子标书制作工具”，并升级至最新版本，使用该客户端可以打开电子磋商文件。软件操作手册详见全国公共资源交易平台（陕西省·延安市）网站〖首页·〉服务指南·〉下载专区〗中的《陕西省公共资源交易（政府采购类）投标文件制作软件操作手册》。</w:t>
      </w:r>
    </w:p>
    <w:p w14:paraId="764A8F5A">
      <w:pPr>
        <w:spacing w:line="500" w:lineRule="exact"/>
        <w:ind w:firstLine="566" w:firstLineChars="200"/>
        <w:rPr>
          <w:rFonts w:hint="eastAsia" w:ascii="华文仿宋" w:hAnsi="华文仿宋" w:eastAsia="华文仿宋" w:cs="华文仿宋"/>
          <w:color w:val="000000"/>
          <w:lang w:eastAsia="zh-CN"/>
        </w:rPr>
      </w:pPr>
      <w:r>
        <w:rPr>
          <w:rFonts w:hint="eastAsia" w:ascii="华文仿宋" w:hAnsi="华文仿宋" w:cs="华文仿宋"/>
          <w:color w:val="000000"/>
        </w:rPr>
        <w:t>3.制作电子响应文件。电子响应文件同样需要使用上述软件进行编制。在编制过程中，如有技术性问题，请先翻阅操作手册，或致电软件开发商。</w:t>
      </w:r>
      <w:r>
        <w:rPr>
          <w:rFonts w:hint="eastAsia" w:ascii="华文仿宋" w:hAnsi="华文仿宋" w:cs="华文仿宋"/>
          <w:b/>
          <w:bCs/>
          <w:color w:val="000000"/>
        </w:rPr>
        <w:t>技术支持热线：</w:t>
      </w:r>
      <w:r>
        <w:rPr>
          <w:rFonts w:hint="eastAsia" w:ascii="华文仿宋" w:hAnsi="华文仿宋" w:cs="华文仿宋"/>
          <w:b/>
          <w:bCs/>
          <w:color w:val="000000"/>
          <w:lang w:eastAsia="zh-CN"/>
        </w:rPr>
        <w:t>051258188039</w:t>
      </w:r>
    </w:p>
    <w:p w14:paraId="30B40443">
      <w:pPr>
        <w:spacing w:line="500" w:lineRule="exact"/>
        <w:ind w:firstLine="566" w:firstLineChars="200"/>
        <w:rPr>
          <w:rFonts w:ascii="华文仿宋" w:hAnsi="华文仿宋" w:cs="华文仿宋"/>
          <w:color w:val="000000"/>
        </w:rPr>
      </w:pPr>
      <w:r>
        <w:rPr>
          <w:rFonts w:hint="eastAsia" w:ascii="华文仿宋" w:hAnsi="华文仿宋" w:cs="华文仿宋"/>
          <w:b/>
          <w:color w:val="000000"/>
        </w:rPr>
        <w:t>（二）电子</w:t>
      </w:r>
      <w:r>
        <w:rPr>
          <w:rFonts w:hint="eastAsia" w:ascii="华文仿宋" w:hAnsi="华文仿宋" w:cs="华文仿宋"/>
          <w:b/>
          <w:bCs/>
          <w:color w:val="000000"/>
        </w:rPr>
        <w:t>响应文件语言及有效期</w:t>
      </w:r>
    </w:p>
    <w:p w14:paraId="6A2337D5">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rPr>
        <w:t>响应活动的所有文件、资料、函电文均使用简体中文，确需提交用其他语言形成的资料，必须翻译成简体中文，如有差异，以简体中文为准。</w:t>
      </w:r>
    </w:p>
    <w:p w14:paraId="7EAA7B2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2.电子响应文件有效期为</w:t>
      </w:r>
      <w:r>
        <w:rPr>
          <w:rFonts w:hint="eastAsia" w:ascii="华文仿宋" w:hAnsi="华文仿宋" w:cs="华文仿宋"/>
          <w:b/>
          <w:bCs/>
          <w:color w:val="000000"/>
        </w:rPr>
        <w:t>自电子响应文件开启之日起</w:t>
      </w:r>
      <w:r>
        <w:rPr>
          <w:rFonts w:hint="eastAsia" w:ascii="仿宋" w:hAnsi="仿宋" w:eastAsia="仿宋" w:cs="仿宋"/>
          <w:b/>
          <w:bCs/>
          <w:color w:val="000000"/>
        </w:rPr>
        <w:t>90</w:t>
      </w:r>
      <w:r>
        <w:rPr>
          <w:rFonts w:hint="eastAsia" w:ascii="华文仿宋" w:hAnsi="华文仿宋" w:cs="华文仿宋"/>
          <w:b/>
          <w:bCs/>
          <w:color w:val="000000"/>
        </w:rPr>
        <w:t>个日历日</w:t>
      </w:r>
      <w:r>
        <w:rPr>
          <w:rFonts w:hint="eastAsia" w:ascii="华文仿宋" w:hAnsi="华文仿宋" w:cs="华文仿宋"/>
          <w:color w:val="000000"/>
        </w:rPr>
        <w:t>。如成交，延长至合同执行完毕时止。</w:t>
      </w:r>
    </w:p>
    <w:p w14:paraId="2886E87F">
      <w:pPr>
        <w:ind w:firstLine="566" w:firstLineChars="200"/>
        <w:rPr>
          <w:rFonts w:ascii="华文仿宋" w:hAnsi="华文仿宋" w:cs="华文仿宋"/>
          <w:b/>
          <w:color w:val="000000"/>
        </w:rPr>
      </w:pPr>
      <w:r>
        <w:rPr>
          <w:rFonts w:hint="eastAsia" w:ascii="华文仿宋" w:hAnsi="华文仿宋" w:cs="华文仿宋"/>
          <w:b/>
          <w:color w:val="000000"/>
        </w:rPr>
        <w:t>（三）电子响应文件的提交</w:t>
      </w:r>
    </w:p>
    <w:p w14:paraId="6F90A9DF">
      <w:pPr>
        <w:spacing w:line="500" w:lineRule="exact"/>
        <w:ind w:firstLine="566" w:firstLineChars="200"/>
        <w:rPr>
          <w:rFonts w:ascii="华文仿宋" w:hAnsi="华文仿宋" w:cs="华文仿宋"/>
        </w:rPr>
      </w:pPr>
      <w:r>
        <w:rPr>
          <w:rFonts w:hint="eastAsia" w:ascii="华文仿宋" w:hAnsi="华文仿宋" w:cs="华文仿宋"/>
        </w:rPr>
        <w:t>电子响应文件可于提交电子响应文件截止时间前任意时段登录全国公共资源交易平台（陕西省·延安市）网站“电子交易平台</w:t>
      </w:r>
      <w:r>
        <w:rPr>
          <w:rFonts w:hint="eastAsia" w:ascii="仿宋" w:hAnsi="仿宋" w:eastAsia="仿宋" w:cs="仿宋"/>
          <w:bCs/>
        </w:rPr>
        <w:t>·〉</w:t>
      </w:r>
      <w:r>
        <w:rPr>
          <w:rFonts w:hint="eastAsia" w:ascii="华文仿宋" w:hAnsi="华文仿宋" w:cs="华文仿宋"/>
        </w:rPr>
        <w:t>政府采购交易系统</w:t>
      </w:r>
      <w:r>
        <w:rPr>
          <w:rFonts w:hint="eastAsia" w:ascii="仿宋" w:hAnsi="仿宋" w:eastAsia="仿宋" w:cs="仿宋"/>
          <w:bCs/>
        </w:rPr>
        <w:t>·〉</w:t>
      </w:r>
      <w:r>
        <w:rPr>
          <w:rFonts w:hint="eastAsia" w:ascii="华文仿宋" w:hAnsi="华文仿宋" w:cs="华文仿宋"/>
        </w:rPr>
        <w:t>企业端”进行提交，逾期系统将拒绝接收。提交时，供应商应登录全国公共资源交易中心平台（陕西省·延安市），选择“首页</w:t>
      </w:r>
      <w:r>
        <w:rPr>
          <w:rFonts w:hint="eastAsia" w:ascii="仿宋" w:hAnsi="仿宋" w:eastAsia="仿宋" w:cs="仿宋"/>
          <w:bCs/>
        </w:rPr>
        <w:t>·〉</w:t>
      </w:r>
      <w:r>
        <w:rPr>
          <w:rFonts w:hint="eastAsia" w:ascii="华文仿宋" w:hAnsi="华文仿宋" w:cs="华文仿宋"/>
        </w:rPr>
        <w:t>电子交易平台</w:t>
      </w:r>
      <w:r>
        <w:rPr>
          <w:rFonts w:hint="eastAsia" w:ascii="仿宋" w:hAnsi="仿宋" w:eastAsia="仿宋" w:cs="仿宋"/>
          <w:bCs/>
        </w:rPr>
        <w:t>·〉</w:t>
      </w:r>
      <w:r>
        <w:rPr>
          <w:rFonts w:hint="eastAsia" w:ascii="华文仿宋" w:hAnsi="华文仿宋" w:cs="华文仿宋"/>
        </w:rPr>
        <w:t>政府采购交易系统</w:t>
      </w:r>
      <w:r>
        <w:rPr>
          <w:rFonts w:hint="eastAsia" w:ascii="仿宋" w:hAnsi="仿宋" w:eastAsia="仿宋" w:cs="仿宋"/>
          <w:bCs/>
        </w:rPr>
        <w:t>·〉</w:t>
      </w:r>
      <w:r>
        <w:rPr>
          <w:rFonts w:hint="eastAsia" w:ascii="华文仿宋" w:hAnsi="华文仿宋" w:cs="华文仿宋"/>
        </w:rPr>
        <w:t>企业端</w:t>
      </w:r>
      <w:r>
        <w:rPr>
          <w:rFonts w:hint="eastAsia" w:ascii="仿宋" w:hAnsi="仿宋" w:eastAsia="仿宋" w:cs="仿宋"/>
          <w:bCs/>
        </w:rPr>
        <w:t>·〉</w:t>
      </w:r>
      <w:r>
        <w:rPr>
          <w:rFonts w:hint="eastAsia" w:ascii="华文仿宋" w:hAnsi="华文仿宋" w:cs="华文仿宋"/>
        </w:rPr>
        <w:t>我的项目”，点击“项目流程”，在打开的“项目管理”对话框中选择“上传电子响应文件”，上传加密的电子响应文件（*.SXSTF）。上传成功后，电子化平台将予以记录。</w:t>
      </w:r>
    </w:p>
    <w:p w14:paraId="2597E600">
      <w:pPr>
        <w:spacing w:line="500" w:lineRule="exact"/>
        <w:ind w:firstLine="566" w:firstLineChars="200"/>
        <w:rPr>
          <w:rFonts w:ascii="仿宋" w:hAnsi="仿宋" w:eastAsia="仿宋" w:cs="仿宋"/>
          <w:b/>
          <w:color w:val="000000"/>
        </w:rPr>
      </w:pPr>
      <w:bookmarkStart w:id="102" w:name="_Toc15608"/>
      <w:bookmarkStart w:id="103" w:name="_Toc24468"/>
      <w:bookmarkStart w:id="104" w:name="_Toc6095"/>
      <w:r>
        <w:rPr>
          <w:rFonts w:hint="eastAsia" w:ascii="仿宋" w:hAnsi="仿宋" w:eastAsia="仿宋" w:cs="仿宋"/>
          <w:b/>
          <w:color w:val="000000"/>
        </w:rPr>
        <w:t>（四）电子响应文件的补充、修改和撤回</w:t>
      </w:r>
      <w:bookmarkEnd w:id="102"/>
      <w:bookmarkEnd w:id="103"/>
      <w:bookmarkEnd w:id="104"/>
    </w:p>
    <w:p w14:paraId="4959F3C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1.供应商在递交电子响应文件后，且在提交电子响应文件截止时间前，可以对所提交的响应文件进行补充、修改或撤回。</w:t>
      </w:r>
    </w:p>
    <w:p w14:paraId="704B8BD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2.对电子响应文件进行补充、修改的，应先从电子交易平台上撤回旧版，再重新提交新版。</w:t>
      </w:r>
    </w:p>
    <w:p w14:paraId="19E3FAEC">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3.电子响应文件提交截止时间后，供应商不得对其电子响应文件做任何修改。</w:t>
      </w:r>
    </w:p>
    <w:p w14:paraId="4E6CBBB3">
      <w:pPr>
        <w:widowControl w:val="0"/>
        <w:spacing w:line="500" w:lineRule="exact"/>
        <w:ind w:firstLine="566" w:firstLineChars="200"/>
        <w:rPr>
          <w:rFonts w:ascii="仿宋" w:hAnsi="仿宋" w:eastAsia="仿宋" w:cs="仿宋"/>
          <w:color w:val="000000"/>
        </w:rPr>
      </w:pPr>
      <w:r>
        <w:rPr>
          <w:rFonts w:hint="eastAsia" w:ascii="仿宋" w:hAnsi="仿宋" w:eastAsia="仿宋" w:cs="仿宋"/>
          <w:b/>
          <w:color w:val="000000"/>
        </w:rPr>
        <w:t>（五）供应商提交电子响应文件时，出现下列情况之一的，其电子响应文件将被拒绝接收：</w:t>
      </w:r>
    </w:p>
    <w:p w14:paraId="6C73D3A4">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1.逾期提交电子响应文件的；</w:t>
      </w:r>
    </w:p>
    <w:p w14:paraId="2ED1A7E4">
      <w:pPr>
        <w:spacing w:line="500" w:lineRule="exact"/>
        <w:ind w:firstLine="566" w:firstLineChars="200"/>
        <w:rPr>
          <w:color w:val="000000"/>
        </w:rPr>
      </w:pPr>
      <w:r>
        <w:rPr>
          <w:rFonts w:hint="eastAsia" w:ascii="华文仿宋" w:hAnsi="华文仿宋" w:cs="华文仿宋"/>
          <w:color w:val="000000"/>
        </w:rPr>
        <w:t>2.提交</w:t>
      </w:r>
      <w:r>
        <w:rPr>
          <w:rFonts w:hint="eastAsia"/>
          <w:color w:val="000000"/>
        </w:rPr>
        <w:t>的电子响应文件与本项目不相符的。</w:t>
      </w:r>
    </w:p>
    <w:p w14:paraId="5C76C39B">
      <w:pPr>
        <w:pStyle w:val="3"/>
        <w:widowControl w:val="0"/>
        <w:ind w:firstLine="567"/>
        <w:rPr>
          <w:rFonts w:ascii="华文仿宋" w:hAnsi="华文仿宋" w:cs="华文仿宋"/>
          <w:color w:val="000000"/>
          <w:sz w:val="28"/>
          <w:szCs w:val="28"/>
        </w:rPr>
      </w:pPr>
      <w:bookmarkStart w:id="105" w:name="_Toc28054"/>
      <w:bookmarkStart w:id="106" w:name="_Toc7022"/>
      <w:bookmarkStart w:id="107" w:name="_Toc595"/>
      <w:bookmarkStart w:id="108" w:name="_Toc10744"/>
      <w:bookmarkStart w:id="109" w:name="_Toc6837"/>
      <w:bookmarkStart w:id="110" w:name="_Toc19677"/>
      <w:r>
        <w:rPr>
          <w:rFonts w:hint="eastAsia" w:ascii="华文仿宋" w:hAnsi="华文仿宋" w:cs="华文仿宋"/>
          <w:color w:val="000000"/>
          <w:sz w:val="28"/>
          <w:szCs w:val="28"/>
        </w:rPr>
        <w:t>六、</w:t>
      </w:r>
      <w:bookmarkEnd w:id="105"/>
      <w:bookmarkEnd w:id="106"/>
      <w:bookmarkEnd w:id="107"/>
      <w:bookmarkEnd w:id="108"/>
      <w:bookmarkEnd w:id="109"/>
      <w:r>
        <w:rPr>
          <w:rFonts w:hint="eastAsia" w:ascii="华文仿宋" w:hAnsi="华文仿宋" w:cs="华文仿宋"/>
          <w:color w:val="000000"/>
          <w:sz w:val="28"/>
          <w:szCs w:val="28"/>
        </w:rPr>
        <w:t>开启电子响应文件</w:t>
      </w:r>
      <w:bookmarkEnd w:id="110"/>
    </w:p>
    <w:p w14:paraId="5A823238">
      <w:pPr>
        <w:spacing w:line="500" w:lineRule="exact"/>
        <w:ind w:firstLine="566" w:firstLineChars="200"/>
        <w:rPr>
          <w:color w:val="000000"/>
        </w:rPr>
      </w:pPr>
      <w:r>
        <w:rPr>
          <w:rFonts w:hint="eastAsia"/>
          <w:color w:val="000000"/>
        </w:rPr>
        <w:t>（</w:t>
      </w:r>
      <w:r>
        <w:rPr>
          <w:color w:val="000000"/>
        </w:rPr>
        <w:t>一）</w:t>
      </w:r>
      <w:r>
        <w:rPr>
          <w:rFonts w:hint="eastAsia"/>
          <w:color w:val="000000"/>
        </w:rPr>
        <w:t>中心</w:t>
      </w:r>
      <w:r>
        <w:rPr>
          <w:color w:val="000000"/>
        </w:rPr>
        <w:t>组织</w:t>
      </w:r>
      <w:r>
        <w:rPr>
          <w:rFonts w:hint="eastAsia"/>
          <w:color w:val="000000"/>
        </w:rPr>
        <w:t>开标、评审</w:t>
      </w:r>
      <w:r>
        <w:rPr>
          <w:color w:val="000000"/>
        </w:rPr>
        <w:t>工作，整个过程受政府采购监管机构的监督、管理。</w:t>
      </w:r>
    </w:p>
    <w:p w14:paraId="6B39BD57">
      <w:pPr>
        <w:spacing w:line="500" w:lineRule="exact"/>
        <w:ind w:firstLine="566" w:firstLineChars="200"/>
        <w:rPr>
          <w:rFonts w:ascii="华文仿宋" w:hAnsi="华文仿宋" w:cs="华文仿宋"/>
          <w:b/>
          <w:bCs/>
        </w:rPr>
      </w:pPr>
      <w:r>
        <w:rPr>
          <w:rFonts w:hint="eastAsia"/>
          <w:b/>
          <w:bCs/>
          <w:color w:val="000000"/>
        </w:rPr>
        <w:t>（</w:t>
      </w:r>
      <w:r>
        <w:rPr>
          <w:b/>
          <w:bCs/>
          <w:color w:val="000000"/>
        </w:rPr>
        <w:t>二）</w:t>
      </w:r>
      <w:r>
        <w:rPr>
          <w:rFonts w:hint="eastAsia" w:ascii="华文仿宋" w:hAnsi="华文仿宋" w:cs="华文仿宋"/>
          <w:b/>
          <w:bCs/>
        </w:rPr>
        <w:t>本项目采用不见面开标方式。投标人需在开标前最少一个小时登录全国公共资源交易平台（陕西省·延安市）首页选择“不见面开标</w:t>
      </w:r>
      <w:r>
        <w:rPr>
          <w:rFonts w:hint="eastAsia" w:ascii="仿宋" w:hAnsi="仿宋" w:eastAsia="仿宋" w:cs="仿宋"/>
          <w:bCs/>
        </w:rPr>
        <w:t>·〉</w:t>
      </w:r>
      <w:r>
        <w:rPr>
          <w:rFonts w:hint="eastAsia" w:ascii="华文仿宋" w:hAnsi="华文仿宋" w:cs="华文仿宋"/>
          <w:b/>
          <w:bCs/>
        </w:rPr>
        <w:t>政府采购不见面开标大厅”自行调试，并按照全国公共资源交易平台（陕西省·延安市）-电子交易平台-政府采购交易系统要求进行投标文件解密，远程观看开标直播。如遇困难，请拨打系统平台技术支持电话：</w:t>
      </w:r>
      <w:r>
        <w:rPr>
          <w:rFonts w:hint="eastAsia" w:ascii="仿宋" w:hAnsi="仿宋" w:eastAsia="仿宋" w:cs="仿宋"/>
          <w:b/>
          <w:bCs/>
          <w:lang w:eastAsia="zh-CN"/>
        </w:rPr>
        <w:t>051258188039</w:t>
      </w:r>
      <w:r>
        <w:rPr>
          <w:rFonts w:hint="eastAsia" w:ascii="华文仿宋" w:hAnsi="华文仿宋" w:cs="华文仿宋"/>
          <w:b/>
          <w:bCs/>
        </w:rPr>
        <w:t>。</w:t>
      </w:r>
    </w:p>
    <w:p w14:paraId="5DB3FAD5">
      <w:pPr>
        <w:wordWrap w:val="0"/>
        <w:spacing w:line="500" w:lineRule="exact"/>
        <w:ind w:firstLine="566" w:firstLineChars="200"/>
        <w:jc w:val="left"/>
        <w:rPr>
          <w:color w:val="000000"/>
        </w:rPr>
      </w:pPr>
      <w:r>
        <w:rPr>
          <w:rFonts w:hint="eastAsia"/>
          <w:color w:val="000000"/>
        </w:rPr>
        <w:t>参加磋商的供应商不足</w:t>
      </w:r>
      <w:r>
        <w:rPr>
          <w:rFonts w:hint="eastAsia" w:ascii="仿宋" w:hAnsi="仿宋" w:eastAsia="仿宋" w:cs="仿宋"/>
          <w:color w:val="000000"/>
        </w:rPr>
        <w:t>3</w:t>
      </w:r>
      <w:r>
        <w:rPr>
          <w:rFonts w:hint="eastAsia"/>
          <w:color w:val="000000"/>
        </w:rPr>
        <w:t>家的，不得开启。</w:t>
      </w:r>
    </w:p>
    <w:p w14:paraId="152EFD08">
      <w:pPr>
        <w:spacing w:line="500" w:lineRule="exact"/>
        <w:ind w:firstLine="566" w:firstLineChars="200"/>
        <w:jc w:val="left"/>
        <w:rPr>
          <w:rFonts w:cs="仿宋"/>
        </w:rPr>
      </w:pPr>
      <w:r>
        <w:rPr>
          <w:rFonts w:hint="eastAsia"/>
        </w:rPr>
        <w:t>（三）</w:t>
      </w:r>
      <w:r>
        <w:rPr>
          <w:rFonts w:hint="eastAsia" w:cs="仿宋"/>
        </w:rPr>
        <w:t>开启时，中心现场全国公共资源交易平台（陕西省·延安市）-电子交易平台-政府采购交易系统将约定解密时长，供应商应在规定时间内，使用电子响应文件加密时所用的数字认证证书（</w:t>
      </w:r>
      <w:r>
        <w:rPr>
          <w:rFonts w:hint="eastAsia" w:ascii="仿宋" w:hAnsi="仿宋" w:cs="仿宋"/>
        </w:rPr>
        <w:t>CA</w:t>
      </w:r>
      <w:r>
        <w:rPr>
          <w:rFonts w:hint="eastAsia" w:cs="仿宋"/>
        </w:rPr>
        <w:t>锁）</w:t>
      </w:r>
      <w:r>
        <w:rPr>
          <w:rFonts w:hint="eastAsia"/>
        </w:rPr>
        <w:t>自行解密电子响应文件。未在规定时间内解密的，评审小组视为</w:t>
      </w:r>
      <w:r>
        <w:rPr>
          <w:rFonts w:hint="eastAsia" w:cs="仿宋"/>
        </w:rPr>
        <w:t>响应</w:t>
      </w:r>
      <w:r>
        <w:rPr>
          <w:rFonts w:hint="eastAsia"/>
        </w:rPr>
        <w:t>无效。</w:t>
      </w:r>
    </w:p>
    <w:p w14:paraId="7783DCDE">
      <w:pPr>
        <w:numPr>
          <w:ilvl w:val="0"/>
          <w:numId w:val="5"/>
        </w:numPr>
        <w:spacing w:line="500" w:lineRule="exact"/>
        <w:ind w:firstLine="566" w:firstLineChars="200"/>
      </w:pPr>
      <w:r>
        <w:rPr>
          <w:rFonts w:hint="eastAsia"/>
          <w:color w:val="000000"/>
        </w:rPr>
        <w:t>供应商对开启过程有疑义，以及认为采购人、中心相关工作人员有需要回避情形的，</w:t>
      </w:r>
      <w:r>
        <w:rPr>
          <w:rFonts w:hint="eastAsia"/>
        </w:rPr>
        <w:t>应在网络开标大厅现场提出询问或回避申请，采购人、中心应当及时处理。</w:t>
      </w:r>
    </w:p>
    <w:p w14:paraId="2E26D001">
      <w:pPr>
        <w:spacing w:line="500" w:lineRule="exact"/>
        <w:ind w:firstLine="566" w:firstLineChars="200"/>
        <w:rPr>
          <w:color w:val="000000"/>
        </w:rPr>
      </w:pPr>
      <w:r>
        <w:rPr>
          <w:rFonts w:hint="eastAsia"/>
          <w:color w:val="000000"/>
        </w:rPr>
        <w:t>（五）供应商未参加开标的，视同认可开启结果。</w:t>
      </w:r>
    </w:p>
    <w:p w14:paraId="785BF254">
      <w:pPr>
        <w:spacing w:line="500" w:lineRule="exact"/>
        <w:ind w:firstLine="566" w:firstLineChars="200"/>
        <w:rPr>
          <w:color w:val="000000"/>
        </w:rPr>
      </w:pPr>
      <w:r>
        <w:rPr>
          <w:rFonts w:hint="eastAsia"/>
          <w:b/>
          <w:bCs/>
          <w:color w:val="000000"/>
        </w:rPr>
        <w:t>（六）在开启环节出现下列情况之一的，其电子响应文件视为无效文件：</w:t>
      </w:r>
    </w:p>
    <w:p w14:paraId="26404AF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1.供应商拒绝对电子响应文件进行解密的；</w:t>
      </w:r>
    </w:p>
    <w:p w14:paraId="14C9351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2.因供应商自身原因（如解密时使用的CA锁与制作电子响应文件使用的CA锁不一致、或沿用旧版电子磋商文件编制电子响应文件等情形），导致在规定时间内无法解密电子响应文件的；</w:t>
      </w:r>
    </w:p>
    <w:p w14:paraId="21766F6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3.上传的电子响应文件无法打开的；</w:t>
      </w:r>
    </w:p>
    <w:p w14:paraId="1E8F386A">
      <w:pPr>
        <w:spacing w:line="500" w:lineRule="exact"/>
        <w:ind w:firstLine="566" w:firstLineChars="200"/>
        <w:rPr>
          <w:color w:val="000000"/>
        </w:rPr>
      </w:pPr>
      <w:r>
        <w:rPr>
          <w:rFonts w:hint="eastAsia" w:ascii="华文仿宋" w:hAnsi="华文仿宋" w:cs="华文仿宋"/>
          <w:color w:val="000000"/>
        </w:rPr>
        <w:t>4.政府采购法律法规规定的</w:t>
      </w:r>
      <w:r>
        <w:rPr>
          <w:rFonts w:hint="eastAsia"/>
          <w:color w:val="000000"/>
        </w:rPr>
        <w:t>其他无效情形。</w:t>
      </w:r>
    </w:p>
    <w:p w14:paraId="59475B43">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rPr>
        <w:t>（七）特殊情形下的应急处置</w:t>
      </w:r>
    </w:p>
    <w:p w14:paraId="30A73DB4">
      <w:pPr>
        <w:spacing w:line="500" w:lineRule="exact"/>
        <w:ind w:firstLine="566"/>
      </w:pPr>
      <w:r>
        <w:rPr>
          <w:rFonts w:hint="eastAsia"/>
        </w:rPr>
        <w:t>在开启、评审过程中，如因停电、断网、电子化系统故障等特殊原因导致电子化开、评审无法正常进行时，将视电子响应文件解密情况特殊处理。</w:t>
      </w:r>
    </w:p>
    <w:p w14:paraId="1B5573D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1.开启时电子响应文件未解密的，评审小组授权延安中心现场人员，将另行确定时间继续完成开标程序；</w:t>
      </w:r>
    </w:p>
    <w:p w14:paraId="465887B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2.开启后电子响应文件已解密但评审结论未形成的：</w:t>
      </w:r>
    </w:p>
    <w:p w14:paraId="208969BC">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①上午开标的项目，在上午下班前仍未解决的，将发布废标公告，重新组织采购活动；</w:t>
      </w:r>
    </w:p>
    <w:p w14:paraId="54E67EC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②下午开标的项目，在下午下班前仍未解决的，将发布废标公告，重新组织采购活动。</w:t>
      </w:r>
    </w:p>
    <w:p w14:paraId="31DC64A0">
      <w:pPr>
        <w:spacing w:line="500" w:lineRule="exact"/>
        <w:ind w:firstLine="566" w:firstLineChars="200"/>
        <w:rPr>
          <w:color w:val="000000"/>
        </w:rPr>
      </w:pPr>
      <w:r>
        <w:rPr>
          <w:rFonts w:hint="eastAsia" w:ascii="华文仿宋" w:hAnsi="华文仿宋" w:cs="华文仿宋"/>
          <w:color w:val="000000"/>
        </w:rPr>
        <w:t>3.开启后电子响应文件已解密且评审结论已形成的，待特殊情况排除后，评审小组</w:t>
      </w:r>
      <w:r>
        <w:rPr>
          <w:rFonts w:hint="eastAsia" w:ascii="华文仿宋" w:hAnsi="华文仿宋" w:cs="华文仿宋"/>
        </w:rPr>
        <w:t>继续完成评</w:t>
      </w:r>
      <w:r>
        <w:rPr>
          <w:rFonts w:hint="eastAsia"/>
        </w:rPr>
        <w:t>审活动。</w:t>
      </w:r>
    </w:p>
    <w:p w14:paraId="49731FA6">
      <w:pPr>
        <w:pStyle w:val="3"/>
        <w:ind w:firstLine="567"/>
        <w:rPr>
          <w:color w:val="000000"/>
          <w:sz w:val="28"/>
          <w:szCs w:val="28"/>
        </w:rPr>
      </w:pPr>
      <w:bookmarkStart w:id="111" w:name="_Toc31720"/>
      <w:bookmarkStart w:id="112" w:name="_Toc20183"/>
      <w:bookmarkStart w:id="113" w:name="_Toc8460"/>
      <w:r>
        <w:rPr>
          <w:rFonts w:hint="eastAsia"/>
          <w:color w:val="000000"/>
          <w:sz w:val="28"/>
          <w:szCs w:val="28"/>
        </w:rPr>
        <w:t>七、组织评审</w:t>
      </w:r>
      <w:bookmarkEnd w:id="99"/>
      <w:bookmarkEnd w:id="100"/>
      <w:bookmarkEnd w:id="101"/>
      <w:bookmarkEnd w:id="111"/>
      <w:bookmarkEnd w:id="112"/>
      <w:bookmarkEnd w:id="113"/>
    </w:p>
    <w:p w14:paraId="1928951A">
      <w:pPr>
        <w:pStyle w:val="17"/>
        <w:spacing w:beforeAutospacing="0" w:afterAutospacing="0" w:line="500" w:lineRule="exact"/>
        <w:ind w:firstLine="420"/>
        <w:rPr>
          <w:rFonts w:ascii="华文仿宋" w:hAnsi="华文仿宋" w:cs="华文仿宋"/>
          <w:b/>
          <w:bCs/>
          <w:color w:val="000000"/>
          <w:sz w:val="28"/>
        </w:rPr>
      </w:pPr>
      <w:bookmarkStart w:id="114" w:name="_Toc3816_WPSOffice_Level3"/>
      <w:r>
        <w:rPr>
          <w:rFonts w:hint="eastAsia" w:ascii="华文仿宋" w:hAnsi="华文仿宋" w:cs="华文仿宋"/>
          <w:b/>
          <w:bCs/>
          <w:color w:val="000000"/>
          <w:sz w:val="28"/>
          <w:shd w:val="clear" w:color="auto" w:fill="FFFFFF"/>
        </w:rPr>
        <w:t>（一）采购代理机构负责组织评审工作，并履行下列职责：</w:t>
      </w:r>
      <w:bookmarkEnd w:id="114"/>
    </w:p>
    <w:p w14:paraId="4CF16321">
      <w:pPr>
        <w:pStyle w:val="17"/>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1.核对评审专家身份和采购人代表授权委托书，对评审专家在政府采购活动中的职责履行情况予以记录，并及时将有关违法违规行为向财政部门报告；</w:t>
      </w:r>
    </w:p>
    <w:p w14:paraId="7C4FED97">
      <w:pPr>
        <w:pStyle w:val="17"/>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2.宣布评审纪律；</w:t>
      </w:r>
    </w:p>
    <w:p w14:paraId="08145905">
      <w:pPr>
        <w:pStyle w:val="17"/>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3.公布供应商名单，告知评审专家应当回避的情形；</w:t>
      </w:r>
    </w:p>
    <w:p w14:paraId="6401A2A2">
      <w:pPr>
        <w:pStyle w:val="17"/>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4.组织磋商小组推选评审组长，采购人代表不得担任组长；</w:t>
      </w:r>
    </w:p>
    <w:p w14:paraId="52329701">
      <w:pPr>
        <w:pStyle w:val="17"/>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5.在评审期间采取必要的通讯管理措施，保证评审活动不受外界干扰；</w:t>
      </w:r>
    </w:p>
    <w:p w14:paraId="3309F4E7">
      <w:pPr>
        <w:pStyle w:val="17"/>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6.根据磋商小组的要求介绍政府采购相关政策法规、电子磋商文件；</w:t>
      </w:r>
    </w:p>
    <w:p w14:paraId="59BE1D0A">
      <w:pPr>
        <w:pStyle w:val="17"/>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7.维护评审秩序，监督磋商小组依照电子磋商文件规定的评审程序、方法和标准进行独立评审，及时制止和纠正采购人代表、评审专家的倾向性言论或者违法违规行为；</w:t>
      </w:r>
    </w:p>
    <w:p w14:paraId="1221C78B">
      <w:pPr>
        <w:pStyle w:val="17"/>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8.核对评审结果；</w:t>
      </w:r>
    </w:p>
    <w:p w14:paraId="6919925B">
      <w:pPr>
        <w:pStyle w:val="17"/>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9.评审工作完成后，按照规定向评审专家支付劳务报酬和异地评审差旅费，不得向评审专家以外的其他人员支付评审劳务报酬；</w:t>
      </w:r>
    </w:p>
    <w:p w14:paraId="0CDE7316">
      <w:pPr>
        <w:pStyle w:val="17"/>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10.处理与评审有关的其他事项。</w:t>
      </w:r>
    </w:p>
    <w:p w14:paraId="7ED23B7C">
      <w:pPr>
        <w:pStyle w:val="17"/>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采购人可以在评审前说明项目背景和采购需求，说明内容不得含有歧视性、倾向性意见，不得超出电子磋商文件所述范围。说明应当提交书面材料，并随电子磋商文件一并存档。</w:t>
      </w:r>
    </w:p>
    <w:p w14:paraId="689D7F5F">
      <w:pPr>
        <w:pStyle w:val="17"/>
        <w:spacing w:beforeAutospacing="0" w:afterAutospacing="0" w:line="500" w:lineRule="exact"/>
        <w:ind w:firstLine="420"/>
        <w:rPr>
          <w:rFonts w:ascii="华文仿宋" w:hAnsi="华文仿宋" w:cs="华文仿宋"/>
          <w:b/>
          <w:bCs/>
          <w:color w:val="000000"/>
          <w:sz w:val="28"/>
        </w:rPr>
      </w:pPr>
      <w:bookmarkStart w:id="115" w:name="_Toc3147_WPSOffice_Level3"/>
      <w:r>
        <w:rPr>
          <w:rFonts w:hint="eastAsia" w:ascii="华文仿宋" w:hAnsi="华文仿宋" w:cs="华文仿宋"/>
          <w:b/>
          <w:bCs/>
          <w:color w:val="000000"/>
          <w:sz w:val="28"/>
          <w:shd w:val="clear" w:color="auto" w:fill="FFFFFF"/>
        </w:rPr>
        <w:t>（二）磋商小组负责具体评审事务，并独立履行下列职责：</w:t>
      </w:r>
      <w:bookmarkEnd w:id="115"/>
    </w:p>
    <w:p w14:paraId="4D9C5585">
      <w:pPr>
        <w:pStyle w:val="17"/>
        <w:spacing w:beforeAutospacing="0" w:afterAutospacing="0" w:line="500" w:lineRule="exact"/>
        <w:ind w:firstLine="566" w:firstLineChars="200"/>
        <w:rPr>
          <w:rFonts w:ascii="华文仿宋" w:hAnsi="华文仿宋" w:cs="华文仿宋"/>
          <w:color w:val="000000"/>
          <w:sz w:val="28"/>
          <w:shd w:val="clear" w:color="auto" w:fill="FFFFFF"/>
        </w:rPr>
      </w:pPr>
      <w:bookmarkStart w:id="116" w:name="_Toc8872_WPSOffice_Level3"/>
      <w:r>
        <w:rPr>
          <w:rFonts w:hint="eastAsia" w:ascii="华文仿宋" w:hAnsi="华文仿宋" w:cs="华文仿宋"/>
          <w:color w:val="000000"/>
          <w:sz w:val="28"/>
          <w:shd w:val="clear" w:color="auto" w:fill="FFFFFF"/>
        </w:rPr>
        <w:t>1.遵守评审工作纪律，不得泄露评审情况和评审中获悉的商业秘密；</w:t>
      </w:r>
    </w:p>
    <w:p w14:paraId="5A434FCD">
      <w:pPr>
        <w:pStyle w:val="17"/>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2.按照客观、公正、审慎的原则，根据电子磋商文件规定的评审程序、评审方法和评审标准进行独立评审；</w:t>
      </w:r>
    </w:p>
    <w:p w14:paraId="746D2AC8">
      <w:pPr>
        <w:pStyle w:val="17"/>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3.要求供应商对电子响应文件有关事项做出澄清或者说明；</w:t>
      </w:r>
    </w:p>
    <w:p w14:paraId="41E4DF86">
      <w:pPr>
        <w:pStyle w:val="17"/>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4.与供应商分别进行磋商；</w:t>
      </w:r>
    </w:p>
    <w:p w14:paraId="534B2CF6">
      <w:pPr>
        <w:pStyle w:val="17"/>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5.对电子响应文件进行比较和评价；</w:t>
      </w:r>
    </w:p>
    <w:p w14:paraId="189380B7">
      <w:pPr>
        <w:pStyle w:val="17"/>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6.确定成交候选人名单，以及根据磋商小组评审结果确定成交供应商；</w:t>
      </w:r>
    </w:p>
    <w:p w14:paraId="700A59A8">
      <w:pPr>
        <w:pStyle w:val="17"/>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7.配合答复供应商的询问、质疑和投诉等事项，不得泄露评审文件、评审情况和在评审过程中获悉的商业秘密；</w:t>
      </w:r>
    </w:p>
    <w:p w14:paraId="72A8C707">
      <w:pPr>
        <w:pStyle w:val="17"/>
        <w:spacing w:beforeAutospacing="0" w:afterAutospacing="0" w:line="500" w:lineRule="exact"/>
        <w:ind w:firstLine="566" w:firstLineChars="200"/>
        <w:rPr>
          <w:rFonts w:ascii="华文仿宋" w:hAnsi="华文仿宋" w:cs="华文仿宋"/>
          <w:b/>
          <w:bCs/>
          <w:color w:val="000000"/>
        </w:rPr>
      </w:pPr>
      <w:r>
        <w:rPr>
          <w:rFonts w:hint="eastAsia" w:ascii="华文仿宋" w:hAnsi="华文仿宋" w:cs="华文仿宋"/>
          <w:color w:val="000000"/>
          <w:sz w:val="28"/>
          <w:shd w:val="clear" w:color="auto" w:fill="FFFFFF"/>
        </w:rPr>
        <w:t>8.向采购人、</w:t>
      </w:r>
      <w:r>
        <w:rPr>
          <w:rFonts w:hint="eastAsia" w:ascii="华文仿宋" w:hAnsi="华文仿宋" w:cs="华文仿宋"/>
          <w:color w:val="000000"/>
          <w:sz w:val="28"/>
          <w:shd w:val="clear" w:color="auto" w:fill="FFFFFF"/>
          <w:lang w:val="zh-CN"/>
        </w:rPr>
        <w:t>中心</w:t>
      </w:r>
      <w:r>
        <w:rPr>
          <w:rFonts w:hint="eastAsia" w:ascii="华文仿宋" w:hAnsi="华文仿宋" w:cs="华文仿宋"/>
          <w:color w:val="000000"/>
          <w:sz w:val="28"/>
          <w:shd w:val="clear" w:color="auto" w:fill="FFFFFF"/>
        </w:rPr>
        <w:t>或者有关部门报告评审中发现的违法行为。</w:t>
      </w:r>
    </w:p>
    <w:p w14:paraId="4FAC8855">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（三）成立磋商小组</w:t>
      </w:r>
      <w:bookmarkEnd w:id="116"/>
    </w:p>
    <w:p w14:paraId="3FB3A42E">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rPr>
        <w:t>.为了确保磋商工作的公平、公正，依据政府采购法和政府采购相关法规、规章，成立磋商小组，磋商小组由采购人代表和评审专家共</w:t>
      </w:r>
      <w:r>
        <w:rPr>
          <w:rFonts w:hint="eastAsia" w:ascii="仿宋" w:hAnsi="仿宋" w:eastAsia="仿宋" w:cs="仿宋"/>
          <w:color w:val="000000"/>
        </w:rPr>
        <w:t>3</w:t>
      </w:r>
      <w:r>
        <w:rPr>
          <w:rFonts w:hint="eastAsia" w:ascii="华文仿宋" w:hAnsi="华文仿宋" w:cs="华文仿宋"/>
          <w:color w:val="000000"/>
        </w:rPr>
        <w:t>人以上单数组成，其中评审专家人数不少于磋商小组成员总数的三分之二。</w:t>
      </w:r>
    </w:p>
    <w:p w14:paraId="2C35CC26">
      <w:pPr>
        <w:keepNext w:val="0"/>
        <w:keepLines w:val="0"/>
        <w:pageBreakBefore w:val="0"/>
        <w:widowControl/>
        <w:kinsoku/>
        <w:wordWrap/>
        <w:overflowPunct/>
        <w:topLinePunct w:val="0"/>
        <w:autoSpaceDE/>
        <w:autoSpaceDN/>
        <w:bidi w:val="0"/>
        <w:adjustRightInd/>
        <w:snapToGrid/>
        <w:spacing w:line="500" w:lineRule="exact"/>
        <w:ind w:firstLine="566" w:firstLineChars="200"/>
        <w:textAlignment w:val="auto"/>
        <w:rPr>
          <w:rFonts w:ascii="Calibri" w:hAnsi="Calibri"/>
          <w:color w:val="000000"/>
        </w:rPr>
      </w:pPr>
      <w:r>
        <w:rPr>
          <w:rFonts w:hint="eastAsia" w:ascii="Calibri" w:hAnsi="Calibri"/>
          <w:color w:val="000000"/>
        </w:rPr>
        <w:t>评审专家对本单位的采购项目只能作为采购人代表参与评审。采购代理机构工作人员不得参加由本机构代理的政府采购项目的评审。</w:t>
      </w:r>
    </w:p>
    <w:p w14:paraId="3407C7F9">
      <w:pPr>
        <w:keepNext w:val="0"/>
        <w:keepLines w:val="0"/>
        <w:pageBreakBefore w:val="0"/>
        <w:widowControl/>
        <w:kinsoku/>
        <w:wordWrap/>
        <w:overflowPunct/>
        <w:topLinePunct w:val="0"/>
        <w:autoSpaceDE/>
        <w:autoSpaceDN/>
        <w:bidi w:val="0"/>
        <w:adjustRightInd/>
        <w:snapToGrid/>
        <w:spacing w:line="500" w:lineRule="exact"/>
        <w:ind w:firstLine="566" w:firstLineChars="200"/>
        <w:textAlignment w:val="auto"/>
        <w:rPr>
          <w:rFonts w:ascii="华文仿宋" w:hAnsi="华文仿宋" w:cs="华文仿宋"/>
          <w:color w:val="000000"/>
        </w:rPr>
      </w:pPr>
      <w:r>
        <w:rPr>
          <w:rFonts w:hint="eastAsia" w:ascii="Calibri" w:hAnsi="Calibri"/>
          <w:color w:val="000000"/>
        </w:rPr>
        <w:t>磋商小组</w:t>
      </w:r>
      <w:r>
        <w:rPr>
          <w:rFonts w:ascii="Calibri" w:hAnsi="Calibri"/>
          <w:color w:val="000000"/>
        </w:rPr>
        <w:t>成员</w:t>
      </w:r>
      <w:r>
        <w:rPr>
          <w:rFonts w:hint="eastAsia" w:ascii="Calibri" w:hAnsi="Calibri"/>
          <w:color w:val="000000"/>
        </w:rPr>
        <w:t>名单在评审结果公告前应当保密。</w:t>
      </w:r>
    </w:p>
    <w:p w14:paraId="623F5DC1">
      <w:pPr>
        <w:keepNext w:val="0"/>
        <w:keepLines w:val="0"/>
        <w:pageBreakBefore w:val="0"/>
        <w:widowControl/>
        <w:kinsoku/>
        <w:wordWrap/>
        <w:overflowPunct/>
        <w:topLinePunct w:val="0"/>
        <w:autoSpaceDE/>
        <w:autoSpaceDN/>
        <w:bidi w:val="0"/>
        <w:adjustRightInd/>
        <w:snapToGrid/>
        <w:spacing w:line="500" w:lineRule="exact"/>
        <w:ind w:firstLine="566" w:firstLineChars="200"/>
        <w:textAlignment w:val="auto"/>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rPr>
        <w:t>.评审专家将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采购项目，评审专家中应当包含1名法律专家。</w:t>
      </w:r>
    </w:p>
    <w:p w14:paraId="0E43ED63">
      <w:pPr>
        <w:keepNext w:val="0"/>
        <w:keepLines w:val="0"/>
        <w:pageBreakBefore w:val="0"/>
        <w:widowControl/>
        <w:kinsoku/>
        <w:wordWrap/>
        <w:overflowPunct/>
        <w:topLinePunct w:val="0"/>
        <w:autoSpaceDE/>
        <w:autoSpaceDN/>
        <w:bidi w:val="0"/>
        <w:adjustRightInd/>
        <w:snapToGrid/>
        <w:spacing w:line="500" w:lineRule="exact"/>
        <w:ind w:firstLine="566" w:firstLineChars="200"/>
        <w:textAlignment w:val="auto"/>
        <w:rPr>
          <w:rFonts w:ascii="Calibri" w:hAnsi="Calibri"/>
          <w:color w:val="000000"/>
        </w:rPr>
      </w:pPr>
      <w:r>
        <w:rPr>
          <w:rFonts w:hint="eastAsia" w:ascii="华文仿宋" w:hAnsi="华文仿宋" w:cs="华文仿宋"/>
          <w:color w:val="000000"/>
        </w:rPr>
        <w:t>3.评审中因磋商小组成员缺席、回避或者健康等特殊原因导致磋商小组组成不符合规定的，中心应当依法补足后继续评审。被更换的磋商小组成员所做出的评审意见无效。无法及时补足磋商小组成员的，中心应当停止评审活动，封存所有电子响应文件和开标、评审资料，依法重新组建磋商小组进行评审。原磋商小组所做出的评审意见无效。</w:t>
      </w:r>
    </w:p>
    <w:p w14:paraId="3223121D">
      <w:pPr>
        <w:keepNext w:val="0"/>
        <w:keepLines w:val="0"/>
        <w:pageBreakBefore w:val="0"/>
        <w:widowControl/>
        <w:kinsoku/>
        <w:wordWrap/>
        <w:overflowPunct/>
        <w:topLinePunct w:val="0"/>
        <w:autoSpaceDE/>
        <w:autoSpaceDN/>
        <w:bidi w:val="0"/>
        <w:adjustRightInd/>
        <w:snapToGrid/>
        <w:spacing w:line="50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中心应当将变更、重新组建磋商小组的情况予以记录，并随电子磋商文件一并存档。</w:t>
      </w:r>
    </w:p>
    <w:p w14:paraId="76540E49">
      <w:pPr>
        <w:keepNext w:val="0"/>
        <w:keepLines w:val="0"/>
        <w:pageBreakBefore w:val="0"/>
        <w:widowControl/>
        <w:kinsoku/>
        <w:wordWrap/>
        <w:overflowPunct/>
        <w:topLinePunct w:val="0"/>
        <w:autoSpaceDE/>
        <w:autoSpaceDN/>
        <w:bidi w:val="0"/>
        <w:adjustRightInd/>
        <w:snapToGrid/>
        <w:spacing w:line="500" w:lineRule="exact"/>
        <w:ind w:firstLine="566" w:firstLineChars="200"/>
        <w:textAlignment w:val="auto"/>
        <w:rPr>
          <w:rFonts w:ascii="华文仿宋" w:hAnsi="华文仿宋" w:cs="华文仿宋"/>
          <w:b/>
          <w:color w:val="000000"/>
        </w:rPr>
      </w:pPr>
      <w:bookmarkStart w:id="117" w:name="_Toc4079_WPSOffice_Level3"/>
      <w:r>
        <w:rPr>
          <w:rFonts w:hint="eastAsia" w:ascii="华文仿宋" w:hAnsi="华文仿宋" w:cs="华文仿宋"/>
          <w:b/>
          <w:color w:val="000000"/>
        </w:rPr>
        <w:t>（四）评审方法：综合评分法</w:t>
      </w:r>
      <w:bookmarkEnd w:id="117"/>
    </w:p>
    <w:p w14:paraId="1B20A6F9">
      <w:pPr>
        <w:keepNext w:val="0"/>
        <w:keepLines w:val="0"/>
        <w:pageBreakBefore w:val="0"/>
        <w:widowControl/>
        <w:kinsoku/>
        <w:wordWrap/>
        <w:overflowPunct/>
        <w:topLinePunct w:val="0"/>
        <w:autoSpaceDE/>
        <w:autoSpaceDN/>
        <w:bidi w:val="0"/>
        <w:adjustRightInd/>
        <w:snapToGrid/>
        <w:spacing w:line="500" w:lineRule="exact"/>
        <w:ind w:firstLine="566" w:firstLineChars="200"/>
        <w:textAlignment w:val="auto"/>
        <w:rPr>
          <w:rFonts w:ascii="华文仿宋" w:hAnsi="华文仿宋" w:cs="华文仿宋"/>
          <w:color w:val="000000"/>
        </w:rPr>
      </w:pPr>
      <w:r>
        <w:rPr>
          <w:rFonts w:hint="eastAsia" w:ascii="Calibri" w:hAnsi="Calibri"/>
          <w:color w:val="000000"/>
        </w:rPr>
        <w:t>综合评分法，是指电子响应文件满足电子磋商文件全部实质性要求</w:t>
      </w:r>
      <w:r>
        <w:rPr>
          <w:rFonts w:hint="eastAsia" w:ascii="Calibri" w:hAnsi="Calibri"/>
        </w:rPr>
        <w:t>且按评审因素的量化指标评审得分最高的供应商为成交候选供应商的评审方法。</w:t>
      </w:r>
    </w:p>
    <w:p w14:paraId="0521B9A2">
      <w:pPr>
        <w:keepNext w:val="0"/>
        <w:keepLines w:val="0"/>
        <w:pageBreakBefore w:val="0"/>
        <w:widowControl/>
        <w:kinsoku/>
        <w:wordWrap/>
        <w:overflowPunct/>
        <w:topLinePunct w:val="0"/>
        <w:autoSpaceDE/>
        <w:autoSpaceDN/>
        <w:bidi w:val="0"/>
        <w:adjustRightInd/>
        <w:snapToGrid/>
        <w:spacing w:line="500" w:lineRule="exact"/>
        <w:ind w:left="567"/>
        <w:textAlignment w:val="auto"/>
        <w:rPr>
          <w:rFonts w:ascii="华文仿宋" w:hAnsi="华文仿宋" w:cs="华文仿宋"/>
          <w:color w:val="000000"/>
        </w:rPr>
      </w:pPr>
      <w:bookmarkStart w:id="118" w:name="_Toc25396_WPSOffice_Level3"/>
      <w:r>
        <w:rPr>
          <w:rFonts w:hint="eastAsia" w:ascii="华文仿宋" w:hAnsi="华文仿宋" w:cs="华文仿宋"/>
          <w:b/>
          <w:color w:val="000000"/>
        </w:rPr>
        <w:t>（五）评审程序</w:t>
      </w:r>
      <w:bookmarkEnd w:id="118"/>
    </w:p>
    <w:p w14:paraId="352EF545">
      <w:pPr>
        <w:keepNext w:val="0"/>
        <w:keepLines w:val="0"/>
        <w:pageBreakBefore w:val="0"/>
        <w:widowControl/>
        <w:kinsoku/>
        <w:wordWrap/>
        <w:overflowPunct/>
        <w:topLinePunct w:val="0"/>
        <w:autoSpaceDE/>
        <w:autoSpaceDN/>
        <w:bidi w:val="0"/>
        <w:adjustRightInd/>
        <w:snapToGrid/>
        <w:spacing w:line="500" w:lineRule="exact"/>
        <w:ind w:firstLine="566" w:firstLineChars="200"/>
        <w:textAlignment w:val="auto"/>
        <w:rPr>
          <w:rFonts w:ascii="Calibri" w:hAnsi="Calibri"/>
          <w:color w:val="000000"/>
        </w:rPr>
      </w:pPr>
      <w:r>
        <w:rPr>
          <w:rFonts w:hint="eastAsia" w:ascii="Calibri" w:hAnsi="Calibri"/>
          <w:color w:val="000000"/>
        </w:rPr>
        <w:t>分步评审，每一步评审不符合电子磋商文件要求者，不得进入下一步评审，全部评审合格的供应商，进入最后的打分，最后按得分由高到低排序，推荐成交候选供应商。</w:t>
      </w:r>
    </w:p>
    <w:p w14:paraId="5C466A95">
      <w:pPr>
        <w:keepNext w:val="0"/>
        <w:keepLines w:val="0"/>
        <w:pageBreakBefore w:val="0"/>
        <w:widowControl/>
        <w:kinsoku/>
        <w:wordWrap/>
        <w:overflowPunct/>
        <w:topLinePunct w:val="0"/>
        <w:autoSpaceDE/>
        <w:autoSpaceDN/>
        <w:bidi w:val="0"/>
        <w:adjustRightInd/>
        <w:snapToGrid/>
        <w:spacing w:line="500" w:lineRule="exact"/>
        <w:ind w:firstLine="566" w:firstLineChars="200"/>
        <w:textAlignment w:val="auto"/>
        <w:rPr>
          <w:rFonts w:ascii="华文仿宋" w:hAnsi="华文仿宋" w:cs="华文仿宋"/>
          <w:b/>
          <w:bCs/>
          <w:color w:val="000000"/>
        </w:rPr>
      </w:pPr>
      <w:r>
        <w:rPr>
          <w:rFonts w:hint="eastAsia" w:ascii="华文仿宋" w:hAnsi="华文仿宋" w:cs="华文仿宋"/>
          <w:b/>
          <w:bCs/>
          <w:color w:val="000000"/>
        </w:rPr>
        <w:t>1.资格性审查</w:t>
      </w:r>
    </w:p>
    <w:p w14:paraId="51A054F3">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华文仿宋" w:hAnsi="华文仿宋" w:cs="华文仿宋"/>
          <w:b/>
          <w:bCs/>
          <w:color w:val="000000"/>
        </w:rPr>
      </w:pPr>
      <w:r>
        <w:rPr>
          <w:color w:val="000000"/>
        </w:rPr>
        <w:t>开标结束后，</w:t>
      </w:r>
      <w:r>
        <w:rPr>
          <w:rFonts w:hint="eastAsia"/>
          <w:color w:val="000000"/>
        </w:rPr>
        <w:t>磋商小组</w:t>
      </w:r>
      <w:r>
        <w:rPr>
          <w:rFonts w:hint="eastAsia" w:ascii="华文仿宋" w:hAnsi="华文仿宋" w:cs="华文仿宋"/>
          <w:color w:val="000000"/>
        </w:rPr>
        <w:t>依据法律法规和电子磋商文件的规定，对电子响应文件中的</w:t>
      </w:r>
      <w:r>
        <w:rPr>
          <w:rFonts w:hint="eastAsia"/>
          <w:color w:val="000000"/>
        </w:rPr>
        <w:t>供应商</w:t>
      </w:r>
      <w:r>
        <w:rPr>
          <w:color w:val="000000"/>
        </w:rPr>
        <w:t>资格</w:t>
      </w:r>
      <w:r>
        <w:rPr>
          <w:rFonts w:hint="eastAsia"/>
          <w:color w:val="000000"/>
        </w:rPr>
        <w:t>证明文件</w:t>
      </w:r>
      <w:r>
        <w:rPr>
          <w:rFonts w:hint="eastAsia" w:ascii="华文仿宋" w:hAnsi="华文仿宋" w:cs="华文仿宋"/>
          <w:color w:val="000000"/>
        </w:rPr>
        <w:t>进行审查，以确定供应商是否具备磋商资格。</w:t>
      </w:r>
    </w:p>
    <w:p w14:paraId="3564185B">
      <w:pPr>
        <w:spacing w:line="500" w:lineRule="exact"/>
        <w:jc w:val="center"/>
        <w:rPr>
          <w:rFonts w:hint="eastAsia" w:ascii="华文仿宋" w:hAnsi="华文仿宋" w:cs="华文仿宋"/>
          <w:b/>
          <w:bCs/>
          <w:color w:val="000000"/>
        </w:rPr>
      </w:pPr>
    </w:p>
    <w:p w14:paraId="7FF6E6D4">
      <w:pPr>
        <w:spacing w:line="500" w:lineRule="exact"/>
        <w:jc w:val="center"/>
        <w:rPr>
          <w:rFonts w:hint="eastAsia" w:ascii="华文仿宋" w:hAnsi="华文仿宋" w:cs="华文仿宋"/>
          <w:b/>
          <w:bCs/>
          <w:color w:val="000000"/>
        </w:rPr>
      </w:pPr>
    </w:p>
    <w:p w14:paraId="7A419C9D">
      <w:pPr>
        <w:spacing w:line="500" w:lineRule="exact"/>
        <w:jc w:val="center"/>
        <w:rPr>
          <w:rFonts w:ascii="华文仿宋" w:hAnsi="华文仿宋" w:cs="华文仿宋"/>
          <w:b/>
          <w:bCs/>
          <w:color w:val="000000"/>
        </w:rPr>
      </w:pPr>
      <w:r>
        <w:rPr>
          <w:rFonts w:hint="eastAsia" w:ascii="华文仿宋" w:hAnsi="华文仿宋" w:cs="华文仿宋"/>
          <w:b/>
          <w:bCs/>
          <w:color w:val="000000"/>
        </w:rPr>
        <w:t>资格审查表</w:t>
      </w:r>
    </w:p>
    <w:tbl>
      <w:tblPr>
        <w:tblStyle w:val="20"/>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863"/>
        <w:gridCol w:w="4565"/>
        <w:gridCol w:w="726"/>
        <w:gridCol w:w="967"/>
      </w:tblGrid>
      <w:tr w14:paraId="1BE64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730" w:type="dxa"/>
            <w:vAlign w:val="center"/>
          </w:tcPr>
          <w:p w14:paraId="20A2BC21">
            <w:pPr>
              <w:spacing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863" w:type="dxa"/>
            <w:vAlign w:val="center"/>
          </w:tcPr>
          <w:p w14:paraId="763B42AA">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资格审查项</w:t>
            </w:r>
          </w:p>
        </w:tc>
        <w:tc>
          <w:tcPr>
            <w:tcW w:w="4565" w:type="dxa"/>
            <w:vAlign w:val="center"/>
          </w:tcPr>
          <w:p w14:paraId="1464ED63">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通过条件</w:t>
            </w:r>
          </w:p>
        </w:tc>
        <w:tc>
          <w:tcPr>
            <w:tcW w:w="726" w:type="dxa"/>
            <w:vAlign w:val="center"/>
          </w:tcPr>
          <w:p w14:paraId="78F345FA">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结论</w:t>
            </w:r>
          </w:p>
        </w:tc>
        <w:tc>
          <w:tcPr>
            <w:tcW w:w="967" w:type="dxa"/>
            <w:vAlign w:val="center"/>
          </w:tcPr>
          <w:p w14:paraId="5427952C">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不通过原因</w:t>
            </w:r>
          </w:p>
        </w:tc>
      </w:tr>
      <w:tr w14:paraId="4C2CB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730" w:type="dxa"/>
            <w:vAlign w:val="center"/>
          </w:tcPr>
          <w:p w14:paraId="3B09B2E4">
            <w:pPr>
              <w:spacing w:line="240" w:lineRule="auto"/>
              <w:jc w:val="center"/>
              <w:rPr>
                <w:rFonts w:ascii="华文仿宋" w:hAnsi="华文仿宋" w:cs="华文仿宋"/>
                <w:bCs/>
                <w:color w:val="000000"/>
                <w:sz w:val="24"/>
                <w:szCs w:val="24"/>
              </w:rPr>
            </w:pPr>
            <w:r>
              <w:rPr>
                <w:rFonts w:hint="eastAsia" w:ascii="华文仿宋" w:hAnsi="华文仿宋" w:cs="华文仿宋"/>
                <w:bCs/>
                <w:color w:val="000000"/>
                <w:sz w:val="24"/>
                <w:szCs w:val="24"/>
              </w:rPr>
              <w:t>1</w:t>
            </w:r>
          </w:p>
        </w:tc>
        <w:tc>
          <w:tcPr>
            <w:tcW w:w="1863" w:type="dxa"/>
            <w:vAlign w:val="center"/>
          </w:tcPr>
          <w:p w14:paraId="35DF5FBB">
            <w:pPr>
              <w:spacing w:line="240" w:lineRule="auto"/>
              <w:jc w:val="center"/>
              <w:rPr>
                <w:rFonts w:ascii="华文仿宋" w:hAnsi="华文仿宋" w:cs="华文仿宋"/>
                <w:color w:val="000000"/>
                <w:kern w:val="28"/>
                <w:sz w:val="24"/>
                <w:szCs w:val="24"/>
              </w:rPr>
            </w:pPr>
            <w:r>
              <w:rPr>
                <w:rFonts w:hint="eastAsia" w:ascii="华文仿宋" w:hAnsi="华文仿宋" w:cs="华文仿宋"/>
                <w:color w:val="000000"/>
                <w:kern w:val="28"/>
                <w:sz w:val="24"/>
                <w:szCs w:val="24"/>
              </w:rPr>
              <w:t>营业执照等主体资格证明文件</w:t>
            </w:r>
          </w:p>
        </w:tc>
        <w:tc>
          <w:tcPr>
            <w:tcW w:w="4565" w:type="dxa"/>
            <w:vAlign w:val="center"/>
          </w:tcPr>
          <w:p w14:paraId="6BF1BCCA">
            <w:pPr>
              <w:spacing w:line="240" w:lineRule="auto"/>
              <w:rPr>
                <w:rFonts w:ascii="华文仿宋" w:hAnsi="华文仿宋" w:cs="华文仿宋"/>
                <w:color w:val="000000"/>
                <w:kern w:val="28"/>
                <w:sz w:val="24"/>
                <w:szCs w:val="24"/>
              </w:rPr>
            </w:pPr>
            <w:r>
              <w:rPr>
                <w:rFonts w:hint="eastAsia" w:ascii="华文仿宋" w:hAnsi="华文仿宋" w:cs="华文仿宋"/>
                <w:color w:val="000000"/>
                <w:kern w:val="28"/>
                <w:sz w:val="24"/>
                <w:szCs w:val="24"/>
              </w:rPr>
              <w:t>提供有效存续的企业营业执照（副本）/事业单位法人证书/专业服务机构执业许可证/民办非企业单位登记证书。</w:t>
            </w:r>
          </w:p>
        </w:tc>
        <w:tc>
          <w:tcPr>
            <w:tcW w:w="726" w:type="dxa"/>
            <w:vAlign w:val="center"/>
          </w:tcPr>
          <w:p w14:paraId="2ACBB095">
            <w:pPr>
              <w:spacing w:before="40" w:after="40" w:line="240" w:lineRule="auto"/>
              <w:rPr>
                <w:rFonts w:ascii="华文仿宋" w:hAnsi="华文仿宋" w:cs="华文仿宋"/>
                <w:b/>
                <w:color w:val="000000"/>
                <w:sz w:val="24"/>
                <w:szCs w:val="24"/>
              </w:rPr>
            </w:pPr>
          </w:p>
        </w:tc>
        <w:tc>
          <w:tcPr>
            <w:tcW w:w="967" w:type="dxa"/>
            <w:vAlign w:val="center"/>
          </w:tcPr>
          <w:p w14:paraId="459E7CE8">
            <w:pPr>
              <w:spacing w:before="40" w:after="40" w:line="240" w:lineRule="auto"/>
              <w:rPr>
                <w:rFonts w:ascii="华文仿宋" w:hAnsi="华文仿宋" w:cs="华文仿宋"/>
                <w:b/>
                <w:color w:val="000000"/>
                <w:sz w:val="24"/>
                <w:szCs w:val="24"/>
              </w:rPr>
            </w:pPr>
          </w:p>
        </w:tc>
      </w:tr>
      <w:tr w14:paraId="2128C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30" w:type="dxa"/>
            <w:vAlign w:val="center"/>
          </w:tcPr>
          <w:p w14:paraId="2048BDD1">
            <w:pPr>
              <w:spacing w:line="240" w:lineRule="auto"/>
              <w:jc w:val="center"/>
              <w:rPr>
                <w:rFonts w:ascii="华文仿宋" w:hAnsi="华文仿宋" w:cs="华文仿宋"/>
                <w:bCs/>
                <w:color w:val="000000"/>
                <w:sz w:val="24"/>
                <w:szCs w:val="24"/>
              </w:rPr>
            </w:pPr>
            <w:r>
              <w:rPr>
                <w:rFonts w:hint="eastAsia" w:ascii="华文仿宋" w:hAnsi="华文仿宋" w:cs="华文仿宋"/>
                <w:bCs/>
                <w:color w:val="000000"/>
                <w:sz w:val="24"/>
                <w:szCs w:val="24"/>
              </w:rPr>
              <w:t>2</w:t>
            </w:r>
          </w:p>
        </w:tc>
        <w:tc>
          <w:tcPr>
            <w:tcW w:w="1863" w:type="dxa"/>
            <w:vAlign w:val="center"/>
          </w:tcPr>
          <w:p w14:paraId="3BCD9A44">
            <w:pPr>
              <w:spacing w:line="240" w:lineRule="auto"/>
              <w:jc w:val="center"/>
              <w:rPr>
                <w:rFonts w:ascii="华文仿宋" w:hAnsi="华文仿宋" w:cs="华文仿宋"/>
                <w:color w:val="000000"/>
                <w:kern w:val="28"/>
                <w:sz w:val="24"/>
                <w:szCs w:val="24"/>
              </w:rPr>
            </w:pPr>
            <w:r>
              <w:rPr>
                <w:rFonts w:hint="eastAsia" w:ascii="华文仿宋" w:hAnsi="华文仿宋" w:cs="华文仿宋"/>
                <w:color w:val="000000"/>
                <w:kern w:val="28"/>
                <w:sz w:val="24"/>
                <w:szCs w:val="24"/>
              </w:rPr>
              <w:t>财务状况报告社保缴纳证明税收缴纳证明</w:t>
            </w:r>
          </w:p>
        </w:tc>
        <w:tc>
          <w:tcPr>
            <w:tcW w:w="4565" w:type="dxa"/>
            <w:vAlign w:val="center"/>
          </w:tcPr>
          <w:p w14:paraId="45BF2EFF">
            <w:pPr>
              <w:spacing w:line="240" w:lineRule="auto"/>
              <w:rPr>
                <w:rFonts w:ascii="华文仿宋" w:hAnsi="华文仿宋" w:cs="华文仿宋"/>
                <w:color w:val="000000"/>
                <w:kern w:val="28"/>
                <w:sz w:val="24"/>
                <w:szCs w:val="24"/>
              </w:rPr>
            </w:pPr>
            <w:r>
              <w:rPr>
                <w:rFonts w:hint="eastAsia" w:ascii="华文仿宋" w:hAnsi="华文仿宋" w:cs="华文仿宋"/>
                <w:color w:val="000000"/>
                <w:kern w:val="28"/>
                <w:sz w:val="24"/>
                <w:szCs w:val="24"/>
              </w:rPr>
              <w:t>投标人需提供财务状况、缴纳税收和社会保障资金三项符合要求的承诺函（无需另行提供证明文件）。</w:t>
            </w:r>
          </w:p>
        </w:tc>
        <w:tc>
          <w:tcPr>
            <w:tcW w:w="726" w:type="dxa"/>
            <w:vAlign w:val="center"/>
          </w:tcPr>
          <w:p w14:paraId="732D506F">
            <w:pPr>
              <w:spacing w:before="40" w:after="40" w:line="240" w:lineRule="auto"/>
              <w:rPr>
                <w:rFonts w:ascii="华文仿宋" w:hAnsi="华文仿宋" w:cs="华文仿宋"/>
                <w:b/>
                <w:color w:val="000000"/>
                <w:sz w:val="24"/>
                <w:szCs w:val="24"/>
              </w:rPr>
            </w:pPr>
          </w:p>
        </w:tc>
        <w:tc>
          <w:tcPr>
            <w:tcW w:w="967" w:type="dxa"/>
            <w:vAlign w:val="center"/>
          </w:tcPr>
          <w:p w14:paraId="25623387">
            <w:pPr>
              <w:spacing w:before="40" w:after="40" w:line="240" w:lineRule="auto"/>
              <w:rPr>
                <w:rFonts w:ascii="华文仿宋" w:hAnsi="华文仿宋" w:cs="华文仿宋"/>
                <w:b/>
                <w:color w:val="000000"/>
                <w:sz w:val="24"/>
                <w:szCs w:val="24"/>
              </w:rPr>
            </w:pPr>
          </w:p>
        </w:tc>
      </w:tr>
      <w:tr w14:paraId="18B74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26C9F95A">
            <w:pPr>
              <w:spacing w:line="240" w:lineRule="auto"/>
              <w:jc w:val="center"/>
              <w:rPr>
                <w:rFonts w:ascii="华文仿宋" w:hAnsi="华文仿宋" w:cs="华文仿宋"/>
                <w:bCs/>
                <w:color w:val="000000"/>
                <w:sz w:val="24"/>
                <w:szCs w:val="24"/>
              </w:rPr>
            </w:pPr>
            <w:r>
              <w:rPr>
                <w:rFonts w:hint="eastAsia" w:ascii="华文仿宋" w:hAnsi="华文仿宋" w:cs="华文仿宋"/>
                <w:bCs/>
                <w:color w:val="000000"/>
                <w:sz w:val="24"/>
                <w:szCs w:val="24"/>
              </w:rPr>
              <w:t>3</w:t>
            </w:r>
          </w:p>
        </w:tc>
        <w:tc>
          <w:tcPr>
            <w:tcW w:w="1863" w:type="dxa"/>
            <w:vAlign w:val="center"/>
          </w:tcPr>
          <w:p w14:paraId="1D66417B">
            <w:pPr>
              <w:spacing w:line="240" w:lineRule="auto"/>
              <w:jc w:val="center"/>
              <w:rPr>
                <w:rFonts w:ascii="华文仿宋" w:hAnsi="华文仿宋" w:cs="华文仿宋"/>
                <w:color w:val="000000"/>
                <w:kern w:val="28"/>
                <w:sz w:val="24"/>
                <w:szCs w:val="24"/>
              </w:rPr>
            </w:pPr>
            <w:r>
              <w:rPr>
                <w:rFonts w:hint="eastAsia" w:ascii="华文仿宋" w:hAnsi="华文仿宋" w:cs="华文仿宋"/>
                <w:color w:val="000000"/>
                <w:kern w:val="28"/>
                <w:sz w:val="24"/>
                <w:szCs w:val="24"/>
              </w:rPr>
              <w:t>信用记录</w:t>
            </w:r>
          </w:p>
        </w:tc>
        <w:tc>
          <w:tcPr>
            <w:tcW w:w="4565" w:type="dxa"/>
            <w:vAlign w:val="center"/>
          </w:tcPr>
          <w:p w14:paraId="197CA6B9">
            <w:pPr>
              <w:spacing w:line="240" w:lineRule="auto"/>
              <w:rPr>
                <w:rFonts w:ascii="华文仿宋" w:hAnsi="华文仿宋" w:cs="华文仿宋"/>
                <w:color w:val="000000"/>
                <w:kern w:val="28"/>
                <w:sz w:val="24"/>
                <w:szCs w:val="24"/>
              </w:rPr>
            </w:pPr>
            <w:r>
              <w:rPr>
                <w:rFonts w:hint="eastAsia" w:ascii="华文仿宋" w:hAnsi="华文仿宋" w:cs="华文仿宋"/>
                <w:color w:val="000000"/>
                <w:kern w:val="28"/>
                <w:sz w:val="24"/>
                <w:szCs w:val="24"/>
              </w:rPr>
              <w:t>提供《</w:t>
            </w:r>
            <w:r>
              <w:rPr>
                <w:rFonts w:hint="eastAsia" w:ascii="华文仿宋" w:hAnsi="华文仿宋" w:cs="华文仿宋"/>
                <w:color w:val="000000"/>
                <w:sz w:val="24"/>
                <w:szCs w:val="24"/>
              </w:rPr>
              <w:t>供应商</w:t>
            </w:r>
            <w:r>
              <w:rPr>
                <w:rFonts w:hint="eastAsia" w:ascii="华文仿宋" w:hAnsi="华文仿宋" w:cs="华文仿宋"/>
                <w:sz w:val="24"/>
                <w:szCs w:val="24"/>
              </w:rPr>
              <w:t>信用记录书面声明函</w:t>
            </w:r>
            <w:r>
              <w:rPr>
                <w:rFonts w:hint="eastAsia" w:ascii="华文仿宋" w:hAnsi="华文仿宋" w:cs="华文仿宋"/>
                <w:kern w:val="28"/>
                <w:sz w:val="24"/>
                <w:szCs w:val="24"/>
              </w:rPr>
              <w:t>》（按格式填写，提供原件的扫描件）。经查，供应商未被列入“信用中国”网站记录的“失信被执行人”或“重大税</w:t>
            </w:r>
            <w:r>
              <w:rPr>
                <w:rFonts w:hint="eastAsia" w:ascii="华文仿宋" w:hAnsi="华文仿宋" w:cs="华文仿宋"/>
                <w:color w:val="000000"/>
                <w:kern w:val="28"/>
                <w:sz w:val="24"/>
                <w:szCs w:val="24"/>
              </w:rPr>
              <w:t>收违法失信主体”名单；不处于“中国政府采购网”记录的“政府采购严重违法失信行为信息记录名单”中的禁止参加政府采购活动期间。</w:t>
            </w:r>
          </w:p>
        </w:tc>
        <w:tc>
          <w:tcPr>
            <w:tcW w:w="726" w:type="dxa"/>
            <w:vAlign w:val="center"/>
          </w:tcPr>
          <w:p w14:paraId="0CCD342E">
            <w:pPr>
              <w:spacing w:before="40" w:after="40" w:line="240" w:lineRule="auto"/>
              <w:rPr>
                <w:rFonts w:ascii="华文仿宋" w:hAnsi="华文仿宋" w:cs="华文仿宋"/>
                <w:b/>
                <w:color w:val="000000"/>
                <w:sz w:val="24"/>
                <w:szCs w:val="24"/>
              </w:rPr>
            </w:pPr>
          </w:p>
        </w:tc>
        <w:tc>
          <w:tcPr>
            <w:tcW w:w="967" w:type="dxa"/>
            <w:vAlign w:val="center"/>
          </w:tcPr>
          <w:p w14:paraId="402A6FEA">
            <w:pPr>
              <w:spacing w:before="40" w:after="40" w:line="240" w:lineRule="auto"/>
              <w:rPr>
                <w:rFonts w:ascii="华文仿宋" w:hAnsi="华文仿宋" w:cs="华文仿宋"/>
                <w:b/>
                <w:color w:val="000000"/>
                <w:sz w:val="24"/>
                <w:szCs w:val="24"/>
              </w:rPr>
            </w:pPr>
          </w:p>
        </w:tc>
      </w:tr>
      <w:tr w14:paraId="77064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44652C08">
            <w:pPr>
              <w:spacing w:line="240" w:lineRule="auto"/>
              <w:jc w:val="center"/>
              <w:rPr>
                <w:rFonts w:ascii="华文仿宋" w:hAnsi="华文仿宋" w:cs="华文仿宋"/>
                <w:bCs/>
                <w:color w:val="000000"/>
                <w:sz w:val="24"/>
                <w:szCs w:val="24"/>
              </w:rPr>
            </w:pPr>
            <w:r>
              <w:rPr>
                <w:rFonts w:hint="eastAsia" w:ascii="华文仿宋" w:hAnsi="华文仿宋" w:cs="华文仿宋"/>
                <w:color w:val="000000"/>
                <w:sz w:val="24"/>
                <w:szCs w:val="24"/>
              </w:rPr>
              <w:t>4</w:t>
            </w:r>
          </w:p>
        </w:tc>
        <w:tc>
          <w:tcPr>
            <w:tcW w:w="1863" w:type="dxa"/>
            <w:vAlign w:val="center"/>
          </w:tcPr>
          <w:p w14:paraId="5F4F9AA5">
            <w:pPr>
              <w:spacing w:line="240" w:lineRule="auto"/>
              <w:jc w:val="center"/>
              <w:rPr>
                <w:rFonts w:ascii="华文仿宋" w:hAnsi="华文仿宋" w:cs="华文仿宋"/>
                <w:color w:val="000000"/>
                <w:kern w:val="28"/>
                <w:sz w:val="24"/>
                <w:szCs w:val="24"/>
              </w:rPr>
            </w:pPr>
            <w:r>
              <w:rPr>
                <w:rFonts w:hint="eastAsia" w:ascii="华文仿宋" w:hAnsi="华文仿宋" w:cs="华文仿宋"/>
                <w:color w:val="000000"/>
                <w:kern w:val="28"/>
                <w:sz w:val="24"/>
                <w:szCs w:val="24"/>
              </w:rPr>
              <w:t>控股管理关系</w:t>
            </w:r>
          </w:p>
        </w:tc>
        <w:tc>
          <w:tcPr>
            <w:tcW w:w="4565" w:type="dxa"/>
            <w:vAlign w:val="center"/>
          </w:tcPr>
          <w:p w14:paraId="4E7DA7D8">
            <w:pPr>
              <w:spacing w:line="240" w:lineRule="auto"/>
              <w:rPr>
                <w:rFonts w:ascii="华文仿宋" w:hAnsi="华文仿宋" w:cs="华文仿宋"/>
                <w:color w:val="000000"/>
                <w:kern w:val="28"/>
                <w:sz w:val="24"/>
                <w:szCs w:val="24"/>
              </w:rPr>
            </w:pPr>
            <w:r>
              <w:rPr>
                <w:rFonts w:hint="eastAsia" w:ascii="华文仿宋" w:hAnsi="华文仿宋" w:cs="华文仿宋"/>
                <w:color w:val="000000"/>
                <w:kern w:val="28"/>
                <w:sz w:val="24"/>
                <w:szCs w:val="24"/>
              </w:rPr>
              <w:t>提供直接控股和管理关系清单。若与其他供应商存在单位负责人为同一人或者存在直接控股、管理关系的，则响应无效。</w:t>
            </w:r>
          </w:p>
        </w:tc>
        <w:tc>
          <w:tcPr>
            <w:tcW w:w="726" w:type="dxa"/>
            <w:vAlign w:val="center"/>
          </w:tcPr>
          <w:p w14:paraId="0AD47BC3">
            <w:pPr>
              <w:spacing w:before="40" w:after="40" w:line="240" w:lineRule="auto"/>
              <w:rPr>
                <w:rFonts w:ascii="华文仿宋" w:hAnsi="华文仿宋" w:cs="华文仿宋"/>
                <w:b/>
                <w:color w:val="000000"/>
                <w:sz w:val="24"/>
                <w:szCs w:val="24"/>
              </w:rPr>
            </w:pPr>
          </w:p>
        </w:tc>
        <w:tc>
          <w:tcPr>
            <w:tcW w:w="967" w:type="dxa"/>
            <w:vAlign w:val="center"/>
          </w:tcPr>
          <w:p w14:paraId="313616EE">
            <w:pPr>
              <w:spacing w:before="40" w:after="40" w:line="240" w:lineRule="auto"/>
              <w:rPr>
                <w:rFonts w:ascii="华文仿宋" w:hAnsi="华文仿宋" w:cs="华文仿宋"/>
                <w:b/>
                <w:color w:val="000000"/>
                <w:sz w:val="24"/>
                <w:szCs w:val="24"/>
              </w:rPr>
            </w:pPr>
          </w:p>
        </w:tc>
      </w:tr>
      <w:tr w14:paraId="237B2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146FE1B2">
            <w:pPr>
              <w:spacing w:line="240" w:lineRule="auto"/>
              <w:jc w:val="center"/>
              <w:rPr>
                <w:rFonts w:ascii="华文仿宋" w:hAnsi="华文仿宋" w:cs="华文仿宋"/>
                <w:bCs/>
                <w:color w:val="000000"/>
                <w:sz w:val="24"/>
                <w:szCs w:val="24"/>
              </w:rPr>
            </w:pPr>
            <w:r>
              <w:rPr>
                <w:rFonts w:hint="eastAsia" w:ascii="华文仿宋" w:hAnsi="华文仿宋" w:cs="华文仿宋"/>
                <w:bCs/>
                <w:color w:val="000000"/>
                <w:sz w:val="24"/>
                <w:szCs w:val="24"/>
              </w:rPr>
              <w:t>5</w:t>
            </w:r>
          </w:p>
        </w:tc>
        <w:tc>
          <w:tcPr>
            <w:tcW w:w="1863" w:type="dxa"/>
            <w:vAlign w:val="center"/>
          </w:tcPr>
          <w:p w14:paraId="620EE631">
            <w:pPr>
              <w:spacing w:line="240" w:lineRule="auto"/>
              <w:jc w:val="center"/>
              <w:rPr>
                <w:rFonts w:ascii="华文仿宋" w:hAnsi="华文仿宋" w:cs="华文仿宋"/>
                <w:color w:val="000000"/>
                <w:kern w:val="28"/>
                <w:sz w:val="24"/>
                <w:szCs w:val="24"/>
              </w:rPr>
            </w:pPr>
            <w:r>
              <w:rPr>
                <w:rFonts w:hint="eastAsia" w:ascii="华文仿宋" w:hAnsi="华文仿宋" w:cs="华文仿宋"/>
                <w:color w:val="000000"/>
                <w:kern w:val="28"/>
                <w:sz w:val="24"/>
                <w:szCs w:val="24"/>
              </w:rPr>
              <w:t>书面声明</w:t>
            </w:r>
          </w:p>
        </w:tc>
        <w:tc>
          <w:tcPr>
            <w:tcW w:w="4565" w:type="dxa"/>
            <w:vAlign w:val="center"/>
          </w:tcPr>
          <w:p w14:paraId="2416AE00">
            <w:pPr>
              <w:spacing w:line="240" w:lineRule="auto"/>
              <w:rPr>
                <w:rFonts w:ascii="华文仿宋" w:hAnsi="华文仿宋" w:cs="华文仿宋"/>
                <w:color w:val="000000"/>
                <w:kern w:val="28"/>
                <w:sz w:val="24"/>
                <w:szCs w:val="24"/>
              </w:rPr>
            </w:pPr>
            <w:r>
              <w:rPr>
                <w:rFonts w:hint="eastAsia" w:ascii="华文仿宋" w:hAnsi="华文仿宋" w:cs="华文仿宋"/>
                <w:color w:val="000000"/>
                <w:kern w:val="28"/>
                <w:sz w:val="24"/>
                <w:szCs w:val="24"/>
              </w:rPr>
              <w:t>提供书面声明，包括声明具有履行合同所必需的设备和专业技术能力；未为本项目提供整体设计、规范编制或者项目管理、监理、检测等服务。</w:t>
            </w:r>
          </w:p>
        </w:tc>
        <w:tc>
          <w:tcPr>
            <w:tcW w:w="726" w:type="dxa"/>
            <w:vAlign w:val="center"/>
          </w:tcPr>
          <w:p w14:paraId="3EF27706">
            <w:pPr>
              <w:spacing w:before="40" w:after="40" w:line="240" w:lineRule="auto"/>
              <w:rPr>
                <w:rFonts w:ascii="华文仿宋" w:hAnsi="华文仿宋" w:cs="华文仿宋"/>
                <w:b/>
                <w:color w:val="000000"/>
                <w:sz w:val="24"/>
                <w:szCs w:val="24"/>
              </w:rPr>
            </w:pPr>
          </w:p>
        </w:tc>
        <w:tc>
          <w:tcPr>
            <w:tcW w:w="967" w:type="dxa"/>
            <w:vAlign w:val="center"/>
          </w:tcPr>
          <w:p w14:paraId="61E3CA5F">
            <w:pPr>
              <w:spacing w:before="40" w:after="40" w:line="240" w:lineRule="auto"/>
              <w:rPr>
                <w:rFonts w:ascii="华文仿宋" w:hAnsi="华文仿宋" w:cs="华文仿宋"/>
                <w:b/>
                <w:color w:val="000000"/>
                <w:sz w:val="24"/>
                <w:szCs w:val="24"/>
              </w:rPr>
            </w:pPr>
          </w:p>
        </w:tc>
      </w:tr>
      <w:tr w14:paraId="5AB80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35467A51">
            <w:pPr>
              <w:spacing w:line="240" w:lineRule="auto"/>
              <w:jc w:val="center"/>
              <w:rPr>
                <w:rFonts w:ascii="华文仿宋" w:hAnsi="华文仿宋" w:cs="华文仿宋"/>
                <w:bCs/>
                <w:color w:val="000000"/>
                <w:sz w:val="24"/>
                <w:szCs w:val="24"/>
              </w:rPr>
            </w:pPr>
            <w:r>
              <w:rPr>
                <w:rFonts w:hint="eastAsia" w:ascii="华文仿宋" w:hAnsi="华文仿宋" w:cs="华文仿宋"/>
                <w:bCs/>
                <w:color w:val="000000"/>
                <w:sz w:val="24"/>
                <w:szCs w:val="24"/>
              </w:rPr>
              <w:t>6</w:t>
            </w:r>
          </w:p>
        </w:tc>
        <w:tc>
          <w:tcPr>
            <w:tcW w:w="1863" w:type="dxa"/>
            <w:vAlign w:val="center"/>
          </w:tcPr>
          <w:p w14:paraId="4AA50A23">
            <w:pPr>
              <w:spacing w:line="240" w:lineRule="auto"/>
              <w:jc w:val="center"/>
              <w:rPr>
                <w:rFonts w:ascii="华文仿宋" w:hAnsi="华文仿宋" w:cs="华文仿宋"/>
                <w:color w:val="000000"/>
                <w:kern w:val="28"/>
                <w:sz w:val="24"/>
                <w:szCs w:val="24"/>
              </w:rPr>
            </w:pPr>
            <w:r>
              <w:rPr>
                <w:rFonts w:hint="eastAsia" w:ascii="华文仿宋" w:hAnsi="华文仿宋" w:cs="华文仿宋"/>
                <w:color w:val="000000"/>
                <w:kern w:val="28"/>
                <w:sz w:val="24"/>
                <w:szCs w:val="24"/>
              </w:rPr>
              <w:t>法定代表人授权委托书及法定代表人证明书</w:t>
            </w:r>
          </w:p>
        </w:tc>
        <w:tc>
          <w:tcPr>
            <w:tcW w:w="4565" w:type="dxa"/>
            <w:vAlign w:val="center"/>
          </w:tcPr>
          <w:p w14:paraId="23BDF5E7">
            <w:pPr>
              <w:spacing w:line="240" w:lineRule="auto"/>
              <w:rPr>
                <w:rFonts w:ascii="华文仿宋" w:hAnsi="华文仿宋" w:cs="华文仿宋"/>
                <w:color w:val="000000"/>
                <w:kern w:val="28"/>
                <w:sz w:val="24"/>
                <w:szCs w:val="24"/>
              </w:rPr>
            </w:pPr>
            <w:r>
              <w:rPr>
                <w:rFonts w:hint="eastAsia" w:ascii="华文仿宋" w:hAnsi="华文仿宋" w:cs="华文仿宋"/>
                <w:color w:val="000000"/>
                <w:kern w:val="28"/>
                <w:sz w:val="24"/>
                <w:szCs w:val="24"/>
              </w:rPr>
              <w:t>法定代表人参加磋商的，须提供本人身份证扫描件（附在资格证明文件中）；法定代表人授权他人参</w:t>
            </w:r>
            <w:r>
              <w:rPr>
                <w:rFonts w:hint="eastAsia" w:ascii="华文仿宋" w:hAnsi="华文仿宋" w:cs="华文仿宋"/>
                <w:kern w:val="28"/>
                <w:sz w:val="24"/>
                <w:szCs w:val="24"/>
              </w:rPr>
              <w:t>加磋商的，须提供法定代表人授权委托书（按格式填写，提供原件的扫描件）。电子磋商文件中凡是需要法定代表人盖章之处</w:t>
            </w:r>
            <w:r>
              <w:rPr>
                <w:rFonts w:hint="eastAsia" w:ascii="华文仿宋" w:hAnsi="华文仿宋" w:cs="华文仿宋"/>
                <w:color w:val="000000"/>
                <w:kern w:val="28"/>
                <w:sz w:val="24"/>
                <w:szCs w:val="24"/>
              </w:rPr>
              <w:t>，非法人单位的负责人均参照执行。</w:t>
            </w:r>
          </w:p>
          <w:p w14:paraId="24BB3BB5">
            <w:pPr>
              <w:spacing w:line="240" w:lineRule="auto"/>
              <w:rPr>
                <w:rFonts w:ascii="华文仿宋" w:hAnsi="华文仿宋" w:cs="华文仿宋"/>
                <w:color w:val="000000"/>
                <w:kern w:val="28"/>
                <w:sz w:val="24"/>
                <w:szCs w:val="24"/>
              </w:rPr>
            </w:pPr>
            <w:r>
              <w:rPr>
                <w:rFonts w:hint="eastAsia" w:ascii="华文仿宋" w:hAnsi="华文仿宋" w:cs="华文仿宋"/>
                <w:color w:val="000000"/>
                <w:kern w:val="28"/>
                <w:sz w:val="24"/>
                <w:szCs w:val="24"/>
              </w:rPr>
              <w:t>法人的分支机构参与投标时，除提供《法定代表人授权委托书》外，还须同时提供法人给分支机构出具的授权书。</w:t>
            </w:r>
          </w:p>
        </w:tc>
        <w:tc>
          <w:tcPr>
            <w:tcW w:w="726" w:type="dxa"/>
            <w:vAlign w:val="center"/>
          </w:tcPr>
          <w:p w14:paraId="78231265">
            <w:pPr>
              <w:spacing w:before="40" w:after="40" w:line="240" w:lineRule="auto"/>
              <w:rPr>
                <w:rFonts w:ascii="华文仿宋" w:hAnsi="华文仿宋" w:cs="华文仿宋"/>
                <w:b/>
                <w:color w:val="000000"/>
                <w:sz w:val="24"/>
                <w:szCs w:val="24"/>
              </w:rPr>
            </w:pPr>
          </w:p>
        </w:tc>
        <w:tc>
          <w:tcPr>
            <w:tcW w:w="967" w:type="dxa"/>
            <w:vAlign w:val="center"/>
          </w:tcPr>
          <w:p w14:paraId="0485B8B0">
            <w:pPr>
              <w:spacing w:before="40" w:after="40" w:line="240" w:lineRule="auto"/>
              <w:rPr>
                <w:rFonts w:ascii="华文仿宋" w:hAnsi="华文仿宋" w:cs="华文仿宋"/>
                <w:b/>
                <w:color w:val="000000"/>
                <w:sz w:val="24"/>
                <w:szCs w:val="24"/>
              </w:rPr>
            </w:pPr>
          </w:p>
        </w:tc>
      </w:tr>
      <w:tr w14:paraId="01392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25E5EC34">
            <w:pPr>
              <w:spacing w:line="240" w:lineRule="auto"/>
              <w:jc w:val="center"/>
              <w:rPr>
                <w:rFonts w:ascii="华文仿宋" w:hAnsi="华文仿宋" w:cs="华文仿宋"/>
                <w:bCs/>
                <w:color w:val="000000"/>
                <w:sz w:val="24"/>
                <w:szCs w:val="24"/>
              </w:rPr>
            </w:pPr>
            <w:r>
              <w:rPr>
                <w:rFonts w:hint="eastAsia" w:ascii="华文仿宋" w:hAnsi="华文仿宋" w:cs="华文仿宋"/>
                <w:bCs/>
                <w:color w:val="000000"/>
                <w:sz w:val="24"/>
                <w:szCs w:val="24"/>
              </w:rPr>
              <w:t>7</w:t>
            </w:r>
          </w:p>
        </w:tc>
        <w:tc>
          <w:tcPr>
            <w:tcW w:w="1863" w:type="dxa"/>
            <w:vAlign w:val="center"/>
          </w:tcPr>
          <w:p w14:paraId="5F2ACFE1">
            <w:pPr>
              <w:spacing w:line="240" w:lineRule="auto"/>
              <w:jc w:val="center"/>
              <w:rPr>
                <w:rFonts w:ascii="华文仿宋" w:hAnsi="华文仿宋" w:cs="华文仿宋"/>
                <w:color w:val="000000"/>
                <w:kern w:val="28"/>
                <w:sz w:val="24"/>
                <w:szCs w:val="24"/>
              </w:rPr>
            </w:pPr>
            <w:r>
              <w:rPr>
                <w:rFonts w:hint="eastAsia" w:ascii="华文仿宋" w:hAnsi="华文仿宋" w:cs="华文仿宋"/>
                <w:color w:val="000000"/>
                <w:kern w:val="28"/>
                <w:sz w:val="24"/>
                <w:szCs w:val="24"/>
              </w:rPr>
              <w:t>本项目不接受联合体响应，不允许分包</w:t>
            </w:r>
          </w:p>
        </w:tc>
        <w:tc>
          <w:tcPr>
            <w:tcW w:w="4565" w:type="dxa"/>
            <w:vAlign w:val="center"/>
          </w:tcPr>
          <w:p w14:paraId="7D71056B">
            <w:pPr>
              <w:spacing w:line="240" w:lineRule="auto"/>
              <w:rPr>
                <w:rFonts w:ascii="华文仿宋" w:hAnsi="华文仿宋" w:cs="华文仿宋"/>
                <w:color w:val="000000"/>
                <w:kern w:val="28"/>
                <w:sz w:val="24"/>
                <w:szCs w:val="24"/>
              </w:rPr>
            </w:pPr>
            <w:r>
              <w:rPr>
                <w:rFonts w:hint="eastAsia" w:ascii="华文仿宋" w:hAnsi="华文仿宋" w:cs="华文仿宋"/>
                <w:color w:val="000000"/>
                <w:kern w:val="28"/>
                <w:sz w:val="24"/>
                <w:szCs w:val="24"/>
              </w:rPr>
              <w:t>供应商应提供《非联合体不分包投标声明》，视为独立响应，不分包。</w:t>
            </w:r>
          </w:p>
        </w:tc>
        <w:tc>
          <w:tcPr>
            <w:tcW w:w="726" w:type="dxa"/>
            <w:vAlign w:val="center"/>
          </w:tcPr>
          <w:p w14:paraId="369C8A23">
            <w:pPr>
              <w:spacing w:before="40" w:after="40" w:line="240" w:lineRule="auto"/>
              <w:rPr>
                <w:rFonts w:ascii="华文仿宋" w:hAnsi="华文仿宋" w:cs="华文仿宋"/>
                <w:b/>
                <w:color w:val="000000"/>
                <w:sz w:val="24"/>
                <w:szCs w:val="24"/>
              </w:rPr>
            </w:pPr>
          </w:p>
        </w:tc>
        <w:tc>
          <w:tcPr>
            <w:tcW w:w="967" w:type="dxa"/>
            <w:vAlign w:val="center"/>
          </w:tcPr>
          <w:p w14:paraId="45180C93">
            <w:pPr>
              <w:spacing w:before="40" w:after="40" w:line="240" w:lineRule="auto"/>
              <w:rPr>
                <w:rFonts w:ascii="华文仿宋" w:hAnsi="华文仿宋" w:cs="华文仿宋"/>
                <w:b/>
                <w:color w:val="000000"/>
                <w:sz w:val="24"/>
                <w:szCs w:val="24"/>
              </w:rPr>
            </w:pPr>
          </w:p>
        </w:tc>
      </w:tr>
      <w:tr w14:paraId="29DCF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38BCA717">
            <w:pPr>
              <w:spacing w:line="240" w:lineRule="auto"/>
              <w:jc w:val="center"/>
              <w:rPr>
                <w:rFonts w:ascii="华文仿宋" w:hAnsi="华文仿宋" w:cs="华文仿宋"/>
                <w:bCs/>
                <w:color w:val="000000"/>
                <w:sz w:val="24"/>
                <w:szCs w:val="24"/>
              </w:rPr>
            </w:pPr>
            <w:r>
              <w:rPr>
                <w:rFonts w:hint="eastAsia" w:ascii="华文仿宋" w:hAnsi="华文仿宋" w:cs="华文仿宋"/>
                <w:bCs/>
                <w:color w:val="000000"/>
                <w:sz w:val="24"/>
                <w:szCs w:val="24"/>
              </w:rPr>
              <w:t>8</w:t>
            </w:r>
          </w:p>
        </w:tc>
        <w:tc>
          <w:tcPr>
            <w:tcW w:w="1863" w:type="dxa"/>
            <w:vAlign w:val="center"/>
          </w:tcPr>
          <w:p w14:paraId="27A74282">
            <w:pPr>
              <w:spacing w:line="240" w:lineRule="auto"/>
              <w:jc w:val="center"/>
              <w:rPr>
                <w:rFonts w:ascii="华文仿宋" w:hAnsi="华文仿宋" w:cs="华文仿宋"/>
                <w:color w:val="000000"/>
                <w:kern w:val="28"/>
                <w:sz w:val="24"/>
                <w:szCs w:val="24"/>
              </w:rPr>
            </w:pPr>
            <w:r>
              <w:rPr>
                <w:rFonts w:hint="eastAsia" w:ascii="华文仿宋" w:hAnsi="华文仿宋" w:cs="华文仿宋"/>
                <w:color w:val="000000"/>
                <w:kern w:val="28"/>
                <w:sz w:val="24"/>
                <w:szCs w:val="24"/>
              </w:rPr>
              <w:t>特定资格条件</w:t>
            </w:r>
          </w:p>
        </w:tc>
        <w:tc>
          <w:tcPr>
            <w:tcW w:w="4565" w:type="dxa"/>
            <w:vAlign w:val="center"/>
          </w:tcPr>
          <w:p w14:paraId="11E731D1">
            <w:pPr>
              <w:spacing w:line="240" w:lineRule="auto"/>
              <w:rPr>
                <w:rFonts w:ascii="华文仿宋" w:hAnsi="华文仿宋" w:cs="华文仿宋"/>
                <w:color w:val="000000"/>
                <w:kern w:val="28"/>
                <w:sz w:val="24"/>
                <w:szCs w:val="24"/>
              </w:rPr>
            </w:pPr>
            <w:r>
              <w:rPr>
                <w:rFonts w:hint="eastAsia" w:ascii="华文仿宋" w:hAnsi="华文仿宋" w:cs="华文仿宋"/>
                <w:color w:val="000000"/>
                <w:kern w:val="28"/>
                <w:sz w:val="24"/>
                <w:szCs w:val="24"/>
                <w:lang w:val="en-US" w:eastAsia="zh-CN"/>
              </w:rPr>
              <w:t>需提供省级自然资源主管部门出具的土地估价机构备案函。</w:t>
            </w:r>
          </w:p>
        </w:tc>
        <w:tc>
          <w:tcPr>
            <w:tcW w:w="726" w:type="dxa"/>
            <w:vAlign w:val="center"/>
          </w:tcPr>
          <w:p w14:paraId="2C229DD4">
            <w:pPr>
              <w:spacing w:before="40" w:after="40" w:line="240" w:lineRule="auto"/>
              <w:rPr>
                <w:rFonts w:ascii="华文仿宋" w:hAnsi="华文仿宋" w:cs="华文仿宋"/>
                <w:b/>
                <w:color w:val="000000"/>
                <w:sz w:val="24"/>
                <w:szCs w:val="24"/>
              </w:rPr>
            </w:pPr>
          </w:p>
        </w:tc>
        <w:tc>
          <w:tcPr>
            <w:tcW w:w="967" w:type="dxa"/>
            <w:vAlign w:val="center"/>
          </w:tcPr>
          <w:p w14:paraId="2987C874">
            <w:pPr>
              <w:spacing w:before="40" w:after="40" w:line="240" w:lineRule="auto"/>
              <w:rPr>
                <w:rFonts w:ascii="华文仿宋" w:hAnsi="华文仿宋" w:cs="华文仿宋"/>
                <w:b/>
                <w:color w:val="000000"/>
                <w:sz w:val="24"/>
                <w:szCs w:val="24"/>
              </w:rPr>
            </w:pPr>
          </w:p>
        </w:tc>
      </w:tr>
      <w:tr w14:paraId="68CC8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851" w:type="dxa"/>
            <w:gridSpan w:val="5"/>
            <w:vAlign w:val="center"/>
          </w:tcPr>
          <w:p w14:paraId="6ED30944">
            <w:pPr>
              <w:spacing w:line="240" w:lineRule="auto"/>
              <w:rPr>
                <w:rFonts w:ascii="华文仿宋" w:hAnsi="华文仿宋" w:cs="华文仿宋"/>
                <w:b/>
                <w:color w:val="000000"/>
                <w:sz w:val="24"/>
                <w:szCs w:val="24"/>
              </w:rPr>
            </w:pPr>
            <w:r>
              <w:rPr>
                <w:rFonts w:hint="eastAsia" w:ascii="华文仿宋" w:hAnsi="华文仿宋" w:cs="华文仿宋"/>
                <w:b/>
                <w:bCs/>
                <w:color w:val="000000"/>
                <w:kern w:val="0"/>
                <w:sz w:val="24"/>
                <w:szCs w:val="24"/>
              </w:rPr>
              <w:t>磋商小组成员：（签字或盖章）</w:t>
            </w:r>
          </w:p>
        </w:tc>
      </w:tr>
    </w:tbl>
    <w:p w14:paraId="162D21DD">
      <w:pPr>
        <w:spacing w:line="500" w:lineRule="exact"/>
        <w:ind w:firstLine="566" w:firstLineChars="200"/>
        <w:rPr>
          <w:rFonts w:ascii="Calibri" w:hAnsi="Calibri"/>
          <w:b/>
          <w:bCs/>
          <w:color w:val="000000"/>
        </w:rPr>
      </w:pPr>
      <w:r>
        <w:rPr>
          <w:rFonts w:hint="eastAsia" w:ascii="Calibri" w:hAnsi="Calibri"/>
          <w:b/>
          <w:bCs/>
          <w:color w:val="000000"/>
        </w:rPr>
        <w:t>出现下列情形的，电子响应文件将被视为无效：</w:t>
      </w:r>
    </w:p>
    <w:p w14:paraId="69652498">
      <w:pPr>
        <w:spacing w:line="500" w:lineRule="exact"/>
        <w:ind w:firstLine="566" w:firstLineChars="200"/>
        <w:rPr>
          <w:rFonts w:ascii="Calibri" w:hAnsi="Calibri"/>
          <w:color w:val="000000"/>
        </w:rPr>
      </w:pPr>
      <w:r>
        <w:rPr>
          <w:rFonts w:hint="eastAsia" w:ascii="华文仿宋" w:hAnsi="华文仿宋" w:cs="华文仿宋"/>
          <w:color w:val="000000"/>
        </w:rPr>
        <w:t>（1）</w:t>
      </w:r>
      <w:r>
        <w:rPr>
          <w:rFonts w:hint="eastAsia" w:ascii="Calibri" w:hAnsi="Calibri"/>
          <w:color w:val="000000"/>
        </w:rPr>
        <w:t>不具备电子磋商文件中规定的资格要求的；</w:t>
      </w:r>
    </w:p>
    <w:p w14:paraId="3F250311">
      <w:pPr>
        <w:spacing w:line="500" w:lineRule="exact"/>
        <w:ind w:firstLine="566" w:firstLineChars="200"/>
        <w:rPr>
          <w:rFonts w:ascii="Calibri" w:hAnsi="Calibri"/>
          <w:color w:val="000000"/>
        </w:rPr>
      </w:pPr>
      <w:r>
        <w:rPr>
          <w:rFonts w:hint="eastAsia" w:ascii="华文仿宋" w:hAnsi="华文仿宋" w:cs="华文仿宋"/>
          <w:color w:val="000000"/>
        </w:rPr>
        <w:t>（2）</w:t>
      </w:r>
      <w:r>
        <w:rPr>
          <w:rFonts w:hint="eastAsia" w:ascii="Calibri" w:hAnsi="Calibri"/>
          <w:color w:val="000000"/>
        </w:rPr>
        <w:t>未按电子磋商文件要求提供</w:t>
      </w:r>
      <w:r>
        <w:rPr>
          <w:color w:val="000000"/>
        </w:rPr>
        <w:t>资格</w:t>
      </w:r>
      <w:r>
        <w:rPr>
          <w:rFonts w:hint="eastAsia"/>
          <w:color w:val="000000"/>
        </w:rPr>
        <w:t>证明文件</w:t>
      </w:r>
      <w:r>
        <w:rPr>
          <w:rFonts w:hint="eastAsia" w:ascii="Calibri" w:hAnsi="Calibri"/>
          <w:color w:val="000000"/>
        </w:rPr>
        <w:t>，或未按电子磋商文件要求加盖公章的；</w:t>
      </w:r>
    </w:p>
    <w:p w14:paraId="1DFEE983">
      <w:pPr>
        <w:spacing w:line="500" w:lineRule="exact"/>
        <w:ind w:firstLine="566" w:firstLineChars="200"/>
        <w:rPr>
          <w:rFonts w:ascii="Calibri" w:hAnsi="Calibri"/>
          <w:color w:val="000000"/>
        </w:rPr>
      </w:pPr>
      <w:r>
        <w:rPr>
          <w:rFonts w:hint="eastAsia" w:ascii="华文仿宋" w:hAnsi="华文仿宋" w:cs="华文仿宋"/>
          <w:color w:val="000000"/>
        </w:rPr>
        <w:t>（3）</w:t>
      </w:r>
      <w:r>
        <w:rPr>
          <w:rFonts w:hint="eastAsia" w:ascii="Calibri" w:hAnsi="Calibri"/>
          <w:color w:val="000000"/>
        </w:rPr>
        <w:t>磋商小组认为供应商的资格证明文件存在疑点，</w:t>
      </w:r>
      <w:r>
        <w:rPr>
          <w:rFonts w:hint="eastAsia"/>
          <w:color w:val="000000"/>
        </w:rPr>
        <w:t>要求供应商通过公共资源交易平台（以下简称“平台”）或电子邮件（在平台无法支持的情况下）等形式提供更清晰有效的证明文件，供应商不能在规定时限内提供符合电子磋商文件要求的证明文件的。</w:t>
      </w:r>
    </w:p>
    <w:p w14:paraId="0C27F50E">
      <w:pPr>
        <w:spacing w:line="500" w:lineRule="exact"/>
        <w:ind w:firstLine="566" w:firstLineChars="200"/>
        <w:rPr>
          <w:color w:val="000000"/>
        </w:rPr>
      </w:pPr>
      <w:r>
        <w:rPr>
          <w:rFonts w:hint="eastAsia" w:ascii="华文仿宋" w:hAnsi="华文仿宋" w:cs="华文仿宋"/>
          <w:color w:val="000000"/>
        </w:rPr>
        <w:t>资格审查结束后，磋商小组成员应当对审查结果进行签字确认，并告知有关</w:t>
      </w:r>
      <w:r>
        <w:rPr>
          <w:rFonts w:hint="eastAsia"/>
          <w:color w:val="000000"/>
        </w:rPr>
        <w:t>供应商未通过审查的原因。</w:t>
      </w:r>
    </w:p>
    <w:p w14:paraId="266785D9">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rPr>
        <w:t>通过资格审查的供应商不足3家的，不得进行符合性审查，应予以废标。</w:t>
      </w:r>
    </w:p>
    <w:p w14:paraId="72401500">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2.电子响应文件的符合性审查</w:t>
      </w:r>
    </w:p>
    <w:p w14:paraId="2A9CB23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w:t>
      </w:r>
      <w:r>
        <w:rPr>
          <w:rFonts w:ascii="华文仿宋" w:hAnsi="华文仿宋" w:cs="华文仿宋"/>
          <w:color w:val="000000"/>
        </w:rPr>
        <w:t>小组</w:t>
      </w:r>
      <w:r>
        <w:rPr>
          <w:rFonts w:hint="eastAsia" w:ascii="华文仿宋" w:hAnsi="华文仿宋" w:cs="华文仿宋"/>
          <w:color w:val="000000"/>
        </w:rPr>
        <w:t>依据电子磋商文件的规定，对电子响应文件的有效性、完整性和对电子磋商文件的响应程度进行审查，以确定是否对电子磋商文件的全部实质性要求做出响应。</w:t>
      </w:r>
    </w:p>
    <w:p w14:paraId="121E5C3E">
      <w:pPr>
        <w:tabs>
          <w:tab w:val="center" w:pos="4153"/>
          <w:tab w:val="right" w:pos="8306"/>
        </w:tabs>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磋商小组要审查每份电子响应文件是否实质上响应了电子磋商文件的要求。实质上没有响应电子磋商文件要求的电子响应文件作</w:t>
      </w:r>
      <w:r>
        <w:rPr>
          <w:rFonts w:hint="eastAsia" w:ascii="华文仿宋" w:hAnsi="华文仿宋" w:cs="华文仿宋"/>
          <w:b/>
          <w:bCs/>
          <w:color w:val="000000"/>
        </w:rPr>
        <w:t>无效响应处理</w:t>
      </w:r>
      <w:r>
        <w:rPr>
          <w:rFonts w:hint="eastAsia" w:ascii="华文仿宋" w:hAnsi="华文仿宋" w:cs="华文仿宋"/>
          <w:color w:val="000000"/>
        </w:rPr>
        <w:t>，磋商小组应告知有关供应商未通过审查的原因。供应商不得通过修正或撤销不符之处而使其成为实质上响应。</w:t>
      </w:r>
    </w:p>
    <w:p w14:paraId="23AFE754">
      <w:pPr>
        <w:spacing w:before="190" w:beforeLines="50" w:line="500" w:lineRule="exact"/>
        <w:jc w:val="center"/>
        <w:rPr>
          <w:rFonts w:ascii="华文仿宋" w:hAnsi="华文仿宋" w:cs="华文仿宋"/>
          <w:b/>
          <w:bCs/>
          <w:color w:val="000000"/>
        </w:rPr>
      </w:pPr>
      <w:r>
        <w:rPr>
          <w:rFonts w:hint="eastAsia" w:ascii="华文仿宋" w:hAnsi="华文仿宋" w:cs="华文仿宋"/>
          <w:b/>
          <w:bCs/>
          <w:color w:val="000000"/>
        </w:rPr>
        <w:t xml:space="preserve">  符合性审查</w:t>
      </w:r>
    </w:p>
    <w:tbl>
      <w:tblPr>
        <w:tblStyle w:val="20"/>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2652"/>
        <w:gridCol w:w="3951"/>
        <w:gridCol w:w="714"/>
        <w:gridCol w:w="1042"/>
      </w:tblGrid>
      <w:tr w14:paraId="4126B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497" w:type="dxa"/>
            <w:vAlign w:val="center"/>
          </w:tcPr>
          <w:p w14:paraId="0D83F147">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序号</w:t>
            </w:r>
          </w:p>
        </w:tc>
        <w:tc>
          <w:tcPr>
            <w:tcW w:w="2652" w:type="dxa"/>
            <w:vAlign w:val="center"/>
          </w:tcPr>
          <w:p w14:paraId="7CE8B6DF">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符合性审查项</w:t>
            </w:r>
          </w:p>
        </w:tc>
        <w:tc>
          <w:tcPr>
            <w:tcW w:w="3951" w:type="dxa"/>
            <w:vAlign w:val="center"/>
          </w:tcPr>
          <w:p w14:paraId="528BB0DC">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通过条件</w:t>
            </w:r>
          </w:p>
        </w:tc>
        <w:tc>
          <w:tcPr>
            <w:tcW w:w="714" w:type="dxa"/>
            <w:vAlign w:val="center"/>
          </w:tcPr>
          <w:p w14:paraId="191A7247">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结论</w:t>
            </w:r>
          </w:p>
        </w:tc>
        <w:tc>
          <w:tcPr>
            <w:tcW w:w="1042" w:type="dxa"/>
            <w:vAlign w:val="center"/>
          </w:tcPr>
          <w:p w14:paraId="64F16D8C">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未通过原因</w:t>
            </w:r>
          </w:p>
        </w:tc>
      </w:tr>
      <w:tr w14:paraId="3FC50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97" w:type="dxa"/>
            <w:vAlign w:val="center"/>
          </w:tcPr>
          <w:p w14:paraId="2DD0424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1</w:t>
            </w:r>
          </w:p>
        </w:tc>
        <w:tc>
          <w:tcPr>
            <w:tcW w:w="2652" w:type="dxa"/>
            <w:vAlign w:val="center"/>
          </w:tcPr>
          <w:p w14:paraId="559448AF">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电子响应文件语言及有效期</w:t>
            </w:r>
          </w:p>
        </w:tc>
        <w:tc>
          <w:tcPr>
            <w:tcW w:w="3951" w:type="dxa"/>
            <w:vAlign w:val="center"/>
          </w:tcPr>
          <w:p w14:paraId="78E24A74">
            <w:pPr>
              <w:spacing w:line="320" w:lineRule="exact"/>
              <w:rPr>
                <w:rFonts w:ascii="仿宋" w:hAnsi="仿宋" w:eastAsia="仿宋" w:cs="仿宋"/>
                <w:color w:val="000000"/>
                <w:sz w:val="24"/>
                <w:szCs w:val="24"/>
              </w:rPr>
            </w:pPr>
            <w:r>
              <w:rPr>
                <w:rFonts w:hint="eastAsia" w:ascii="仿宋" w:hAnsi="仿宋" w:eastAsia="仿宋" w:cs="仿宋"/>
                <w:sz w:val="24"/>
                <w:szCs w:val="24"/>
              </w:rPr>
              <w:t>电子响应文件语言</w:t>
            </w:r>
            <w:r>
              <w:rPr>
                <w:rFonts w:hint="eastAsia" w:ascii="仿宋" w:hAnsi="仿宋" w:eastAsia="仿宋" w:cs="仿宋"/>
                <w:bCs/>
                <w:kern w:val="0"/>
                <w:sz w:val="24"/>
                <w:szCs w:val="24"/>
              </w:rPr>
              <w:t>及有效期</w:t>
            </w:r>
            <w:r>
              <w:rPr>
                <w:rFonts w:hint="eastAsia" w:ascii="仿宋" w:hAnsi="仿宋" w:eastAsia="仿宋" w:cs="仿宋"/>
                <w:sz w:val="24"/>
                <w:szCs w:val="24"/>
              </w:rPr>
              <w:t>符合电子磋商文件要求。</w:t>
            </w:r>
          </w:p>
        </w:tc>
        <w:tc>
          <w:tcPr>
            <w:tcW w:w="714" w:type="dxa"/>
            <w:vAlign w:val="center"/>
          </w:tcPr>
          <w:p w14:paraId="22DE3628">
            <w:pPr>
              <w:spacing w:line="320" w:lineRule="exact"/>
              <w:jc w:val="center"/>
              <w:rPr>
                <w:rFonts w:ascii="仿宋" w:hAnsi="仿宋" w:eastAsia="仿宋" w:cs="仿宋"/>
                <w:b/>
                <w:bCs/>
                <w:color w:val="000000"/>
                <w:kern w:val="0"/>
                <w:sz w:val="24"/>
                <w:szCs w:val="24"/>
              </w:rPr>
            </w:pPr>
          </w:p>
        </w:tc>
        <w:tc>
          <w:tcPr>
            <w:tcW w:w="1042" w:type="dxa"/>
            <w:vAlign w:val="center"/>
          </w:tcPr>
          <w:p w14:paraId="589D1891">
            <w:pPr>
              <w:spacing w:line="320" w:lineRule="exact"/>
              <w:jc w:val="center"/>
              <w:rPr>
                <w:rFonts w:ascii="仿宋" w:hAnsi="仿宋" w:eastAsia="仿宋" w:cs="仿宋"/>
                <w:b/>
                <w:bCs/>
                <w:color w:val="000000"/>
                <w:kern w:val="0"/>
                <w:sz w:val="24"/>
                <w:szCs w:val="24"/>
              </w:rPr>
            </w:pPr>
          </w:p>
        </w:tc>
      </w:tr>
      <w:tr w14:paraId="3FFD5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497" w:type="dxa"/>
            <w:vAlign w:val="center"/>
          </w:tcPr>
          <w:p w14:paraId="06F22F46">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2</w:t>
            </w:r>
          </w:p>
        </w:tc>
        <w:tc>
          <w:tcPr>
            <w:tcW w:w="2652" w:type="dxa"/>
            <w:vAlign w:val="center"/>
          </w:tcPr>
          <w:p w14:paraId="5A21851F">
            <w:pPr>
              <w:spacing w:line="320" w:lineRule="exact"/>
              <w:jc w:val="center"/>
              <w:rPr>
                <w:rFonts w:ascii="仿宋" w:hAnsi="仿宋" w:eastAsia="仿宋" w:cs="仿宋"/>
                <w:bCs/>
                <w:kern w:val="0"/>
                <w:sz w:val="24"/>
                <w:szCs w:val="24"/>
              </w:rPr>
            </w:pPr>
            <w:r>
              <w:rPr>
                <w:rFonts w:hint="eastAsia" w:ascii="仿宋" w:hAnsi="仿宋" w:eastAsia="仿宋" w:cs="仿宋"/>
                <w:bCs/>
                <w:kern w:val="0"/>
                <w:sz w:val="24"/>
                <w:szCs w:val="24"/>
              </w:rPr>
              <w:t>电子响应文件封面、响应函、法定代表人授权委托书三处的项目名称、项目编号、标段（如有）</w:t>
            </w:r>
          </w:p>
        </w:tc>
        <w:tc>
          <w:tcPr>
            <w:tcW w:w="3951" w:type="dxa"/>
            <w:vAlign w:val="center"/>
          </w:tcPr>
          <w:p w14:paraId="29A489F3">
            <w:pPr>
              <w:spacing w:line="320" w:lineRule="exact"/>
              <w:rPr>
                <w:rFonts w:ascii="仿宋" w:hAnsi="仿宋" w:eastAsia="仿宋" w:cs="仿宋"/>
                <w:bCs/>
                <w:kern w:val="0"/>
                <w:sz w:val="24"/>
                <w:szCs w:val="24"/>
              </w:rPr>
            </w:pPr>
            <w:r>
              <w:rPr>
                <w:rFonts w:hint="eastAsia" w:ascii="仿宋" w:hAnsi="仿宋" w:eastAsia="仿宋" w:cs="仿宋"/>
                <w:bCs/>
                <w:kern w:val="0"/>
                <w:sz w:val="24"/>
                <w:szCs w:val="24"/>
              </w:rPr>
              <w:t>三处均无遗漏，且与所投项目名称、项目编号、标段（如有）一致。</w:t>
            </w:r>
          </w:p>
        </w:tc>
        <w:tc>
          <w:tcPr>
            <w:tcW w:w="714" w:type="dxa"/>
            <w:vAlign w:val="center"/>
          </w:tcPr>
          <w:p w14:paraId="5FDDC15B">
            <w:pPr>
              <w:spacing w:line="320" w:lineRule="exact"/>
              <w:jc w:val="center"/>
              <w:rPr>
                <w:rFonts w:ascii="仿宋" w:hAnsi="仿宋" w:eastAsia="仿宋" w:cs="仿宋"/>
                <w:b/>
                <w:bCs/>
                <w:color w:val="000000"/>
                <w:kern w:val="0"/>
                <w:sz w:val="24"/>
                <w:szCs w:val="24"/>
              </w:rPr>
            </w:pPr>
          </w:p>
        </w:tc>
        <w:tc>
          <w:tcPr>
            <w:tcW w:w="1042" w:type="dxa"/>
            <w:vAlign w:val="center"/>
          </w:tcPr>
          <w:p w14:paraId="6152872E">
            <w:pPr>
              <w:spacing w:line="320" w:lineRule="exact"/>
              <w:jc w:val="center"/>
              <w:rPr>
                <w:rFonts w:ascii="仿宋" w:hAnsi="仿宋" w:eastAsia="仿宋" w:cs="仿宋"/>
                <w:b/>
                <w:bCs/>
                <w:color w:val="000000"/>
                <w:kern w:val="0"/>
                <w:sz w:val="24"/>
                <w:szCs w:val="24"/>
              </w:rPr>
            </w:pPr>
          </w:p>
        </w:tc>
      </w:tr>
      <w:tr w14:paraId="1B73D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73205C5">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3</w:t>
            </w:r>
          </w:p>
        </w:tc>
        <w:tc>
          <w:tcPr>
            <w:tcW w:w="2652" w:type="dxa"/>
            <w:vAlign w:val="center"/>
          </w:tcPr>
          <w:p w14:paraId="1E463CC4">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电子响应文件签署、盖章</w:t>
            </w:r>
          </w:p>
        </w:tc>
        <w:tc>
          <w:tcPr>
            <w:tcW w:w="3951" w:type="dxa"/>
            <w:vAlign w:val="center"/>
          </w:tcPr>
          <w:p w14:paraId="39341706">
            <w:pPr>
              <w:spacing w:line="320" w:lineRule="exact"/>
              <w:rPr>
                <w:rFonts w:ascii="仿宋" w:hAnsi="仿宋" w:eastAsia="仿宋" w:cs="仿宋"/>
                <w:bCs/>
                <w:color w:val="000000"/>
                <w:kern w:val="0"/>
                <w:sz w:val="24"/>
                <w:szCs w:val="24"/>
              </w:rPr>
            </w:pPr>
            <w:r>
              <w:rPr>
                <w:rFonts w:hint="eastAsia" w:ascii="仿宋" w:hAnsi="仿宋" w:eastAsia="仿宋" w:cs="仿宋"/>
                <w:sz w:val="24"/>
                <w:szCs w:val="24"/>
              </w:rPr>
              <w:t>均按电子磋商文件要求签字、盖章（评分标准中要求提供的证明材料除外）。</w:t>
            </w:r>
          </w:p>
        </w:tc>
        <w:tc>
          <w:tcPr>
            <w:tcW w:w="714" w:type="dxa"/>
            <w:vAlign w:val="center"/>
          </w:tcPr>
          <w:p w14:paraId="54FE8159">
            <w:pPr>
              <w:spacing w:line="320" w:lineRule="exact"/>
              <w:jc w:val="center"/>
              <w:rPr>
                <w:rFonts w:ascii="仿宋" w:hAnsi="仿宋" w:eastAsia="仿宋" w:cs="仿宋"/>
                <w:b/>
                <w:bCs/>
                <w:color w:val="000000"/>
                <w:kern w:val="0"/>
                <w:sz w:val="24"/>
                <w:szCs w:val="24"/>
              </w:rPr>
            </w:pPr>
          </w:p>
        </w:tc>
        <w:tc>
          <w:tcPr>
            <w:tcW w:w="1042" w:type="dxa"/>
            <w:vAlign w:val="center"/>
          </w:tcPr>
          <w:p w14:paraId="34E9F828">
            <w:pPr>
              <w:spacing w:line="320" w:lineRule="exact"/>
              <w:jc w:val="center"/>
              <w:rPr>
                <w:rFonts w:ascii="仿宋" w:hAnsi="仿宋" w:eastAsia="仿宋" w:cs="仿宋"/>
                <w:b/>
                <w:bCs/>
                <w:color w:val="000000"/>
                <w:kern w:val="0"/>
                <w:sz w:val="24"/>
                <w:szCs w:val="24"/>
              </w:rPr>
            </w:pPr>
          </w:p>
        </w:tc>
      </w:tr>
      <w:tr w14:paraId="77B85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19B35D96">
            <w:pPr>
              <w:spacing w:line="320" w:lineRule="exact"/>
              <w:jc w:val="center"/>
              <w:rPr>
                <w:rFonts w:ascii="仿宋" w:hAnsi="仿宋" w:eastAsia="仿宋" w:cs="仿宋"/>
                <w:bCs/>
                <w:kern w:val="0"/>
                <w:sz w:val="24"/>
                <w:szCs w:val="24"/>
              </w:rPr>
            </w:pPr>
            <w:r>
              <w:rPr>
                <w:rFonts w:hint="eastAsia" w:ascii="仿宋" w:hAnsi="仿宋" w:eastAsia="仿宋" w:cs="仿宋"/>
                <w:bCs/>
                <w:kern w:val="0"/>
                <w:sz w:val="24"/>
                <w:szCs w:val="24"/>
              </w:rPr>
              <w:t>4</w:t>
            </w:r>
          </w:p>
        </w:tc>
        <w:tc>
          <w:tcPr>
            <w:tcW w:w="2652" w:type="dxa"/>
            <w:vAlign w:val="center"/>
          </w:tcPr>
          <w:p w14:paraId="4788CDAE">
            <w:pPr>
              <w:spacing w:line="320" w:lineRule="exact"/>
              <w:jc w:val="center"/>
              <w:rPr>
                <w:rFonts w:ascii="仿宋" w:hAnsi="仿宋" w:eastAsia="仿宋" w:cs="仿宋"/>
                <w:bCs/>
                <w:kern w:val="0"/>
                <w:sz w:val="24"/>
                <w:szCs w:val="24"/>
              </w:rPr>
            </w:pPr>
            <w:r>
              <w:rPr>
                <w:rFonts w:hint="eastAsia" w:ascii="仿宋" w:hAnsi="仿宋" w:eastAsia="仿宋" w:cs="仿宋"/>
                <w:kern w:val="0"/>
                <w:sz w:val="24"/>
                <w:szCs w:val="24"/>
              </w:rPr>
              <w:t>落实的政府采购政策</w:t>
            </w:r>
          </w:p>
        </w:tc>
        <w:tc>
          <w:tcPr>
            <w:tcW w:w="3951" w:type="dxa"/>
            <w:vAlign w:val="center"/>
          </w:tcPr>
          <w:p w14:paraId="78BC0F3E">
            <w:pPr>
              <w:spacing w:line="320" w:lineRule="exact"/>
              <w:rPr>
                <w:rFonts w:ascii="仿宋" w:hAnsi="仿宋" w:eastAsia="仿宋" w:cs="仿宋"/>
                <w:sz w:val="24"/>
                <w:szCs w:val="24"/>
              </w:rPr>
            </w:pPr>
            <w:r>
              <w:rPr>
                <w:rFonts w:hint="eastAsia" w:ascii="仿宋" w:hAnsi="仿宋" w:eastAsia="仿宋" w:cs="仿宋"/>
                <w:kern w:val="28"/>
                <w:sz w:val="24"/>
                <w:szCs w:val="24"/>
              </w:rPr>
              <w:t>本项目为专门面向</w:t>
            </w:r>
            <w:r>
              <w:rPr>
                <w:rFonts w:hint="eastAsia" w:ascii="仿宋" w:hAnsi="仿宋" w:eastAsia="仿宋" w:cs="仿宋"/>
                <w:kern w:val="28"/>
                <w:sz w:val="24"/>
                <w:szCs w:val="24"/>
                <w:lang w:val="en-US" w:eastAsia="zh-CN"/>
              </w:rPr>
              <w:t>小微</w:t>
            </w:r>
            <w:r>
              <w:rPr>
                <w:rFonts w:hint="eastAsia" w:ascii="仿宋" w:hAnsi="仿宋" w:eastAsia="仿宋" w:cs="仿宋"/>
                <w:kern w:val="28"/>
                <w:sz w:val="24"/>
                <w:szCs w:val="24"/>
              </w:rPr>
              <w:t>企业项目，供应商应为小型、微型企业或监狱企业或残疾人福利性单位。供应商为小型、微型企业的，提供《中小企业声明函》，且中小企业的划分标准所属行业为</w:t>
            </w:r>
            <w:r>
              <w:rPr>
                <w:rFonts w:hint="eastAsia" w:ascii="仿宋" w:hAnsi="仿宋" w:eastAsia="仿宋" w:cs="仿宋"/>
                <w:kern w:val="28"/>
                <w:sz w:val="24"/>
                <w:szCs w:val="24"/>
                <w:lang w:eastAsia="zh-CN"/>
              </w:rPr>
              <w:t>商务服务业</w:t>
            </w:r>
            <w:r>
              <w:rPr>
                <w:rFonts w:hint="eastAsia" w:ascii="仿宋" w:hAnsi="仿宋" w:eastAsia="仿宋" w:cs="仿宋"/>
                <w:kern w:val="28"/>
                <w:sz w:val="24"/>
                <w:szCs w:val="24"/>
              </w:rPr>
              <w:t>；供应商为监狱企业的，应提供监狱企业的证明文件；供应商为残疾人福利性单位的，应提供《残疾人福利性单位声明函》。</w:t>
            </w:r>
          </w:p>
        </w:tc>
        <w:tc>
          <w:tcPr>
            <w:tcW w:w="714" w:type="dxa"/>
            <w:vAlign w:val="center"/>
          </w:tcPr>
          <w:p w14:paraId="139E1F1F">
            <w:pPr>
              <w:spacing w:line="320" w:lineRule="exact"/>
              <w:jc w:val="center"/>
              <w:rPr>
                <w:rFonts w:ascii="仿宋" w:hAnsi="仿宋" w:eastAsia="仿宋" w:cs="仿宋"/>
                <w:b/>
                <w:bCs/>
                <w:color w:val="000000"/>
                <w:kern w:val="0"/>
                <w:sz w:val="24"/>
                <w:szCs w:val="24"/>
              </w:rPr>
            </w:pPr>
          </w:p>
        </w:tc>
        <w:tc>
          <w:tcPr>
            <w:tcW w:w="1042" w:type="dxa"/>
            <w:vAlign w:val="center"/>
          </w:tcPr>
          <w:p w14:paraId="46B35C1C">
            <w:pPr>
              <w:spacing w:line="320" w:lineRule="exact"/>
              <w:jc w:val="center"/>
              <w:rPr>
                <w:rFonts w:ascii="仿宋" w:hAnsi="仿宋" w:eastAsia="仿宋" w:cs="仿宋"/>
                <w:b/>
                <w:bCs/>
                <w:color w:val="000000"/>
                <w:kern w:val="0"/>
                <w:sz w:val="24"/>
                <w:szCs w:val="24"/>
              </w:rPr>
            </w:pPr>
          </w:p>
        </w:tc>
      </w:tr>
      <w:tr w14:paraId="482AA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51525DBB">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5</w:t>
            </w:r>
          </w:p>
        </w:tc>
        <w:tc>
          <w:tcPr>
            <w:tcW w:w="2652" w:type="dxa"/>
            <w:vAlign w:val="center"/>
          </w:tcPr>
          <w:p w14:paraId="5BD7C729">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第一次磋商报价表</w:t>
            </w:r>
          </w:p>
        </w:tc>
        <w:tc>
          <w:tcPr>
            <w:tcW w:w="3951" w:type="dxa"/>
          </w:tcPr>
          <w:p w14:paraId="34B2952B">
            <w:pPr>
              <w:spacing w:line="320" w:lineRule="exact"/>
              <w:rPr>
                <w:rFonts w:ascii="仿宋" w:hAnsi="仿宋" w:eastAsia="仿宋" w:cs="仿宋"/>
                <w:sz w:val="24"/>
                <w:szCs w:val="24"/>
              </w:rPr>
            </w:pPr>
            <w:r>
              <w:rPr>
                <w:rFonts w:hint="eastAsia" w:ascii="仿宋" w:hAnsi="仿宋" w:eastAsia="仿宋" w:cs="仿宋"/>
                <w:sz w:val="24"/>
                <w:szCs w:val="24"/>
              </w:rPr>
              <w:t>（1）第一次磋商报价表填写符合要求；</w:t>
            </w:r>
          </w:p>
          <w:p w14:paraId="76C1CC0B">
            <w:pPr>
              <w:spacing w:line="320" w:lineRule="exact"/>
              <w:rPr>
                <w:rFonts w:ascii="仿宋" w:hAnsi="仿宋" w:eastAsia="仿宋" w:cs="仿宋"/>
                <w:sz w:val="24"/>
                <w:szCs w:val="24"/>
              </w:rPr>
            </w:pPr>
            <w:r>
              <w:rPr>
                <w:rFonts w:hint="eastAsia" w:ascii="仿宋" w:hAnsi="仿宋" w:eastAsia="仿宋" w:cs="仿宋"/>
                <w:sz w:val="24"/>
                <w:szCs w:val="24"/>
              </w:rPr>
              <w:t>（2）计量单位、报价货币均符合电子磋商文件要求；</w:t>
            </w:r>
          </w:p>
          <w:p w14:paraId="1F0FC1E4">
            <w:pPr>
              <w:spacing w:line="320" w:lineRule="exact"/>
              <w:rPr>
                <w:rFonts w:ascii="仿宋" w:hAnsi="仿宋" w:eastAsia="仿宋" w:cs="仿宋"/>
                <w:color w:val="000000"/>
                <w:sz w:val="24"/>
                <w:szCs w:val="24"/>
              </w:rPr>
            </w:pPr>
            <w:r>
              <w:rPr>
                <w:rFonts w:hint="eastAsia" w:ascii="仿宋" w:hAnsi="仿宋" w:eastAsia="仿宋" w:cs="仿宋"/>
                <w:sz w:val="24"/>
                <w:szCs w:val="24"/>
              </w:rPr>
              <w:t>（3）第一次磋商报价未超出采购预算或电子磋商文件规定的最高限价。</w:t>
            </w:r>
          </w:p>
        </w:tc>
        <w:tc>
          <w:tcPr>
            <w:tcW w:w="714" w:type="dxa"/>
            <w:vAlign w:val="center"/>
          </w:tcPr>
          <w:p w14:paraId="33583D4E">
            <w:pPr>
              <w:spacing w:line="320" w:lineRule="exact"/>
              <w:jc w:val="center"/>
              <w:rPr>
                <w:rFonts w:ascii="仿宋" w:hAnsi="仿宋" w:eastAsia="仿宋" w:cs="仿宋"/>
                <w:b/>
                <w:bCs/>
                <w:color w:val="000000"/>
                <w:kern w:val="0"/>
                <w:sz w:val="24"/>
                <w:szCs w:val="24"/>
              </w:rPr>
            </w:pPr>
          </w:p>
        </w:tc>
        <w:tc>
          <w:tcPr>
            <w:tcW w:w="1042" w:type="dxa"/>
            <w:vAlign w:val="center"/>
          </w:tcPr>
          <w:p w14:paraId="24979416">
            <w:pPr>
              <w:spacing w:line="320" w:lineRule="exact"/>
              <w:jc w:val="center"/>
              <w:rPr>
                <w:rFonts w:ascii="仿宋" w:hAnsi="仿宋" w:eastAsia="仿宋" w:cs="仿宋"/>
                <w:b/>
                <w:bCs/>
                <w:color w:val="000000"/>
                <w:kern w:val="0"/>
                <w:sz w:val="24"/>
                <w:szCs w:val="24"/>
              </w:rPr>
            </w:pPr>
          </w:p>
        </w:tc>
      </w:tr>
      <w:tr w14:paraId="125F5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4065FA70">
            <w:pPr>
              <w:spacing w:line="320" w:lineRule="exact"/>
              <w:jc w:val="center"/>
              <w:rPr>
                <w:rFonts w:ascii="仿宋" w:hAnsi="仿宋" w:eastAsia="仿宋" w:cs="仿宋"/>
                <w:bCs/>
                <w:color w:val="0000FF"/>
                <w:kern w:val="0"/>
                <w:sz w:val="24"/>
                <w:szCs w:val="24"/>
              </w:rPr>
            </w:pPr>
            <w:r>
              <w:rPr>
                <w:rFonts w:hint="eastAsia" w:ascii="仿宋" w:hAnsi="仿宋" w:eastAsia="仿宋" w:cs="仿宋"/>
                <w:kern w:val="0"/>
                <w:sz w:val="24"/>
                <w:szCs w:val="24"/>
              </w:rPr>
              <w:t>6</w:t>
            </w:r>
          </w:p>
        </w:tc>
        <w:tc>
          <w:tcPr>
            <w:tcW w:w="2652" w:type="dxa"/>
            <w:vAlign w:val="center"/>
          </w:tcPr>
          <w:p w14:paraId="52CE21A0">
            <w:pPr>
              <w:spacing w:line="320" w:lineRule="exact"/>
              <w:jc w:val="center"/>
              <w:rPr>
                <w:rFonts w:ascii="仿宋" w:hAnsi="仿宋" w:eastAsia="仿宋" w:cs="仿宋"/>
                <w:color w:val="0000FF"/>
                <w:sz w:val="24"/>
                <w:szCs w:val="24"/>
              </w:rPr>
            </w:pPr>
            <w:r>
              <w:rPr>
                <w:rFonts w:hint="eastAsia" w:ascii="仿宋" w:hAnsi="仿宋" w:eastAsia="仿宋" w:cs="仿宋"/>
                <w:kern w:val="0"/>
                <w:sz w:val="24"/>
                <w:szCs w:val="24"/>
              </w:rPr>
              <w:t>供应商承诺书</w:t>
            </w:r>
          </w:p>
        </w:tc>
        <w:tc>
          <w:tcPr>
            <w:tcW w:w="3951" w:type="dxa"/>
            <w:vAlign w:val="center"/>
          </w:tcPr>
          <w:p w14:paraId="0559D0D4">
            <w:pPr>
              <w:spacing w:line="320" w:lineRule="exact"/>
              <w:rPr>
                <w:rFonts w:ascii="仿宋" w:hAnsi="仿宋" w:eastAsia="仿宋" w:cs="仿宋"/>
                <w:color w:val="0000FF"/>
                <w:sz w:val="24"/>
                <w:szCs w:val="24"/>
              </w:rPr>
            </w:pPr>
            <w:r>
              <w:rPr>
                <w:rFonts w:hint="eastAsia" w:ascii="仿宋" w:hAnsi="仿宋" w:eastAsia="仿宋" w:cs="仿宋"/>
                <w:sz w:val="24"/>
                <w:szCs w:val="24"/>
              </w:rPr>
              <w:t>完全理解并接受《质量安全责任承诺书》、《拒绝政府采购领域商业贿赂承诺书》。</w:t>
            </w:r>
          </w:p>
        </w:tc>
        <w:tc>
          <w:tcPr>
            <w:tcW w:w="714" w:type="dxa"/>
            <w:vAlign w:val="center"/>
          </w:tcPr>
          <w:p w14:paraId="6BAE871C">
            <w:pPr>
              <w:spacing w:line="320" w:lineRule="exact"/>
              <w:jc w:val="center"/>
              <w:rPr>
                <w:rFonts w:ascii="仿宋" w:hAnsi="仿宋" w:eastAsia="仿宋" w:cs="仿宋"/>
                <w:b/>
                <w:bCs/>
                <w:color w:val="000000"/>
                <w:kern w:val="0"/>
                <w:sz w:val="24"/>
                <w:szCs w:val="24"/>
              </w:rPr>
            </w:pPr>
          </w:p>
        </w:tc>
        <w:tc>
          <w:tcPr>
            <w:tcW w:w="1042" w:type="dxa"/>
            <w:vAlign w:val="center"/>
          </w:tcPr>
          <w:p w14:paraId="1D49FAF4">
            <w:pPr>
              <w:spacing w:line="320" w:lineRule="exact"/>
              <w:jc w:val="center"/>
              <w:rPr>
                <w:rFonts w:ascii="仿宋" w:hAnsi="仿宋" w:eastAsia="仿宋" w:cs="仿宋"/>
                <w:b/>
                <w:bCs/>
                <w:color w:val="000000"/>
                <w:kern w:val="0"/>
                <w:sz w:val="24"/>
                <w:szCs w:val="24"/>
              </w:rPr>
            </w:pPr>
          </w:p>
        </w:tc>
      </w:tr>
      <w:tr w14:paraId="4B185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199D4157">
            <w:pPr>
              <w:spacing w:line="320" w:lineRule="exact"/>
              <w:jc w:val="center"/>
              <w:rPr>
                <w:rFonts w:ascii="仿宋" w:hAnsi="仿宋" w:eastAsia="仿宋" w:cs="仿宋"/>
                <w:bCs/>
                <w:color w:val="000000"/>
                <w:kern w:val="0"/>
                <w:sz w:val="24"/>
                <w:szCs w:val="24"/>
              </w:rPr>
            </w:pPr>
            <w:r>
              <w:rPr>
                <w:rFonts w:hint="eastAsia" w:ascii="仿宋" w:hAnsi="仿宋" w:eastAsia="仿宋" w:cs="仿宋"/>
                <w:kern w:val="0"/>
                <w:sz w:val="24"/>
                <w:szCs w:val="24"/>
              </w:rPr>
              <w:t>7</w:t>
            </w:r>
          </w:p>
        </w:tc>
        <w:tc>
          <w:tcPr>
            <w:tcW w:w="2652" w:type="dxa"/>
            <w:vAlign w:val="center"/>
          </w:tcPr>
          <w:p w14:paraId="67B9D6CB">
            <w:pPr>
              <w:spacing w:line="360" w:lineRule="exact"/>
              <w:jc w:val="center"/>
              <w:rPr>
                <w:rFonts w:ascii="仿宋" w:hAnsi="仿宋" w:eastAsia="仿宋" w:cs="仿宋"/>
                <w:bCs/>
                <w:color w:val="000000"/>
                <w:kern w:val="0"/>
                <w:sz w:val="24"/>
                <w:szCs w:val="24"/>
                <w:highlight w:val="yellow"/>
              </w:rPr>
            </w:pPr>
            <w:r>
              <w:rPr>
                <w:rFonts w:hint="eastAsia" w:ascii="仿宋" w:hAnsi="仿宋" w:eastAsia="仿宋" w:cs="仿宋"/>
                <w:sz w:val="24"/>
                <w:szCs w:val="24"/>
              </w:rPr>
              <w:t>技术服务要求</w:t>
            </w:r>
          </w:p>
        </w:tc>
        <w:tc>
          <w:tcPr>
            <w:tcW w:w="3951" w:type="dxa"/>
            <w:vAlign w:val="center"/>
          </w:tcPr>
          <w:p w14:paraId="6B2D860E">
            <w:pPr>
              <w:spacing w:line="370" w:lineRule="exact"/>
              <w:rPr>
                <w:rFonts w:ascii="仿宋" w:hAnsi="仿宋" w:eastAsia="仿宋" w:cs="仿宋"/>
                <w:color w:val="000000"/>
                <w:sz w:val="24"/>
                <w:szCs w:val="24"/>
                <w:highlight w:val="yellow"/>
              </w:rPr>
            </w:pPr>
            <w:r>
              <w:rPr>
                <w:rFonts w:hint="eastAsia" w:ascii="仿宋" w:hAnsi="仿宋" w:eastAsia="仿宋" w:cs="仿宋"/>
                <w:sz w:val="24"/>
                <w:szCs w:val="24"/>
              </w:rPr>
              <w:t>完全理解并接受对合格供应商、合格的货物、工程或服务要求，根据供应商电子响应文件《技术服务偏差表》，结合电子磋商文件实质性要求没有负偏离。</w:t>
            </w:r>
          </w:p>
        </w:tc>
        <w:tc>
          <w:tcPr>
            <w:tcW w:w="714" w:type="dxa"/>
            <w:vAlign w:val="center"/>
          </w:tcPr>
          <w:p w14:paraId="12241C7A">
            <w:pPr>
              <w:spacing w:line="320" w:lineRule="exact"/>
              <w:jc w:val="center"/>
              <w:rPr>
                <w:rFonts w:ascii="仿宋" w:hAnsi="仿宋" w:eastAsia="仿宋" w:cs="仿宋"/>
                <w:b/>
                <w:bCs/>
                <w:color w:val="000000"/>
                <w:kern w:val="0"/>
                <w:sz w:val="24"/>
                <w:szCs w:val="24"/>
              </w:rPr>
            </w:pPr>
          </w:p>
        </w:tc>
        <w:tc>
          <w:tcPr>
            <w:tcW w:w="1042" w:type="dxa"/>
            <w:vAlign w:val="center"/>
          </w:tcPr>
          <w:p w14:paraId="6060BB3F">
            <w:pPr>
              <w:spacing w:line="320" w:lineRule="exact"/>
              <w:jc w:val="center"/>
              <w:rPr>
                <w:rFonts w:ascii="仿宋" w:hAnsi="仿宋" w:eastAsia="仿宋" w:cs="仿宋"/>
                <w:b/>
                <w:bCs/>
                <w:color w:val="000000"/>
                <w:kern w:val="0"/>
                <w:sz w:val="24"/>
                <w:szCs w:val="24"/>
              </w:rPr>
            </w:pPr>
          </w:p>
        </w:tc>
      </w:tr>
      <w:tr w14:paraId="18E38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01057C41">
            <w:pPr>
              <w:spacing w:line="320" w:lineRule="exact"/>
              <w:jc w:val="center"/>
              <w:rPr>
                <w:rFonts w:ascii="仿宋" w:hAnsi="仿宋" w:eastAsia="仿宋" w:cs="仿宋"/>
                <w:b/>
                <w:bCs/>
                <w:color w:val="000000"/>
                <w:kern w:val="0"/>
                <w:sz w:val="24"/>
                <w:szCs w:val="24"/>
              </w:rPr>
            </w:pPr>
            <w:r>
              <w:rPr>
                <w:rFonts w:hint="eastAsia" w:ascii="仿宋" w:hAnsi="仿宋" w:eastAsia="仿宋" w:cs="仿宋"/>
                <w:kern w:val="0"/>
                <w:sz w:val="24"/>
                <w:szCs w:val="24"/>
              </w:rPr>
              <w:t>8</w:t>
            </w:r>
          </w:p>
        </w:tc>
        <w:tc>
          <w:tcPr>
            <w:tcW w:w="2652" w:type="dxa"/>
            <w:vAlign w:val="center"/>
          </w:tcPr>
          <w:p w14:paraId="68AB0C65">
            <w:pPr>
              <w:spacing w:line="360" w:lineRule="exact"/>
              <w:jc w:val="center"/>
              <w:rPr>
                <w:rFonts w:ascii="仿宋" w:hAnsi="仿宋" w:eastAsia="仿宋" w:cs="仿宋"/>
                <w:sz w:val="24"/>
                <w:szCs w:val="24"/>
              </w:rPr>
            </w:pPr>
            <w:r>
              <w:rPr>
                <w:rFonts w:hint="eastAsia" w:ascii="仿宋" w:hAnsi="仿宋" w:eastAsia="仿宋" w:cs="仿宋"/>
                <w:kern w:val="0"/>
                <w:sz w:val="24"/>
                <w:szCs w:val="24"/>
              </w:rPr>
              <w:t>合同草案条款响应</w:t>
            </w:r>
          </w:p>
        </w:tc>
        <w:tc>
          <w:tcPr>
            <w:tcW w:w="3951" w:type="dxa"/>
            <w:vAlign w:val="center"/>
          </w:tcPr>
          <w:p w14:paraId="6C78E5E8">
            <w:pPr>
              <w:spacing w:line="370" w:lineRule="exact"/>
              <w:rPr>
                <w:rFonts w:ascii="仿宋" w:hAnsi="仿宋" w:eastAsia="仿宋" w:cs="仿宋"/>
                <w:sz w:val="24"/>
                <w:szCs w:val="24"/>
              </w:rPr>
            </w:pPr>
            <w:r>
              <w:rPr>
                <w:rFonts w:hint="eastAsia" w:ascii="仿宋" w:hAnsi="仿宋" w:eastAsia="仿宋" w:cs="仿宋"/>
                <w:sz w:val="24"/>
                <w:szCs w:val="24"/>
              </w:rPr>
              <w:t>有完全理解并接受电子磋商文件合同</w:t>
            </w:r>
            <w:r>
              <w:rPr>
                <w:rFonts w:hint="eastAsia" w:ascii="仿宋" w:hAnsi="仿宋" w:eastAsia="仿宋" w:cs="仿宋"/>
                <w:kern w:val="0"/>
                <w:sz w:val="24"/>
                <w:szCs w:val="24"/>
              </w:rPr>
              <w:t>草案</w:t>
            </w:r>
            <w:r>
              <w:rPr>
                <w:rFonts w:hint="eastAsia" w:ascii="仿宋" w:hAnsi="仿宋" w:eastAsia="仿宋" w:cs="仿宋"/>
                <w:sz w:val="24"/>
                <w:szCs w:val="24"/>
              </w:rPr>
              <w:t>条款要求的描述。</w:t>
            </w:r>
          </w:p>
        </w:tc>
        <w:tc>
          <w:tcPr>
            <w:tcW w:w="714" w:type="dxa"/>
            <w:vAlign w:val="center"/>
          </w:tcPr>
          <w:p w14:paraId="5EACB69A">
            <w:pPr>
              <w:spacing w:line="320" w:lineRule="exact"/>
              <w:jc w:val="center"/>
            </w:pPr>
          </w:p>
        </w:tc>
        <w:tc>
          <w:tcPr>
            <w:tcW w:w="1042" w:type="dxa"/>
            <w:vAlign w:val="center"/>
          </w:tcPr>
          <w:p w14:paraId="0B504564">
            <w:pPr>
              <w:spacing w:line="320" w:lineRule="exact"/>
              <w:jc w:val="center"/>
            </w:pPr>
          </w:p>
        </w:tc>
      </w:tr>
      <w:tr w14:paraId="5EA4A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4360F3A4">
            <w:pPr>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9</w:t>
            </w:r>
          </w:p>
        </w:tc>
        <w:tc>
          <w:tcPr>
            <w:tcW w:w="2652" w:type="dxa"/>
            <w:vAlign w:val="center"/>
          </w:tcPr>
          <w:p w14:paraId="1D09E091">
            <w:pPr>
              <w:spacing w:line="360" w:lineRule="exact"/>
              <w:jc w:val="center"/>
            </w:pPr>
            <w:r>
              <w:rPr>
                <w:rFonts w:hint="eastAsia" w:ascii="仿宋" w:hAnsi="仿宋" w:eastAsia="仿宋" w:cs="仿宋"/>
                <w:sz w:val="24"/>
                <w:szCs w:val="24"/>
              </w:rPr>
              <w:t>无其他电子磋商文件或法规明确规定响应无效的事项</w:t>
            </w:r>
          </w:p>
        </w:tc>
        <w:tc>
          <w:tcPr>
            <w:tcW w:w="3951" w:type="dxa"/>
            <w:vAlign w:val="center"/>
          </w:tcPr>
          <w:p w14:paraId="41C7AC3E">
            <w:pPr>
              <w:spacing w:line="370" w:lineRule="exact"/>
            </w:pPr>
            <w:r>
              <w:rPr>
                <w:rFonts w:hint="eastAsia" w:ascii="仿宋" w:hAnsi="仿宋" w:eastAsia="仿宋" w:cs="仿宋"/>
                <w:sz w:val="24"/>
                <w:szCs w:val="24"/>
              </w:rPr>
              <w:t>没有不符合电子磋商文件规定的被视为无效响应的其他条款。</w:t>
            </w:r>
          </w:p>
        </w:tc>
        <w:tc>
          <w:tcPr>
            <w:tcW w:w="714" w:type="dxa"/>
            <w:vAlign w:val="center"/>
          </w:tcPr>
          <w:p w14:paraId="52F85E20">
            <w:pPr>
              <w:spacing w:line="320" w:lineRule="exact"/>
              <w:jc w:val="center"/>
            </w:pPr>
          </w:p>
        </w:tc>
        <w:tc>
          <w:tcPr>
            <w:tcW w:w="1042" w:type="dxa"/>
            <w:vAlign w:val="center"/>
          </w:tcPr>
          <w:p w14:paraId="3639773D">
            <w:pPr>
              <w:spacing w:line="320" w:lineRule="exact"/>
              <w:jc w:val="center"/>
            </w:pPr>
          </w:p>
        </w:tc>
      </w:tr>
      <w:tr w14:paraId="7B673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8856" w:type="dxa"/>
            <w:gridSpan w:val="5"/>
            <w:vAlign w:val="center"/>
          </w:tcPr>
          <w:p w14:paraId="62CDF091">
            <w:pPr>
              <w:spacing w:line="320" w:lineRule="exact"/>
            </w:pPr>
            <w:r>
              <w:rPr>
                <w:rFonts w:hint="eastAsia" w:ascii="仿宋" w:hAnsi="仿宋" w:eastAsia="仿宋" w:cs="仿宋"/>
                <w:b/>
                <w:bCs/>
                <w:kern w:val="0"/>
                <w:sz w:val="24"/>
                <w:szCs w:val="24"/>
              </w:rPr>
              <w:t>磋商小组成员：（签字或盖章）</w:t>
            </w:r>
          </w:p>
        </w:tc>
      </w:tr>
    </w:tbl>
    <w:p w14:paraId="72D18A2C">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3.电子响应文件的澄清</w:t>
      </w:r>
    </w:p>
    <w:p w14:paraId="63298EC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磋商小组在对电子响应文件的有效性、完整性和响应程度进行审查时，可以要求供应商对电子响应文件中含义不明确、同类问题表述不一致或者有明显文字和计算错误的内容等做出必要的澄清、说明或者更正。</w:t>
      </w:r>
    </w:p>
    <w:p w14:paraId="5525550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（2）依照《中华人民共和国民法典》中的过失责任原则，澄清、说明或更正前磋商小组将按最不利于参与本次磋商供应商的原则对电子响应文件做出评判。</w:t>
      </w:r>
    </w:p>
    <w:p w14:paraId="64765D0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（3）磋商小组要求供应商澄清、说明或者更正电子响应文件应当以书面形式做出。供应商应当在规定的澄清时限内</w:t>
      </w:r>
      <w:r>
        <w:rPr>
          <w:rFonts w:hint="eastAsia"/>
          <w:color w:val="000000"/>
        </w:rPr>
        <w:t>通过公共资源交易平台（以下简称“平台”）或电子邮件（在平台无法支持的情况下）等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提交，供应商的澄清、说明或者更正应当由法定代表人或其授权代表签字或者加盖公章。</w:t>
      </w:r>
    </w:p>
    <w:p w14:paraId="4E80C76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（4）供应商的澄清、说明或者更正不得超出电子响应文件的范围或者改变电子响应文件的实质性内容。澄清、说明或者更正的内容将作为</w:t>
      </w:r>
      <w:r>
        <w:rPr>
          <w:rFonts w:hint="eastAsia" w:ascii="华文仿宋" w:hAnsi="华文仿宋" w:cs="华文仿宋"/>
          <w:color w:val="000000"/>
          <w:kern w:val="0"/>
        </w:rPr>
        <w:t>合同</w:t>
      </w:r>
      <w:r>
        <w:rPr>
          <w:rFonts w:hint="eastAsia" w:ascii="华文仿宋" w:hAnsi="华文仿宋" w:cs="华文仿宋"/>
          <w:color w:val="000000"/>
        </w:rPr>
        <w:t>履行的重要依据。</w:t>
      </w:r>
    </w:p>
    <w:p w14:paraId="76C06F7C">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除采用竞争性磋商方式采购的政府购买服务项目、市场竞争不充分的科研项目以及需要扶持的科技成果转化项目外，通过符合性审查的供应商不足3家的，不得进行后续磋商活动，应予以废标。</w:t>
      </w:r>
    </w:p>
    <w:p w14:paraId="636D7E57">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4.进行磋商</w:t>
      </w:r>
    </w:p>
    <w:p w14:paraId="5D1140C6">
      <w:pPr>
        <w:spacing w:line="500" w:lineRule="exact"/>
        <w:ind w:firstLine="566" w:firstLineChars="200"/>
        <w:contextualSpacing/>
        <w:rPr>
          <w:color w:val="000000"/>
        </w:rPr>
      </w:pPr>
      <w:r>
        <w:rPr>
          <w:rFonts w:hint="eastAsia" w:ascii="华文仿宋" w:hAnsi="华文仿宋" w:cs="华文仿宋"/>
          <w:bCs/>
          <w:color w:val="000000"/>
        </w:rPr>
        <w:t>磋商小组所有成员应当集中与单一供应商分别进行磋商，并给予所有参加磋商的供应商平等的磋商机会。需要供应商书面答复磋商内容的，</w:t>
      </w:r>
      <w:r>
        <w:rPr>
          <w:rFonts w:hint="eastAsia" w:ascii="华文仿宋" w:hAnsi="华文仿宋" w:cs="华文仿宋"/>
          <w:color w:val="000000"/>
        </w:rPr>
        <w:t>供应商应当按照磋商小组的要求，在磋商小组规定的时限内</w:t>
      </w:r>
      <w:r>
        <w:rPr>
          <w:rFonts w:hint="eastAsia"/>
          <w:color w:val="000000"/>
        </w:rPr>
        <w:t>通过公共资源交易平台（以下简称“平台”）或电子邮件（在平台无法支持的情况下）等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答复磋商的内容，并由法定代表人或其授权代表签字或者加盖公章。</w:t>
      </w:r>
    </w:p>
    <w:p w14:paraId="49B5C210">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5.电子磋商文件的实质性变更</w:t>
      </w:r>
    </w:p>
    <w:p w14:paraId="17275CE8">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（1）在磋商过程中，磋商小组可以根据电子磋商文件和磋商情况实质性变动采购需求中的技术、服务要求以及合同草案条款，但不得变动电子磋商文件中的其他内容。实质性变动的内容，须经采购人代表确认。</w:t>
      </w:r>
    </w:p>
    <w:p w14:paraId="2E557231">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（2）对电子磋商文件作出的实质性变动是电子磋商文件的有效组成部分，磋商小组将</w:t>
      </w:r>
      <w:r>
        <w:rPr>
          <w:rFonts w:hint="eastAsia"/>
          <w:color w:val="000000"/>
        </w:rPr>
        <w:t>通过公共资源交易平台（以下简称“平台”）或电子邮件（在平台无法支持的情况下）等</w:t>
      </w:r>
      <w:r>
        <w:rPr>
          <w:rFonts w:hint="eastAsia" w:ascii="华文仿宋" w:hAnsi="华文仿宋" w:cs="华文仿宋"/>
          <w:color w:val="000000"/>
        </w:rPr>
        <w:t>书面形式通知所有参加磋商的供应商。</w:t>
      </w:r>
    </w:p>
    <w:p w14:paraId="0D268C6B">
      <w:pPr>
        <w:widowControl w:val="0"/>
        <w:spacing w:line="500" w:lineRule="exact"/>
        <w:ind w:firstLine="566" w:firstLineChars="200"/>
        <w:contextualSpacing/>
        <w:rPr>
          <w:color w:val="000000"/>
        </w:rPr>
      </w:pPr>
      <w:r>
        <w:rPr>
          <w:rFonts w:hint="eastAsia" w:ascii="华文仿宋" w:hAnsi="华文仿宋" w:cs="华文仿宋"/>
          <w:color w:val="000000"/>
        </w:rPr>
        <w:t>（3）供应商应当按照电子磋商文件的变动情况和磋商小组的要求，在磋商小组规定的时限内重新提交电子响应文件，并用数字认证证书（CA锁）签章或由法定代表人或其授权代表签字或者加盖公章。</w:t>
      </w:r>
    </w:p>
    <w:p w14:paraId="7800D928">
      <w:pPr>
        <w:pStyle w:val="18"/>
        <w:widowControl w:val="0"/>
        <w:spacing w:line="500" w:lineRule="exact"/>
        <w:ind w:firstLine="566" w:firstLineChars="200"/>
        <w:rPr>
          <w:rFonts w:ascii="华文仿宋" w:hAnsi="华文仿宋" w:cs="华文仿宋"/>
          <w:color w:val="000000"/>
          <w:sz w:val="28"/>
          <w:szCs w:val="28"/>
        </w:rPr>
      </w:pPr>
      <w:r>
        <w:rPr>
          <w:rFonts w:hint="eastAsia" w:ascii="华文仿宋" w:hAnsi="华文仿宋" w:cs="华文仿宋"/>
          <w:color w:val="000000"/>
          <w:sz w:val="28"/>
          <w:szCs w:val="28"/>
        </w:rPr>
        <w:t>（4）供应商未能在规定的时间内按照磋商小组的要求通过公共资源交易平台（以下简称“平台”）或电子邮件（在平台无法支持的情况下）等书面形式提交实质性变更电子响应文件的，视作未实质性响应。</w:t>
      </w:r>
    </w:p>
    <w:p w14:paraId="5972E701">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6.最后报价</w:t>
      </w:r>
    </w:p>
    <w:p w14:paraId="00959A0A">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（1）电子磋商文件能够详细列明采购标的的技术、服务要求的，磋商结束后，磋商小组应当要求所有实质性响应的供应商在规定时间内提交最后报价，提交最后报价的供应商不得少于</w:t>
      </w:r>
      <w:r>
        <w:rPr>
          <w:rFonts w:hint="eastAsia" w:ascii="仿宋" w:hAnsi="仿宋" w:eastAsia="仿宋" w:cs="仿宋"/>
          <w:color w:val="000000"/>
        </w:rPr>
        <w:t>3</w:t>
      </w:r>
      <w:r>
        <w:rPr>
          <w:rFonts w:hint="eastAsia" w:ascii="华文仿宋" w:hAnsi="华文仿宋" w:cs="华文仿宋"/>
          <w:color w:val="000000"/>
        </w:rPr>
        <w:t>家。</w:t>
      </w:r>
    </w:p>
    <w:p w14:paraId="53928239">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（2）电子磋商文件不能详细列明采购标的的技术、服务要求，需经磋商由供应商提供最终设计方案或解决方案的，磋商结束后，磋商小组应当按照少数服从多数的原则投票推荐</w:t>
      </w:r>
      <w:r>
        <w:rPr>
          <w:rFonts w:hint="eastAsia" w:ascii="仿宋" w:hAnsi="仿宋" w:eastAsia="仿宋" w:cs="仿宋"/>
          <w:color w:val="000000"/>
        </w:rPr>
        <w:t>3</w:t>
      </w:r>
      <w:r>
        <w:rPr>
          <w:rFonts w:hint="eastAsia" w:ascii="华文仿宋" w:hAnsi="华文仿宋" w:cs="华文仿宋"/>
          <w:color w:val="000000"/>
        </w:rPr>
        <w:t>家以上供应商的设计方案或者解决方案，并要求其在规定时间内提交最后报价。</w:t>
      </w:r>
    </w:p>
    <w:p w14:paraId="427276E0">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3）最后报价是供应商电子响应文件的有效组成部分。符合《政府采购竞争性磋商采购方式管理暂行办法》第三条第四项情形的，即市场竞争不充分的科研项目，以及需要扶持的科技成果转化项目，提交最后报价的供应商可以为2家。根据《财政部关于政府采购竞争性磋商采购方式管理暂行办法有关问题的补充通知》（财库〔2015〕124号），采购的政府购买服务项目（含政府和社会资本合作项目），在采购过程中符合要求的供应商（社会资本）只有2家的，竞争性磋商采购活动可以继续进行。</w:t>
      </w:r>
    </w:p>
    <w:p w14:paraId="419434F7">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w:t>
      </w:r>
      <w:r>
        <w:rPr>
          <w:rFonts w:ascii="华文仿宋" w:hAnsi="华文仿宋" w:cs="华文仿宋"/>
          <w:color w:val="000000"/>
        </w:rPr>
        <w:t>4）</w:t>
      </w:r>
      <w:r>
        <w:rPr>
          <w:rFonts w:hint="eastAsia" w:ascii="华文仿宋" w:hAnsi="华文仿宋" w:cs="华文仿宋"/>
          <w:color w:val="000000"/>
        </w:rPr>
        <w:t>供应商要在电子交易平台中提交最后报价，并用数字认证证书（CA锁）签章。平台系统无法使用时，供应商</w:t>
      </w:r>
      <w:r>
        <w:rPr>
          <w:rFonts w:hint="eastAsia" w:ascii="华文仿宋" w:hAnsi="华文仿宋" w:cs="华文仿宋"/>
        </w:rPr>
        <w:t>要按照磋商小组要求，</w:t>
      </w:r>
      <w:r>
        <w:rPr>
          <w:rFonts w:hint="eastAsia" w:ascii="华文仿宋" w:hAnsi="华文仿宋" w:cs="华文仿宋"/>
          <w:color w:val="000000"/>
        </w:rPr>
        <w:t>通过</w:t>
      </w:r>
      <w:r>
        <w:rPr>
          <w:rFonts w:hint="eastAsia" w:ascii="华文仿宋" w:hAnsi="华文仿宋" w:cs="华文仿宋"/>
        </w:rPr>
        <w:t>电子邮件等</w:t>
      </w:r>
      <w:r>
        <w:rPr>
          <w:rFonts w:hint="eastAsia" w:ascii="华文仿宋" w:hAnsi="华文仿宋" w:cs="华文仿宋"/>
          <w:color w:val="000000"/>
        </w:rPr>
        <w:t>书面形式提交最后报价表。最后报价表应由其法定代表人或授权代表签字或者加盖公章。最后报价将作为综合评分法中价格分的计算依据。</w:t>
      </w:r>
    </w:p>
    <w:p w14:paraId="33B76028">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（5）已提交电子响应文件的供应商，在提交最后报价之前，可以根据磋商情况书面申请退出磋商，书面申请应由其法定代表人或授权代表签字或者加盖公章。</w:t>
      </w:r>
    </w:p>
    <w:p w14:paraId="5C315F7E">
      <w:pPr>
        <w:spacing w:line="500" w:lineRule="exact"/>
        <w:ind w:firstLine="566" w:firstLineChars="200"/>
        <w:contextualSpacing/>
        <w:rPr>
          <w:rFonts w:ascii="Calibri" w:hAnsi="Calibri"/>
          <w:color w:val="000000"/>
        </w:rPr>
      </w:pPr>
      <w:r>
        <w:rPr>
          <w:rFonts w:hint="eastAsia" w:ascii="华文仿宋" w:hAnsi="华文仿宋" w:cs="华文仿宋"/>
          <w:color w:val="000000"/>
        </w:rPr>
        <w:t>（6）</w:t>
      </w:r>
      <w:r>
        <w:rPr>
          <w:rFonts w:hint="eastAsia" w:ascii="Calibri" w:hAnsi="Calibri"/>
          <w:color w:val="000000"/>
        </w:rPr>
        <w:t>磋商</w:t>
      </w:r>
      <w:r>
        <w:rPr>
          <w:rFonts w:ascii="Calibri" w:hAnsi="Calibri"/>
          <w:color w:val="000000"/>
        </w:rPr>
        <w:t>小组</w:t>
      </w:r>
      <w:r>
        <w:rPr>
          <w:rFonts w:hint="eastAsia" w:ascii="Calibri" w:hAnsi="Calibri"/>
          <w:color w:val="000000"/>
        </w:rPr>
        <w:t>认为供应商的报价明显低于其他通过符合性审查供应商的报价，有可能影响工程、货物、服务质量或者不能诚信履约的，要求供应商在规定时间内</w:t>
      </w:r>
      <w:r>
        <w:rPr>
          <w:rFonts w:hint="eastAsia"/>
          <w:color w:val="000000"/>
        </w:rPr>
        <w:t>通过公共资源交易平台（以下简称“平台”）或电子邮件（在平台无法支持的情况下）等</w:t>
      </w:r>
      <w:r>
        <w:rPr>
          <w:rFonts w:hint="eastAsia" w:ascii="华文仿宋" w:hAnsi="华文仿宋" w:cs="华文仿宋"/>
          <w:color w:val="000000"/>
        </w:rPr>
        <w:t>书面</w:t>
      </w:r>
      <w:r>
        <w:rPr>
          <w:rFonts w:hint="eastAsia"/>
          <w:color w:val="000000"/>
        </w:rPr>
        <w:t>形式</w:t>
      </w:r>
      <w:r>
        <w:rPr>
          <w:rFonts w:hint="eastAsia" w:ascii="Calibri" w:hAnsi="Calibri"/>
          <w:color w:val="000000"/>
        </w:rPr>
        <w:t>提供说明（必要时提交相关证明材料），供应商不能证明其报价合理性的，按无效响应对待。</w:t>
      </w:r>
    </w:p>
    <w:p w14:paraId="199CF3CE">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7.综合比较与评价</w:t>
      </w:r>
    </w:p>
    <w:p w14:paraId="453D28C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经磋商确定最终采购需求和提交最后报价的供应商后，由磋商小组按“评审要素及分值一览表”中规定的评审方法和标准，对提交最后报价的供应商的电子响应文件和最后报价进行综合评分。</w:t>
      </w:r>
    </w:p>
    <w:p w14:paraId="43F500F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评审时，磋商小组各成员应当独立对每个有效响应的文件进行评价、打分，然后汇总每个供应商每项评审因素的得分</w:t>
      </w:r>
      <w:bookmarkStart w:id="119" w:name="_Toc2392"/>
      <w:bookmarkStart w:id="120" w:name="_Toc27797"/>
      <w:bookmarkStart w:id="121" w:name="_Toc27187"/>
      <w:bookmarkStart w:id="122" w:name="_Toc9626"/>
      <w:r>
        <w:rPr>
          <w:rFonts w:hint="eastAsia" w:ascii="华文仿宋" w:hAnsi="华文仿宋" w:cs="华文仿宋"/>
          <w:color w:val="000000"/>
        </w:rPr>
        <w:t>。</w:t>
      </w:r>
    </w:p>
    <w:bookmarkEnd w:id="119"/>
    <w:bookmarkEnd w:id="120"/>
    <w:bookmarkEnd w:id="121"/>
    <w:bookmarkEnd w:id="122"/>
    <w:p w14:paraId="509D581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评定内容及打分标准：总分100分，每个响应人每项评分因素得分汇总即为最后得分，各项评分因素具体内容及打分标准如下：</w:t>
      </w:r>
    </w:p>
    <w:p w14:paraId="22D3A20E">
      <w:pPr>
        <w:keepNext/>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000000"/>
          <w:sz w:val="28"/>
          <w:szCs w:val="28"/>
          <w:highlight w:val="none"/>
          <w:lang w:val="en-US" w:eastAsia="zh-CN"/>
        </w:rPr>
      </w:pPr>
      <w:r>
        <w:rPr>
          <w:rFonts w:hint="eastAsia" w:ascii="宋体" w:hAnsi="宋体" w:eastAsia="宋体" w:cs="Times New Roman"/>
          <w:b/>
          <w:color w:val="000000"/>
          <w:sz w:val="28"/>
          <w:szCs w:val="28"/>
          <w:highlight w:val="none"/>
          <w:lang w:val="en-US" w:eastAsia="zh-CN"/>
        </w:rPr>
        <w:t>评分指标及评分标准</w:t>
      </w:r>
    </w:p>
    <w:tbl>
      <w:tblPr>
        <w:tblStyle w:val="20"/>
        <w:tblW w:w="9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6"/>
        <w:gridCol w:w="1256"/>
        <w:gridCol w:w="876"/>
        <w:gridCol w:w="6288"/>
      </w:tblGrid>
      <w:tr w14:paraId="3A4FA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14:paraId="6B055302">
            <w:pPr>
              <w:keepNext w:val="0"/>
              <w:keepLines w:val="0"/>
              <w:pageBreakBefore w:val="0"/>
              <w:kinsoku/>
              <w:wordWrap/>
              <w:overflowPunct/>
              <w:topLinePunct w:val="0"/>
              <w:autoSpaceDE/>
              <w:autoSpaceDN/>
              <w:bidi w:val="0"/>
              <w:adjustRightInd/>
              <w:snapToGrid w:val="0"/>
              <w:spacing w:line="340" w:lineRule="exact"/>
              <w:ind w:left="0" w:leftChars="0" w:right="0" w:rightChars="0" w:firstLine="0" w:firstLineChars="0"/>
              <w:jc w:val="center"/>
              <w:textAlignment w:val="auto"/>
              <w:rPr>
                <w:rFonts w:hint="eastAsia" w:ascii="华文仿宋" w:hAnsi="华文仿宋" w:eastAsia="华文仿宋" w:cs="华文仿宋"/>
                <w:b/>
                <w:bCs w:val="0"/>
                <w:color w:val="auto"/>
                <w:sz w:val="24"/>
                <w:szCs w:val="24"/>
                <w:highlight w:val="none"/>
                <w:lang w:val="en-US" w:eastAsia="zh-CN"/>
              </w:rPr>
            </w:pPr>
            <w:r>
              <w:rPr>
                <w:rFonts w:hint="eastAsia" w:ascii="华文仿宋" w:hAnsi="华文仿宋" w:eastAsia="华文仿宋" w:cs="华文仿宋"/>
                <w:b/>
                <w:bCs w:val="0"/>
                <w:color w:val="auto"/>
                <w:sz w:val="24"/>
                <w:szCs w:val="24"/>
                <w:highlight w:val="none"/>
                <w:lang w:val="en-US" w:eastAsia="zh-CN"/>
              </w:rPr>
              <w:t>序号</w:t>
            </w:r>
          </w:p>
        </w:tc>
        <w:tc>
          <w:tcPr>
            <w:tcW w:w="1256" w:type="dxa"/>
            <w:tcBorders>
              <w:top w:val="single" w:color="auto" w:sz="4" w:space="0"/>
              <w:left w:val="single" w:color="auto" w:sz="4" w:space="0"/>
              <w:bottom w:val="single" w:color="auto" w:sz="4" w:space="0"/>
              <w:right w:val="single" w:color="auto" w:sz="4" w:space="0"/>
            </w:tcBorders>
            <w:noWrap w:val="0"/>
            <w:vAlign w:val="center"/>
          </w:tcPr>
          <w:p w14:paraId="4CF584E6">
            <w:pPr>
              <w:keepNext w:val="0"/>
              <w:keepLines w:val="0"/>
              <w:pageBreakBefore w:val="0"/>
              <w:kinsoku/>
              <w:wordWrap/>
              <w:overflowPunct/>
              <w:topLinePunct w:val="0"/>
              <w:autoSpaceDE/>
              <w:autoSpaceDN/>
              <w:bidi w:val="0"/>
              <w:adjustRightInd/>
              <w:snapToGrid w:val="0"/>
              <w:spacing w:line="340" w:lineRule="exact"/>
              <w:ind w:left="0" w:leftChars="0" w:right="0" w:rightChars="0" w:firstLine="0" w:firstLineChars="0"/>
              <w:jc w:val="center"/>
              <w:textAlignment w:val="auto"/>
              <w:rPr>
                <w:rFonts w:hint="eastAsia" w:ascii="华文仿宋" w:hAnsi="华文仿宋" w:eastAsia="华文仿宋" w:cs="华文仿宋"/>
                <w:b/>
                <w:bCs w:val="0"/>
                <w:color w:val="auto"/>
                <w:sz w:val="24"/>
                <w:szCs w:val="24"/>
                <w:highlight w:val="none"/>
              </w:rPr>
            </w:pPr>
            <w:r>
              <w:rPr>
                <w:rFonts w:hint="eastAsia" w:ascii="华文仿宋" w:hAnsi="华文仿宋" w:eastAsia="华文仿宋" w:cs="华文仿宋"/>
                <w:b/>
                <w:bCs w:val="0"/>
                <w:color w:val="auto"/>
                <w:sz w:val="24"/>
                <w:szCs w:val="24"/>
                <w:highlight w:val="none"/>
                <w:lang w:val="en-US" w:eastAsia="zh-CN"/>
              </w:rPr>
              <w:t>评审项目</w:t>
            </w:r>
          </w:p>
        </w:tc>
        <w:tc>
          <w:tcPr>
            <w:tcW w:w="876" w:type="dxa"/>
            <w:tcBorders>
              <w:top w:val="single" w:color="auto" w:sz="4" w:space="0"/>
              <w:left w:val="single" w:color="auto" w:sz="4" w:space="0"/>
              <w:bottom w:val="single" w:color="auto" w:sz="4" w:space="0"/>
              <w:right w:val="single" w:color="auto" w:sz="4" w:space="0"/>
            </w:tcBorders>
            <w:noWrap w:val="0"/>
            <w:vAlign w:val="center"/>
          </w:tcPr>
          <w:p w14:paraId="7BA13A7A">
            <w:pPr>
              <w:keepNext w:val="0"/>
              <w:keepLines w:val="0"/>
              <w:pageBreakBefore w:val="0"/>
              <w:kinsoku/>
              <w:wordWrap/>
              <w:overflowPunct/>
              <w:topLinePunct w:val="0"/>
              <w:autoSpaceDE/>
              <w:autoSpaceDN/>
              <w:bidi w:val="0"/>
              <w:adjustRightInd/>
              <w:snapToGrid w:val="0"/>
              <w:spacing w:line="340" w:lineRule="exact"/>
              <w:ind w:left="0" w:leftChars="0" w:right="0" w:rightChars="0" w:firstLine="0" w:firstLineChars="0"/>
              <w:jc w:val="center"/>
              <w:textAlignment w:val="auto"/>
              <w:rPr>
                <w:rFonts w:hint="eastAsia" w:ascii="华文仿宋" w:hAnsi="华文仿宋" w:eastAsia="华文仿宋" w:cs="华文仿宋"/>
                <w:b/>
                <w:bCs w:val="0"/>
                <w:color w:val="auto"/>
                <w:sz w:val="24"/>
                <w:szCs w:val="24"/>
                <w:highlight w:val="none"/>
                <w:lang w:val="en-US" w:eastAsia="zh-CN"/>
              </w:rPr>
            </w:pPr>
            <w:r>
              <w:rPr>
                <w:rFonts w:hint="eastAsia" w:ascii="华文仿宋" w:hAnsi="华文仿宋" w:eastAsia="华文仿宋" w:cs="华文仿宋"/>
                <w:b/>
                <w:bCs w:val="0"/>
                <w:color w:val="auto"/>
                <w:sz w:val="24"/>
                <w:szCs w:val="24"/>
                <w:highlight w:val="none"/>
                <w:lang w:val="en-US" w:eastAsia="zh-CN"/>
              </w:rPr>
              <w:t>标准</w:t>
            </w:r>
          </w:p>
          <w:p w14:paraId="5BF084C6">
            <w:pPr>
              <w:keepNext w:val="0"/>
              <w:keepLines w:val="0"/>
              <w:pageBreakBefore w:val="0"/>
              <w:kinsoku/>
              <w:wordWrap/>
              <w:overflowPunct/>
              <w:topLinePunct w:val="0"/>
              <w:autoSpaceDE/>
              <w:autoSpaceDN/>
              <w:bidi w:val="0"/>
              <w:adjustRightInd/>
              <w:snapToGrid w:val="0"/>
              <w:spacing w:line="340" w:lineRule="exact"/>
              <w:ind w:left="0" w:leftChars="0" w:right="0" w:rightChars="0" w:firstLine="0" w:firstLineChars="0"/>
              <w:jc w:val="center"/>
              <w:textAlignment w:val="auto"/>
              <w:rPr>
                <w:rFonts w:hint="eastAsia" w:ascii="华文仿宋" w:hAnsi="华文仿宋" w:eastAsia="华文仿宋" w:cs="华文仿宋"/>
                <w:b/>
                <w:bCs w:val="0"/>
                <w:color w:val="auto"/>
                <w:sz w:val="24"/>
                <w:szCs w:val="24"/>
                <w:highlight w:val="none"/>
                <w:lang w:val="en-US" w:eastAsia="zh-CN"/>
              </w:rPr>
            </w:pPr>
            <w:r>
              <w:rPr>
                <w:rFonts w:hint="eastAsia" w:ascii="华文仿宋" w:hAnsi="华文仿宋" w:eastAsia="华文仿宋" w:cs="华文仿宋"/>
                <w:b/>
                <w:bCs w:val="0"/>
                <w:color w:val="auto"/>
                <w:sz w:val="24"/>
                <w:szCs w:val="24"/>
                <w:highlight w:val="none"/>
                <w:lang w:val="en-US" w:eastAsia="zh-CN"/>
              </w:rPr>
              <w:t>分值</w:t>
            </w:r>
          </w:p>
        </w:tc>
        <w:tc>
          <w:tcPr>
            <w:tcW w:w="6288" w:type="dxa"/>
            <w:tcBorders>
              <w:top w:val="single" w:color="auto" w:sz="4" w:space="0"/>
              <w:left w:val="single" w:color="auto" w:sz="4" w:space="0"/>
              <w:bottom w:val="single" w:color="auto" w:sz="4" w:space="0"/>
              <w:right w:val="single" w:color="auto" w:sz="4" w:space="0"/>
            </w:tcBorders>
            <w:noWrap w:val="0"/>
            <w:vAlign w:val="center"/>
          </w:tcPr>
          <w:p w14:paraId="35AA9BAB">
            <w:pPr>
              <w:keepNext w:val="0"/>
              <w:keepLines w:val="0"/>
              <w:pageBreakBefore w:val="0"/>
              <w:kinsoku/>
              <w:wordWrap/>
              <w:overflowPunct/>
              <w:topLinePunct w:val="0"/>
              <w:autoSpaceDE/>
              <w:autoSpaceDN/>
              <w:bidi w:val="0"/>
              <w:adjustRightInd/>
              <w:snapToGrid w:val="0"/>
              <w:spacing w:line="340" w:lineRule="exact"/>
              <w:ind w:left="0" w:leftChars="0" w:right="0" w:rightChars="0" w:firstLine="0" w:firstLineChars="0"/>
              <w:jc w:val="center"/>
              <w:textAlignment w:val="auto"/>
              <w:rPr>
                <w:rFonts w:hint="eastAsia" w:ascii="华文仿宋" w:hAnsi="华文仿宋" w:eastAsia="华文仿宋" w:cs="华文仿宋"/>
                <w:b/>
                <w:bCs w:val="0"/>
                <w:color w:val="auto"/>
                <w:sz w:val="24"/>
                <w:szCs w:val="24"/>
                <w:highlight w:val="none"/>
                <w:lang w:eastAsia="zh-CN"/>
              </w:rPr>
            </w:pPr>
            <w:r>
              <w:rPr>
                <w:rFonts w:hint="eastAsia" w:ascii="华文仿宋" w:hAnsi="华文仿宋" w:eastAsia="华文仿宋" w:cs="华文仿宋"/>
                <w:b/>
                <w:bCs w:val="0"/>
                <w:color w:val="auto"/>
                <w:sz w:val="24"/>
                <w:szCs w:val="24"/>
                <w:highlight w:val="none"/>
                <w:lang w:val="en-US" w:eastAsia="zh-CN"/>
              </w:rPr>
              <w:t>评分标准</w:t>
            </w:r>
          </w:p>
        </w:tc>
      </w:tr>
      <w:tr w14:paraId="1B07E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14:paraId="4FBEC163">
            <w:pPr>
              <w:keepNext w:val="0"/>
              <w:keepLines w:val="0"/>
              <w:pageBreakBefore w:val="0"/>
              <w:kinsoku/>
              <w:wordWrap/>
              <w:overflowPunct/>
              <w:topLinePunct w:val="0"/>
              <w:autoSpaceDE w:val="0"/>
              <w:autoSpaceDN w:val="0"/>
              <w:bidi w:val="0"/>
              <w:adjustRightInd w:val="0"/>
              <w:snapToGrid w:val="0"/>
              <w:spacing w:line="340" w:lineRule="exact"/>
              <w:ind w:left="0" w:leftChars="0" w:right="0" w:rightChars="0" w:firstLine="0" w:firstLineChars="0"/>
              <w:jc w:val="center"/>
              <w:textAlignment w:val="auto"/>
              <w:rPr>
                <w:rFonts w:hint="eastAsia" w:ascii="华文仿宋" w:hAnsi="华文仿宋" w:eastAsia="华文仿宋" w:cs="华文仿宋"/>
                <w:bCs/>
                <w:color w:val="auto"/>
                <w:sz w:val="24"/>
                <w:szCs w:val="24"/>
                <w:highlight w:val="none"/>
                <w:lang w:val="en-US" w:eastAsia="zh-CN"/>
              </w:rPr>
            </w:pPr>
            <w:r>
              <w:rPr>
                <w:rFonts w:hint="eastAsia" w:ascii="华文仿宋" w:hAnsi="华文仿宋" w:eastAsia="华文仿宋" w:cs="华文仿宋"/>
                <w:bCs/>
                <w:color w:val="auto"/>
                <w:sz w:val="24"/>
                <w:szCs w:val="24"/>
                <w:highlight w:val="none"/>
                <w:lang w:val="en-US" w:eastAsia="zh-CN"/>
              </w:rPr>
              <w:t>1</w:t>
            </w:r>
          </w:p>
        </w:tc>
        <w:tc>
          <w:tcPr>
            <w:tcW w:w="1256" w:type="dxa"/>
            <w:tcBorders>
              <w:top w:val="single" w:color="auto" w:sz="4" w:space="0"/>
              <w:left w:val="single" w:color="auto" w:sz="4" w:space="0"/>
              <w:bottom w:val="single" w:color="auto" w:sz="4" w:space="0"/>
              <w:right w:val="single" w:color="auto" w:sz="4" w:space="0"/>
            </w:tcBorders>
            <w:noWrap w:val="0"/>
            <w:vAlign w:val="center"/>
          </w:tcPr>
          <w:p w14:paraId="4AE4BC49">
            <w:pPr>
              <w:keepNext w:val="0"/>
              <w:keepLines w:val="0"/>
              <w:pageBreakBefore w:val="0"/>
              <w:kinsoku/>
              <w:wordWrap/>
              <w:overflowPunct/>
              <w:topLinePunct w:val="0"/>
              <w:autoSpaceDE w:val="0"/>
              <w:autoSpaceDN w:val="0"/>
              <w:bidi w:val="0"/>
              <w:adjustRightInd w:val="0"/>
              <w:snapToGrid w:val="0"/>
              <w:spacing w:line="340" w:lineRule="exact"/>
              <w:ind w:left="0" w:leftChars="0" w:right="0" w:rightChars="0" w:firstLine="0" w:firstLineChars="0"/>
              <w:jc w:val="center"/>
              <w:textAlignment w:val="auto"/>
              <w:rPr>
                <w:rFonts w:hint="eastAsia" w:ascii="华文仿宋" w:hAnsi="华文仿宋" w:eastAsia="华文仿宋" w:cs="华文仿宋"/>
                <w:bCs/>
                <w:color w:val="auto"/>
                <w:sz w:val="24"/>
                <w:szCs w:val="24"/>
                <w:highlight w:val="none"/>
              </w:rPr>
            </w:pPr>
            <w:r>
              <w:rPr>
                <w:rFonts w:hint="eastAsia" w:ascii="华文仿宋" w:hAnsi="华文仿宋" w:eastAsia="华文仿宋" w:cs="华文仿宋"/>
                <w:bCs/>
                <w:color w:val="auto"/>
                <w:sz w:val="24"/>
                <w:szCs w:val="24"/>
                <w:highlight w:val="none"/>
              </w:rPr>
              <w:t>投标报价</w:t>
            </w:r>
          </w:p>
        </w:tc>
        <w:tc>
          <w:tcPr>
            <w:tcW w:w="876" w:type="dxa"/>
            <w:tcBorders>
              <w:top w:val="single" w:color="auto" w:sz="4" w:space="0"/>
              <w:left w:val="single" w:color="auto" w:sz="4" w:space="0"/>
              <w:bottom w:val="single" w:color="auto" w:sz="4" w:space="0"/>
              <w:right w:val="single" w:color="auto" w:sz="4" w:space="0"/>
            </w:tcBorders>
            <w:noWrap w:val="0"/>
            <w:vAlign w:val="center"/>
          </w:tcPr>
          <w:p w14:paraId="1A10C099">
            <w:pPr>
              <w:keepNext w:val="0"/>
              <w:keepLines w:val="0"/>
              <w:pageBreakBefore w:val="0"/>
              <w:kinsoku/>
              <w:wordWrap/>
              <w:overflowPunct/>
              <w:topLinePunct w:val="0"/>
              <w:autoSpaceDE w:val="0"/>
              <w:autoSpaceDN w:val="0"/>
              <w:bidi w:val="0"/>
              <w:adjustRightInd w:val="0"/>
              <w:snapToGrid w:val="0"/>
              <w:spacing w:line="340" w:lineRule="exact"/>
              <w:ind w:left="0" w:leftChars="0" w:right="0" w:rightChars="0" w:firstLine="0" w:firstLineChars="0"/>
              <w:jc w:val="center"/>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bCs/>
                <w:color w:val="auto"/>
                <w:sz w:val="24"/>
                <w:szCs w:val="24"/>
                <w:highlight w:val="none"/>
                <w:lang w:val="en-US" w:eastAsia="zh-CN"/>
              </w:rPr>
              <w:t>26分</w:t>
            </w:r>
          </w:p>
        </w:tc>
        <w:tc>
          <w:tcPr>
            <w:tcW w:w="6288" w:type="dxa"/>
            <w:tcBorders>
              <w:top w:val="single" w:color="auto" w:sz="4" w:space="0"/>
              <w:left w:val="single" w:color="auto" w:sz="4" w:space="0"/>
              <w:bottom w:val="single" w:color="auto" w:sz="4" w:space="0"/>
              <w:right w:val="single" w:color="auto" w:sz="4" w:space="0"/>
            </w:tcBorders>
            <w:noWrap w:val="0"/>
            <w:vAlign w:val="center"/>
          </w:tcPr>
          <w:p w14:paraId="2C5DAB52">
            <w:pPr>
              <w:keepNext w:val="0"/>
              <w:keepLines w:val="0"/>
              <w:pageBreakBefore w:val="0"/>
              <w:widowControl/>
              <w:kinsoku/>
              <w:wordWrap/>
              <w:overflowPunct/>
              <w:topLinePunct w:val="0"/>
              <w:bidi w:val="0"/>
              <w:snapToGrid w:val="0"/>
              <w:spacing w:line="34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kern w:val="0"/>
                <w:sz w:val="24"/>
                <w:szCs w:val="24"/>
                <w:highlight w:val="none"/>
                <w:lang w:bidi="ar"/>
              </w:rPr>
              <w:t>有效投标人的最低报价为基准价得</w:t>
            </w:r>
            <w:r>
              <w:rPr>
                <w:rFonts w:hint="eastAsia" w:ascii="华文仿宋" w:hAnsi="华文仿宋" w:eastAsia="华文仿宋" w:cs="华文仿宋"/>
                <w:color w:val="auto"/>
                <w:kern w:val="0"/>
                <w:sz w:val="24"/>
                <w:szCs w:val="24"/>
                <w:highlight w:val="none"/>
                <w:lang w:val="en-US" w:eastAsia="zh-CN" w:bidi="ar"/>
              </w:rPr>
              <w:t>26</w:t>
            </w:r>
            <w:r>
              <w:rPr>
                <w:rFonts w:hint="eastAsia" w:ascii="华文仿宋" w:hAnsi="华文仿宋" w:eastAsia="华文仿宋" w:cs="华文仿宋"/>
                <w:color w:val="auto"/>
                <w:kern w:val="0"/>
                <w:sz w:val="24"/>
                <w:szCs w:val="24"/>
                <w:highlight w:val="none"/>
                <w:lang w:bidi="ar"/>
              </w:rPr>
              <w:t>分，其他各投标人的报价得分按下列公式计算：（基准价/投标报价）×</w:t>
            </w:r>
            <w:r>
              <w:rPr>
                <w:rFonts w:hint="eastAsia" w:ascii="华文仿宋" w:hAnsi="华文仿宋" w:eastAsia="华文仿宋" w:cs="华文仿宋"/>
                <w:color w:val="auto"/>
                <w:spacing w:val="-6"/>
                <w:sz w:val="24"/>
                <w:szCs w:val="24"/>
                <w:highlight w:val="none"/>
                <w:lang w:val="en-US" w:eastAsia="zh-CN"/>
              </w:rPr>
              <w:t>价格权值</w:t>
            </w:r>
            <w:r>
              <w:rPr>
                <w:rFonts w:hint="eastAsia" w:ascii="华文仿宋" w:hAnsi="华文仿宋" w:eastAsia="华文仿宋" w:cs="华文仿宋"/>
                <w:color w:val="auto"/>
                <w:kern w:val="0"/>
                <w:sz w:val="24"/>
                <w:szCs w:val="24"/>
                <w:highlight w:val="none"/>
                <w:lang w:bidi="ar"/>
              </w:rPr>
              <w:t>×100。</w:t>
            </w:r>
          </w:p>
        </w:tc>
      </w:tr>
      <w:tr w14:paraId="1672F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14:paraId="359863F8">
            <w:pPr>
              <w:keepNext w:val="0"/>
              <w:keepLines w:val="0"/>
              <w:pageBreakBefore w:val="0"/>
              <w:kinsoku/>
              <w:wordWrap/>
              <w:overflowPunct/>
              <w:topLinePunct w:val="0"/>
              <w:bidi w:val="0"/>
              <w:snapToGrid w:val="0"/>
              <w:spacing w:line="340" w:lineRule="exact"/>
              <w:ind w:left="0" w:leftChars="0" w:right="0" w:rightChars="0" w:firstLine="0" w:firstLineChars="0"/>
              <w:jc w:val="center"/>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2</w:t>
            </w:r>
          </w:p>
        </w:tc>
        <w:tc>
          <w:tcPr>
            <w:tcW w:w="1256" w:type="dxa"/>
            <w:tcBorders>
              <w:top w:val="single" w:color="auto" w:sz="4" w:space="0"/>
              <w:left w:val="single" w:color="auto" w:sz="4" w:space="0"/>
              <w:bottom w:val="single" w:color="auto" w:sz="4" w:space="0"/>
              <w:right w:val="single" w:color="auto" w:sz="4" w:space="0"/>
            </w:tcBorders>
            <w:noWrap w:val="0"/>
            <w:vAlign w:val="center"/>
          </w:tcPr>
          <w:p w14:paraId="3B26410C">
            <w:pPr>
              <w:keepNext w:val="0"/>
              <w:keepLines w:val="0"/>
              <w:pageBreakBefore w:val="0"/>
              <w:kinsoku/>
              <w:wordWrap/>
              <w:overflowPunct/>
              <w:topLinePunct w:val="0"/>
              <w:bidi w:val="0"/>
              <w:snapToGrid w:val="0"/>
              <w:spacing w:line="340" w:lineRule="exact"/>
              <w:ind w:left="0" w:leftChars="0" w:right="0" w:rightChars="0" w:firstLine="0" w:firstLineChars="0"/>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业绩</w:t>
            </w:r>
          </w:p>
        </w:tc>
        <w:tc>
          <w:tcPr>
            <w:tcW w:w="876" w:type="dxa"/>
            <w:tcBorders>
              <w:top w:val="single" w:color="auto" w:sz="4" w:space="0"/>
              <w:left w:val="single" w:color="auto" w:sz="4" w:space="0"/>
              <w:bottom w:val="single" w:color="auto" w:sz="4" w:space="0"/>
              <w:right w:val="single" w:color="auto" w:sz="4" w:space="0"/>
            </w:tcBorders>
            <w:noWrap w:val="0"/>
            <w:vAlign w:val="center"/>
          </w:tcPr>
          <w:p w14:paraId="22D1454F">
            <w:pPr>
              <w:keepNext w:val="0"/>
              <w:keepLines w:val="0"/>
              <w:pageBreakBefore w:val="0"/>
              <w:kinsoku/>
              <w:wordWrap/>
              <w:overflowPunct/>
              <w:topLinePunct w:val="0"/>
              <w:bidi w:val="0"/>
              <w:snapToGrid w:val="0"/>
              <w:spacing w:line="340" w:lineRule="exact"/>
              <w:ind w:left="0" w:leftChars="0" w:right="0" w:rightChars="0" w:firstLine="0" w:firstLineChars="0"/>
              <w:jc w:val="center"/>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5分</w:t>
            </w:r>
          </w:p>
        </w:tc>
        <w:tc>
          <w:tcPr>
            <w:tcW w:w="6288" w:type="dxa"/>
            <w:tcBorders>
              <w:top w:val="single" w:color="auto" w:sz="4" w:space="0"/>
              <w:left w:val="single" w:color="auto" w:sz="4" w:space="0"/>
              <w:bottom w:val="single" w:color="auto" w:sz="4" w:space="0"/>
              <w:right w:val="single" w:color="auto" w:sz="4" w:space="0"/>
            </w:tcBorders>
            <w:noWrap w:val="0"/>
            <w:vAlign w:val="center"/>
          </w:tcPr>
          <w:p w14:paraId="3BE7B14B">
            <w:pPr>
              <w:keepNext w:val="0"/>
              <w:keepLines w:val="0"/>
              <w:pageBreakBefore w:val="0"/>
              <w:widowControl/>
              <w:kinsoku/>
              <w:wordWrap/>
              <w:overflowPunct/>
              <w:topLinePunct w:val="0"/>
              <w:bidi w:val="0"/>
              <w:adjustRightInd w:val="0"/>
              <w:snapToGrid w:val="0"/>
              <w:spacing w:line="34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提供2021年1月1日以来类似的项目业绩（以合同签订日期为准），每份合格业绩合同计</w:t>
            </w:r>
            <w:r>
              <w:rPr>
                <w:rFonts w:hint="eastAsia" w:ascii="华文仿宋" w:hAnsi="华文仿宋" w:eastAsia="华文仿宋" w:cs="华文仿宋"/>
                <w:color w:val="auto"/>
                <w:sz w:val="24"/>
                <w:szCs w:val="24"/>
                <w:highlight w:val="none"/>
                <w:lang w:val="en-US" w:eastAsia="zh-CN"/>
              </w:rPr>
              <w:t>1</w:t>
            </w:r>
            <w:r>
              <w:rPr>
                <w:rFonts w:hint="eastAsia" w:ascii="华文仿宋" w:hAnsi="华文仿宋" w:eastAsia="华文仿宋" w:cs="华文仿宋"/>
                <w:color w:val="auto"/>
                <w:sz w:val="24"/>
                <w:szCs w:val="24"/>
                <w:highlight w:val="none"/>
              </w:rPr>
              <w:t>分，满分</w:t>
            </w:r>
            <w:r>
              <w:rPr>
                <w:rFonts w:hint="eastAsia" w:ascii="华文仿宋" w:hAnsi="华文仿宋" w:eastAsia="华文仿宋" w:cs="华文仿宋"/>
                <w:color w:val="auto"/>
                <w:sz w:val="24"/>
                <w:szCs w:val="24"/>
                <w:highlight w:val="none"/>
                <w:lang w:val="en-US" w:eastAsia="zh-CN"/>
              </w:rPr>
              <w:t>5</w:t>
            </w:r>
            <w:r>
              <w:rPr>
                <w:rFonts w:hint="eastAsia" w:ascii="华文仿宋" w:hAnsi="华文仿宋" w:eastAsia="华文仿宋" w:cs="华文仿宋"/>
                <w:color w:val="auto"/>
                <w:sz w:val="24"/>
                <w:szCs w:val="24"/>
                <w:highlight w:val="none"/>
              </w:rPr>
              <w:t>分；</w:t>
            </w:r>
          </w:p>
          <w:p w14:paraId="5C80CE67">
            <w:pPr>
              <w:keepNext w:val="0"/>
              <w:keepLines w:val="0"/>
              <w:pageBreakBefore w:val="0"/>
              <w:widowControl/>
              <w:kinsoku/>
              <w:wordWrap/>
              <w:overflowPunct/>
              <w:topLinePunct w:val="0"/>
              <w:bidi w:val="0"/>
              <w:adjustRightInd w:val="0"/>
              <w:snapToGrid w:val="0"/>
              <w:spacing w:line="34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备注：须提供完整业绩合同及对应发票（任意一张）复印件，并加盖投标人公章，以上两种证明材料同时提供方可得分，否则不得分。</w:t>
            </w:r>
          </w:p>
        </w:tc>
      </w:tr>
      <w:tr w14:paraId="26F99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1"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14:paraId="542691DF">
            <w:pPr>
              <w:keepNext w:val="0"/>
              <w:keepLines w:val="0"/>
              <w:pageBreakBefore w:val="0"/>
              <w:kinsoku/>
              <w:wordWrap/>
              <w:overflowPunct/>
              <w:topLinePunct w:val="0"/>
              <w:bidi w:val="0"/>
              <w:snapToGrid w:val="0"/>
              <w:spacing w:line="340" w:lineRule="exact"/>
              <w:ind w:left="0" w:leftChars="0" w:right="0" w:rightChars="0" w:firstLine="0" w:firstLineChars="0"/>
              <w:jc w:val="center"/>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3</w:t>
            </w:r>
          </w:p>
        </w:tc>
        <w:tc>
          <w:tcPr>
            <w:tcW w:w="1256" w:type="dxa"/>
            <w:tcBorders>
              <w:top w:val="single" w:color="auto" w:sz="4" w:space="0"/>
              <w:left w:val="single" w:color="auto" w:sz="4" w:space="0"/>
              <w:bottom w:val="single" w:color="auto" w:sz="4" w:space="0"/>
              <w:right w:val="single" w:color="auto" w:sz="4" w:space="0"/>
            </w:tcBorders>
            <w:noWrap w:val="0"/>
            <w:vAlign w:val="center"/>
          </w:tcPr>
          <w:p w14:paraId="35EA97A3">
            <w:pPr>
              <w:keepNext w:val="0"/>
              <w:keepLines w:val="0"/>
              <w:pageBreakBefore w:val="0"/>
              <w:kinsoku/>
              <w:wordWrap/>
              <w:overflowPunct/>
              <w:topLinePunct w:val="0"/>
              <w:bidi w:val="0"/>
              <w:snapToGrid w:val="0"/>
              <w:spacing w:line="34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服务方案</w:t>
            </w:r>
          </w:p>
        </w:tc>
        <w:tc>
          <w:tcPr>
            <w:tcW w:w="876" w:type="dxa"/>
            <w:tcBorders>
              <w:top w:val="single" w:color="auto" w:sz="4" w:space="0"/>
              <w:left w:val="single" w:color="auto" w:sz="4" w:space="0"/>
              <w:bottom w:val="single" w:color="auto" w:sz="4" w:space="0"/>
              <w:right w:val="single" w:color="auto" w:sz="4" w:space="0"/>
            </w:tcBorders>
            <w:noWrap w:val="0"/>
            <w:vAlign w:val="center"/>
          </w:tcPr>
          <w:p w14:paraId="1BD3D432">
            <w:pPr>
              <w:keepNext w:val="0"/>
              <w:keepLines w:val="0"/>
              <w:pageBreakBefore w:val="0"/>
              <w:kinsoku/>
              <w:wordWrap/>
              <w:overflowPunct/>
              <w:topLinePunct w:val="0"/>
              <w:bidi w:val="0"/>
              <w:snapToGrid w:val="0"/>
              <w:spacing w:line="340" w:lineRule="exact"/>
              <w:ind w:left="0" w:leftChars="0" w:right="0" w:rightChars="0" w:firstLine="0" w:firstLineChars="0"/>
              <w:jc w:val="center"/>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18分</w:t>
            </w:r>
          </w:p>
        </w:tc>
        <w:tc>
          <w:tcPr>
            <w:tcW w:w="6288" w:type="dxa"/>
            <w:tcBorders>
              <w:top w:val="single" w:color="auto" w:sz="4" w:space="0"/>
              <w:left w:val="single" w:color="auto" w:sz="4" w:space="0"/>
              <w:bottom w:val="single" w:color="auto" w:sz="4" w:space="0"/>
              <w:right w:val="single" w:color="auto" w:sz="4" w:space="0"/>
            </w:tcBorders>
            <w:noWrap w:val="0"/>
            <w:vAlign w:val="center"/>
          </w:tcPr>
          <w:p w14:paraId="7C64D81D">
            <w:pPr>
              <w:keepNext w:val="0"/>
              <w:keepLines w:val="0"/>
              <w:pageBreakBefore w:val="0"/>
              <w:widowControl w:val="0"/>
              <w:kinsoku/>
              <w:wordWrap/>
              <w:overflowPunct/>
              <w:topLinePunct w:val="0"/>
              <w:autoSpaceDE/>
              <w:autoSpaceDN/>
              <w:bidi w:val="0"/>
              <w:adjustRightInd/>
              <w:snapToGrid w:val="0"/>
              <w:spacing w:line="320" w:lineRule="atLeast"/>
              <w:ind w:left="0" w:leftChars="0" w:right="0" w:rightChars="0" w:firstLine="0" w:firstLineChars="0"/>
              <w:jc w:val="left"/>
              <w:textAlignment w:val="auto"/>
              <w:rPr>
                <w:rFonts w:hint="eastAsia" w:ascii="华文仿宋" w:hAnsi="华文仿宋" w:eastAsia="华文仿宋" w:cs="华文仿宋"/>
                <w:b/>
                <w:bCs/>
                <w:color w:val="auto"/>
                <w:sz w:val="24"/>
                <w:szCs w:val="24"/>
                <w:highlight w:val="none"/>
              </w:rPr>
            </w:pPr>
            <w:bookmarkStart w:id="123" w:name="OLE_LINK1"/>
            <w:r>
              <w:rPr>
                <w:rFonts w:hint="eastAsia" w:ascii="华文仿宋" w:hAnsi="华文仿宋" w:eastAsia="华文仿宋" w:cs="华文仿宋"/>
                <w:b/>
                <w:bCs/>
                <w:color w:val="auto"/>
                <w:sz w:val="24"/>
                <w:szCs w:val="24"/>
                <w:highlight w:val="none"/>
              </w:rPr>
              <w:t>一、评审内容</w:t>
            </w:r>
          </w:p>
          <w:p w14:paraId="4C0EED6D">
            <w:pPr>
              <w:keepNext w:val="0"/>
              <w:keepLines w:val="0"/>
              <w:pageBreakBefore w:val="0"/>
              <w:widowControl w:val="0"/>
              <w:kinsoku/>
              <w:wordWrap/>
              <w:overflowPunct/>
              <w:topLinePunct w:val="0"/>
              <w:autoSpaceDE/>
              <w:autoSpaceDN/>
              <w:bidi w:val="0"/>
              <w:adjustRightInd/>
              <w:snapToGrid w:val="0"/>
              <w:spacing w:line="360" w:lineRule="atLeas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投标人需充分了解延安市本级集体建设用地调查和基准地价更新项目，</w:t>
            </w:r>
            <w:bookmarkEnd w:id="123"/>
            <w:r>
              <w:rPr>
                <w:rFonts w:hint="eastAsia" w:ascii="华文仿宋" w:hAnsi="华文仿宋" w:eastAsia="华文仿宋" w:cs="华文仿宋"/>
                <w:color w:val="auto"/>
                <w:sz w:val="24"/>
                <w:szCs w:val="24"/>
                <w:highlight w:val="none"/>
                <w:lang w:val="en-US" w:eastAsia="zh-CN"/>
              </w:rPr>
              <w:t>提供本项目服务方案，</w:t>
            </w:r>
            <w:r>
              <w:rPr>
                <w:rFonts w:hint="eastAsia" w:ascii="华文仿宋" w:hAnsi="华文仿宋" w:eastAsia="华文仿宋" w:cs="华文仿宋"/>
                <w:color w:val="auto"/>
                <w:sz w:val="24"/>
                <w:szCs w:val="24"/>
                <w:highlight w:val="none"/>
              </w:rPr>
              <w:t>方案内容包括：</w:t>
            </w:r>
            <w:r>
              <w:rPr>
                <w:rFonts w:hint="eastAsia" w:ascii="华文仿宋" w:hAnsi="华文仿宋" w:eastAsia="华文仿宋" w:cs="华文仿宋"/>
                <w:color w:val="auto"/>
                <w:sz w:val="24"/>
                <w:szCs w:val="24"/>
                <w:highlight w:val="none"/>
                <w:lang w:eastAsia="zh-CN"/>
              </w:rPr>
              <w:t>①</w:t>
            </w:r>
            <w:r>
              <w:rPr>
                <w:rFonts w:hint="eastAsia" w:ascii="华文仿宋" w:hAnsi="华文仿宋" w:eastAsia="华文仿宋" w:cs="华文仿宋"/>
                <w:color w:val="auto"/>
                <w:sz w:val="24"/>
                <w:szCs w:val="24"/>
                <w:highlight w:val="none"/>
                <w:lang w:val="en-US" w:eastAsia="zh-CN"/>
              </w:rPr>
              <w:t>对项目的理解；②工作流程；③技术路线；④服务团队；⑤预期成果；⑥成果应用。</w:t>
            </w:r>
          </w:p>
          <w:p w14:paraId="42305A64">
            <w:pPr>
              <w:keepNext w:val="0"/>
              <w:keepLines w:val="0"/>
              <w:pageBreakBefore w:val="0"/>
              <w:widowControl w:val="0"/>
              <w:kinsoku/>
              <w:wordWrap/>
              <w:overflowPunct/>
              <w:topLinePunct w:val="0"/>
              <w:autoSpaceDE/>
              <w:autoSpaceDN/>
              <w:bidi w:val="0"/>
              <w:adjustRightInd/>
              <w:snapToGrid w:val="0"/>
              <w:spacing w:line="360" w:lineRule="atLeast"/>
              <w:ind w:left="0" w:leftChars="0" w:right="0" w:rightChars="0" w:firstLine="0" w:firstLineChars="0"/>
              <w:jc w:val="left"/>
              <w:textAlignment w:val="auto"/>
              <w:rPr>
                <w:rFonts w:hint="eastAsia" w:ascii="华文仿宋" w:hAnsi="华文仿宋" w:eastAsia="华文仿宋" w:cs="华文仿宋"/>
                <w:b/>
                <w:bCs/>
                <w:color w:val="auto"/>
                <w:sz w:val="24"/>
                <w:szCs w:val="24"/>
                <w:highlight w:val="none"/>
                <w:lang w:val="en-US" w:eastAsia="zh-CN"/>
              </w:rPr>
            </w:pPr>
            <w:r>
              <w:rPr>
                <w:rFonts w:hint="eastAsia" w:ascii="华文仿宋" w:hAnsi="华文仿宋" w:eastAsia="华文仿宋" w:cs="华文仿宋"/>
                <w:b/>
                <w:bCs/>
                <w:color w:val="auto"/>
                <w:sz w:val="24"/>
                <w:szCs w:val="24"/>
                <w:highlight w:val="none"/>
                <w:lang w:val="en-US" w:eastAsia="zh-CN"/>
              </w:rPr>
              <w:t>二、评审标准</w:t>
            </w:r>
          </w:p>
          <w:p w14:paraId="159718CF">
            <w:pPr>
              <w:keepNext w:val="0"/>
              <w:keepLines w:val="0"/>
              <w:pageBreakBefore w:val="0"/>
              <w:widowControl w:val="0"/>
              <w:kinsoku/>
              <w:wordWrap/>
              <w:overflowPunct/>
              <w:topLinePunct w:val="0"/>
              <w:autoSpaceDE/>
              <w:autoSpaceDN/>
              <w:bidi w:val="0"/>
              <w:adjustRightInd/>
              <w:snapToGrid w:val="0"/>
              <w:spacing w:line="360" w:lineRule="atLeas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1.完整性：方案必须全面，对评审内容中的各项要求有详细描述；</w:t>
            </w:r>
          </w:p>
          <w:p w14:paraId="623ED76E">
            <w:pPr>
              <w:keepNext w:val="0"/>
              <w:keepLines w:val="0"/>
              <w:pageBreakBefore w:val="0"/>
              <w:widowControl w:val="0"/>
              <w:kinsoku/>
              <w:wordWrap/>
              <w:overflowPunct/>
              <w:topLinePunct w:val="0"/>
              <w:autoSpaceDE/>
              <w:autoSpaceDN/>
              <w:bidi w:val="0"/>
              <w:adjustRightInd/>
              <w:snapToGrid w:val="0"/>
              <w:spacing w:line="360" w:lineRule="atLeas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2.合理性：方案能够紧扣项目实际情况，内容合理可行；</w:t>
            </w:r>
          </w:p>
          <w:p w14:paraId="26AC119E">
            <w:pPr>
              <w:keepNext w:val="0"/>
              <w:keepLines w:val="0"/>
              <w:pageBreakBefore w:val="0"/>
              <w:widowControl w:val="0"/>
              <w:kinsoku/>
              <w:wordWrap/>
              <w:overflowPunct/>
              <w:topLinePunct w:val="0"/>
              <w:autoSpaceDE/>
              <w:autoSpaceDN/>
              <w:bidi w:val="0"/>
              <w:adjustRightInd/>
              <w:spacing w:line="360" w:lineRule="atLeas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000000"/>
                <w:sz w:val="24"/>
                <w:szCs w:val="24"/>
                <w:highlight w:val="none"/>
                <w:lang w:val="en-US" w:eastAsia="zh-CN"/>
              </w:rPr>
              <w:t>3.可操作性：方案步骤具体明确，在现实条件下能够顺利实施，具有较强的实践指导意义。</w:t>
            </w:r>
          </w:p>
          <w:p w14:paraId="50869F0E">
            <w:pPr>
              <w:keepNext w:val="0"/>
              <w:keepLines w:val="0"/>
              <w:pageBreakBefore w:val="0"/>
              <w:widowControl w:val="0"/>
              <w:kinsoku/>
              <w:wordWrap/>
              <w:overflowPunct/>
              <w:topLinePunct w:val="0"/>
              <w:autoSpaceDE/>
              <w:autoSpaceDN/>
              <w:bidi w:val="0"/>
              <w:adjustRightInd/>
              <w:snapToGrid w:val="0"/>
              <w:spacing w:line="360" w:lineRule="atLeast"/>
              <w:ind w:left="0" w:leftChars="0" w:right="0" w:rightChars="0" w:firstLine="0" w:firstLineChars="0"/>
              <w:jc w:val="left"/>
              <w:textAlignment w:val="auto"/>
              <w:rPr>
                <w:rFonts w:hint="eastAsia" w:ascii="华文仿宋" w:hAnsi="华文仿宋" w:eastAsia="华文仿宋" w:cs="华文仿宋"/>
                <w:b/>
                <w:bCs/>
                <w:color w:val="auto"/>
                <w:sz w:val="24"/>
                <w:szCs w:val="24"/>
                <w:highlight w:val="none"/>
                <w:lang w:val="en-US" w:eastAsia="zh-CN"/>
              </w:rPr>
            </w:pPr>
            <w:r>
              <w:rPr>
                <w:rFonts w:hint="eastAsia" w:ascii="华文仿宋" w:hAnsi="华文仿宋" w:eastAsia="华文仿宋" w:cs="华文仿宋"/>
                <w:b/>
                <w:bCs/>
                <w:color w:val="auto"/>
                <w:sz w:val="24"/>
                <w:szCs w:val="24"/>
                <w:highlight w:val="none"/>
                <w:lang w:val="en-US" w:eastAsia="zh-CN"/>
              </w:rPr>
              <w:t>三、赋分标准（满分18分）</w:t>
            </w:r>
          </w:p>
          <w:p w14:paraId="3FBA4E25">
            <w:pPr>
              <w:keepNext w:val="0"/>
              <w:keepLines w:val="0"/>
              <w:pageBreakBefore w:val="0"/>
              <w:widowControl w:val="0"/>
              <w:kinsoku/>
              <w:wordWrap/>
              <w:overflowPunct/>
              <w:topLinePunct w:val="0"/>
              <w:autoSpaceDE/>
              <w:autoSpaceDN/>
              <w:bidi w:val="0"/>
              <w:adjustRightInd/>
              <w:snapToGrid w:val="0"/>
              <w:spacing w:line="360" w:lineRule="atLeas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1.对项目的理解：每满足一项评审标准得1分，满分3分；</w:t>
            </w:r>
          </w:p>
          <w:p w14:paraId="753A15D5">
            <w:pPr>
              <w:keepNext w:val="0"/>
              <w:keepLines w:val="0"/>
              <w:pageBreakBefore w:val="0"/>
              <w:widowControl w:val="0"/>
              <w:kinsoku/>
              <w:wordWrap/>
              <w:overflowPunct/>
              <w:topLinePunct w:val="0"/>
              <w:autoSpaceDE/>
              <w:autoSpaceDN/>
              <w:bidi w:val="0"/>
              <w:adjustRightInd/>
              <w:snapToGrid w:val="0"/>
              <w:spacing w:line="360" w:lineRule="atLeas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2.工作流程：每满足一项评审标准得1分，满分3分；</w:t>
            </w:r>
          </w:p>
          <w:p w14:paraId="0AB7BEB0">
            <w:pPr>
              <w:keepNext w:val="0"/>
              <w:keepLines w:val="0"/>
              <w:pageBreakBefore w:val="0"/>
              <w:widowControl w:val="0"/>
              <w:kinsoku/>
              <w:wordWrap/>
              <w:overflowPunct/>
              <w:topLinePunct w:val="0"/>
              <w:autoSpaceDE/>
              <w:autoSpaceDN/>
              <w:bidi w:val="0"/>
              <w:adjustRightInd/>
              <w:snapToGrid w:val="0"/>
              <w:spacing w:line="360" w:lineRule="atLeas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3.技术路线：每满足一项评审标准得1分，满分3分；</w:t>
            </w:r>
          </w:p>
          <w:p w14:paraId="252971B6">
            <w:pPr>
              <w:keepNext w:val="0"/>
              <w:keepLines w:val="0"/>
              <w:pageBreakBefore w:val="0"/>
              <w:widowControl w:val="0"/>
              <w:kinsoku/>
              <w:wordWrap/>
              <w:overflowPunct/>
              <w:topLinePunct w:val="0"/>
              <w:autoSpaceDE/>
              <w:autoSpaceDN/>
              <w:bidi w:val="0"/>
              <w:adjustRightInd/>
              <w:snapToGrid w:val="0"/>
              <w:spacing w:line="360" w:lineRule="atLeas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4.服务团队：每满足一项评审标准得1分，满分3分；</w:t>
            </w:r>
          </w:p>
          <w:p w14:paraId="5967B247">
            <w:pPr>
              <w:keepNext w:val="0"/>
              <w:keepLines w:val="0"/>
              <w:pageBreakBefore w:val="0"/>
              <w:widowControl w:val="0"/>
              <w:kinsoku/>
              <w:wordWrap/>
              <w:overflowPunct/>
              <w:topLinePunct w:val="0"/>
              <w:autoSpaceDE/>
              <w:autoSpaceDN/>
              <w:bidi w:val="0"/>
              <w:adjustRightInd/>
              <w:snapToGrid w:val="0"/>
              <w:spacing w:line="360" w:lineRule="atLeas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5.预期成果：每满足一项评审标准得1分，满分3分；</w:t>
            </w:r>
          </w:p>
          <w:p w14:paraId="2867833A">
            <w:pPr>
              <w:keepNext w:val="0"/>
              <w:keepLines w:val="0"/>
              <w:pageBreakBefore w:val="0"/>
              <w:widowControl w:val="0"/>
              <w:kinsoku/>
              <w:wordWrap/>
              <w:overflowPunct/>
              <w:topLinePunct w:val="0"/>
              <w:autoSpaceDE/>
              <w:autoSpaceDN/>
              <w:bidi w:val="0"/>
              <w:adjustRightInd/>
              <w:snapToGrid w:val="0"/>
              <w:spacing w:line="360" w:lineRule="atLeas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6.成果应用：每满足一项评审标准得1分，满分3分；</w:t>
            </w:r>
          </w:p>
          <w:p w14:paraId="3FEB5209">
            <w:pPr>
              <w:keepNext w:val="0"/>
              <w:keepLines w:val="0"/>
              <w:pageBreakBefore w:val="0"/>
              <w:widowControl w:val="0"/>
              <w:kinsoku/>
              <w:wordWrap/>
              <w:overflowPunct/>
              <w:topLinePunct w:val="0"/>
              <w:autoSpaceDE/>
              <w:autoSpaceDN/>
              <w:bidi w:val="0"/>
              <w:adjustRightInd/>
              <w:snapToGrid w:val="0"/>
              <w:spacing w:line="320" w:lineRule="atLeas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根据每个评审标准的详实、完整程度，自主赋分，满分18分。</w:t>
            </w:r>
          </w:p>
        </w:tc>
      </w:tr>
      <w:tr w14:paraId="19122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8" w:hRule="atLeast"/>
          <w:tblHeader/>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14:paraId="4B21820C">
            <w:pPr>
              <w:pStyle w:val="9"/>
              <w:keepNext w:val="0"/>
              <w:keepLines w:val="0"/>
              <w:pageBreakBefore w:val="0"/>
              <w:wordWrap/>
              <w:overflowPunct/>
              <w:topLinePunct w:val="0"/>
              <w:bidi w:val="0"/>
              <w:snapToGrid w:val="0"/>
              <w:spacing w:after="0" w:line="340" w:lineRule="exact"/>
              <w:jc w:val="center"/>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rPr>
              <w:t>4</w:t>
            </w:r>
          </w:p>
        </w:tc>
        <w:tc>
          <w:tcPr>
            <w:tcW w:w="1256" w:type="dxa"/>
            <w:tcBorders>
              <w:top w:val="single" w:color="auto" w:sz="4" w:space="0"/>
              <w:left w:val="single" w:color="auto" w:sz="4" w:space="0"/>
              <w:bottom w:val="single" w:color="auto" w:sz="4" w:space="0"/>
              <w:right w:val="single" w:color="auto" w:sz="4" w:space="0"/>
            </w:tcBorders>
            <w:noWrap w:val="0"/>
            <w:vAlign w:val="center"/>
          </w:tcPr>
          <w:p w14:paraId="596F2D9A">
            <w:pPr>
              <w:pStyle w:val="9"/>
              <w:keepNext w:val="0"/>
              <w:keepLines w:val="0"/>
              <w:pageBreakBefore w:val="0"/>
              <w:wordWrap/>
              <w:overflowPunct/>
              <w:topLinePunct w:val="0"/>
              <w:bidi w:val="0"/>
              <w:snapToGrid w:val="0"/>
              <w:spacing w:after="0" w:line="340" w:lineRule="exact"/>
              <w:jc w:val="center"/>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进度保障方案</w:t>
            </w:r>
          </w:p>
        </w:tc>
        <w:tc>
          <w:tcPr>
            <w:tcW w:w="876" w:type="dxa"/>
            <w:tcBorders>
              <w:top w:val="single" w:color="auto" w:sz="4" w:space="0"/>
              <w:left w:val="single" w:color="auto" w:sz="4" w:space="0"/>
              <w:bottom w:val="single" w:color="auto" w:sz="4" w:space="0"/>
              <w:right w:val="single" w:color="auto" w:sz="4" w:space="0"/>
            </w:tcBorders>
            <w:noWrap w:val="0"/>
            <w:vAlign w:val="center"/>
          </w:tcPr>
          <w:p w14:paraId="292C6B28">
            <w:pPr>
              <w:pStyle w:val="9"/>
              <w:keepNext w:val="0"/>
              <w:keepLines w:val="0"/>
              <w:pageBreakBefore w:val="0"/>
              <w:wordWrap/>
              <w:overflowPunct/>
              <w:topLinePunct w:val="0"/>
              <w:bidi w:val="0"/>
              <w:snapToGrid w:val="0"/>
              <w:spacing w:after="0" w:line="340" w:lineRule="exact"/>
              <w:jc w:val="center"/>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6</w:t>
            </w:r>
            <w:r>
              <w:rPr>
                <w:rFonts w:hint="eastAsia" w:ascii="华文仿宋" w:hAnsi="华文仿宋" w:eastAsia="华文仿宋" w:cs="华文仿宋"/>
                <w:color w:val="auto"/>
                <w:sz w:val="24"/>
                <w:szCs w:val="24"/>
                <w:highlight w:val="none"/>
                <w:lang w:eastAsia="zh-CN"/>
              </w:rPr>
              <w:t>分</w:t>
            </w:r>
          </w:p>
        </w:tc>
        <w:tc>
          <w:tcPr>
            <w:tcW w:w="6288" w:type="dxa"/>
            <w:tcBorders>
              <w:top w:val="single" w:color="auto" w:sz="4" w:space="0"/>
              <w:left w:val="single" w:color="auto" w:sz="4" w:space="0"/>
              <w:bottom w:val="single" w:color="auto" w:sz="4" w:space="0"/>
              <w:right w:val="single" w:color="auto" w:sz="4" w:space="0"/>
            </w:tcBorders>
            <w:noWrap w:val="0"/>
            <w:vAlign w:val="center"/>
          </w:tcPr>
          <w:p w14:paraId="102D9DCB">
            <w:pPr>
              <w:keepNext w:val="0"/>
              <w:keepLines w:val="0"/>
              <w:pageBreakBefore w:val="0"/>
              <w:widowControl/>
              <w:tabs>
                <w:tab w:val="left" w:pos="547"/>
              </w:tabs>
              <w:wordWrap/>
              <w:overflowPunct/>
              <w:topLinePunct w:val="0"/>
              <w:autoSpaceDE w:val="0"/>
              <w:autoSpaceDN w:val="0"/>
              <w:bidi w:val="0"/>
              <w:adjustRightInd w:val="0"/>
              <w:snapToGrid w:val="0"/>
              <w:spacing w:line="340" w:lineRule="exact"/>
              <w:rPr>
                <w:rFonts w:hint="eastAsia" w:ascii="华文仿宋" w:hAnsi="华文仿宋" w:eastAsia="华文仿宋" w:cs="华文仿宋"/>
                <w:b/>
                <w:bCs w:val="0"/>
                <w:color w:val="auto"/>
                <w:sz w:val="24"/>
                <w:szCs w:val="24"/>
                <w:highlight w:val="none"/>
                <w:lang w:eastAsia="zh-CN"/>
              </w:rPr>
            </w:pPr>
            <w:r>
              <w:rPr>
                <w:rFonts w:hint="eastAsia" w:ascii="华文仿宋" w:hAnsi="华文仿宋" w:eastAsia="华文仿宋" w:cs="华文仿宋"/>
                <w:b/>
                <w:bCs w:val="0"/>
                <w:color w:val="auto"/>
                <w:sz w:val="24"/>
                <w:szCs w:val="24"/>
                <w:highlight w:val="none"/>
                <w:lang w:eastAsia="zh-CN"/>
              </w:rPr>
              <w:t>一、评审内容</w:t>
            </w:r>
          </w:p>
          <w:p w14:paraId="02FFFD5D">
            <w:pPr>
              <w:keepNext w:val="0"/>
              <w:keepLines w:val="0"/>
              <w:pageBreakBefore w:val="0"/>
              <w:widowControl/>
              <w:tabs>
                <w:tab w:val="left" w:pos="547"/>
              </w:tabs>
              <w:wordWrap/>
              <w:overflowPunct/>
              <w:topLinePunct w:val="0"/>
              <w:autoSpaceDE w:val="0"/>
              <w:autoSpaceDN w:val="0"/>
              <w:bidi w:val="0"/>
              <w:adjustRightInd w:val="0"/>
              <w:snapToGrid w:val="0"/>
              <w:spacing w:line="340" w:lineRule="exact"/>
              <w:rPr>
                <w:rFonts w:hint="eastAsia" w:ascii="华文仿宋" w:hAnsi="华文仿宋" w:eastAsia="华文仿宋" w:cs="华文仿宋"/>
                <w:bCs/>
                <w:color w:val="auto"/>
                <w:sz w:val="24"/>
                <w:szCs w:val="24"/>
                <w:highlight w:val="none"/>
                <w:lang w:val="en-US" w:eastAsia="zh-CN"/>
              </w:rPr>
            </w:pPr>
            <w:r>
              <w:rPr>
                <w:rFonts w:hint="eastAsia" w:ascii="华文仿宋" w:hAnsi="华文仿宋" w:eastAsia="华文仿宋" w:cs="华文仿宋"/>
                <w:bCs/>
                <w:color w:val="auto"/>
                <w:sz w:val="24"/>
                <w:szCs w:val="24"/>
                <w:highlight w:val="none"/>
                <w:lang w:val="en-US" w:eastAsia="zh-CN"/>
              </w:rPr>
              <w:t>针对本项目提出适用于本项目的进度保障方案，方案包括：</w:t>
            </w:r>
            <w:r>
              <w:rPr>
                <w:rFonts w:hint="eastAsia" w:ascii="华文仿宋" w:hAnsi="华文仿宋" w:eastAsia="华文仿宋" w:cs="华文仿宋"/>
                <w:b w:val="0"/>
                <w:bCs/>
                <w:color w:val="auto"/>
                <w:sz w:val="24"/>
                <w:szCs w:val="24"/>
                <w:highlight w:val="none"/>
                <w:lang w:eastAsia="zh-CN"/>
              </w:rPr>
              <w:t>①</w:t>
            </w:r>
            <w:r>
              <w:rPr>
                <w:rFonts w:hint="eastAsia" w:ascii="华文仿宋" w:hAnsi="华文仿宋" w:eastAsia="华文仿宋" w:cs="华文仿宋"/>
                <w:bCs/>
                <w:color w:val="auto"/>
                <w:sz w:val="24"/>
                <w:szCs w:val="24"/>
                <w:highlight w:val="none"/>
                <w:lang w:val="en-US" w:eastAsia="zh-CN"/>
              </w:rPr>
              <w:t>项目实施进度计划；②项目进度保障措施。</w:t>
            </w:r>
          </w:p>
          <w:p w14:paraId="6AA204E3">
            <w:pPr>
              <w:keepNext w:val="0"/>
              <w:keepLines w:val="0"/>
              <w:pageBreakBefore w:val="0"/>
              <w:widowControl/>
              <w:tabs>
                <w:tab w:val="left" w:pos="547"/>
              </w:tabs>
              <w:wordWrap/>
              <w:overflowPunct/>
              <w:topLinePunct w:val="0"/>
              <w:autoSpaceDE w:val="0"/>
              <w:autoSpaceDN w:val="0"/>
              <w:bidi w:val="0"/>
              <w:adjustRightInd w:val="0"/>
              <w:snapToGrid w:val="0"/>
              <w:spacing w:line="340" w:lineRule="exact"/>
              <w:rPr>
                <w:rFonts w:hint="eastAsia" w:ascii="华文仿宋" w:hAnsi="华文仿宋" w:eastAsia="华文仿宋" w:cs="华文仿宋"/>
                <w:b/>
                <w:bCs w:val="0"/>
                <w:color w:val="auto"/>
                <w:sz w:val="24"/>
                <w:szCs w:val="24"/>
                <w:highlight w:val="none"/>
                <w:lang w:val="en-US" w:eastAsia="zh-CN"/>
              </w:rPr>
            </w:pPr>
            <w:r>
              <w:rPr>
                <w:rFonts w:hint="eastAsia" w:ascii="华文仿宋" w:hAnsi="华文仿宋" w:eastAsia="华文仿宋" w:cs="华文仿宋"/>
                <w:b/>
                <w:bCs w:val="0"/>
                <w:color w:val="auto"/>
                <w:sz w:val="24"/>
                <w:szCs w:val="24"/>
                <w:highlight w:val="none"/>
                <w:lang w:val="en-US" w:eastAsia="zh-CN"/>
              </w:rPr>
              <w:t>二、评审标准</w:t>
            </w:r>
          </w:p>
          <w:p w14:paraId="779361EE">
            <w:pPr>
              <w:keepNext w:val="0"/>
              <w:keepLines w:val="0"/>
              <w:pageBreakBefore w:val="0"/>
              <w:widowControl/>
              <w:tabs>
                <w:tab w:val="left" w:pos="547"/>
              </w:tabs>
              <w:wordWrap/>
              <w:overflowPunct/>
              <w:topLinePunct w:val="0"/>
              <w:autoSpaceDE w:val="0"/>
              <w:autoSpaceDN w:val="0"/>
              <w:bidi w:val="0"/>
              <w:adjustRightInd w:val="0"/>
              <w:snapToGrid w:val="0"/>
              <w:spacing w:line="340" w:lineRule="exact"/>
              <w:rPr>
                <w:rFonts w:hint="eastAsia" w:ascii="华文仿宋" w:hAnsi="华文仿宋" w:eastAsia="华文仿宋" w:cs="华文仿宋"/>
                <w:bCs/>
                <w:color w:val="auto"/>
                <w:sz w:val="24"/>
                <w:szCs w:val="24"/>
                <w:highlight w:val="none"/>
                <w:lang w:val="en-US" w:eastAsia="zh-CN"/>
              </w:rPr>
            </w:pPr>
            <w:r>
              <w:rPr>
                <w:rFonts w:hint="eastAsia" w:ascii="华文仿宋" w:hAnsi="华文仿宋" w:eastAsia="华文仿宋" w:cs="华文仿宋"/>
                <w:bCs/>
                <w:color w:val="auto"/>
                <w:sz w:val="24"/>
                <w:szCs w:val="24"/>
                <w:highlight w:val="none"/>
                <w:lang w:val="en-US" w:eastAsia="zh-CN"/>
              </w:rPr>
              <w:t>1.完整性：方案必须全面，对评审内容中的各项要求有详细描述；</w:t>
            </w:r>
          </w:p>
          <w:p w14:paraId="78F3AA5D">
            <w:pPr>
              <w:keepNext w:val="0"/>
              <w:keepLines w:val="0"/>
              <w:pageBreakBefore w:val="0"/>
              <w:widowControl/>
              <w:tabs>
                <w:tab w:val="left" w:pos="547"/>
              </w:tabs>
              <w:wordWrap/>
              <w:overflowPunct/>
              <w:topLinePunct w:val="0"/>
              <w:autoSpaceDE w:val="0"/>
              <w:autoSpaceDN w:val="0"/>
              <w:bidi w:val="0"/>
              <w:adjustRightInd w:val="0"/>
              <w:snapToGrid w:val="0"/>
              <w:spacing w:line="340" w:lineRule="exact"/>
              <w:rPr>
                <w:rFonts w:hint="eastAsia" w:ascii="华文仿宋" w:hAnsi="华文仿宋" w:eastAsia="华文仿宋" w:cs="华文仿宋"/>
                <w:bCs/>
                <w:color w:val="auto"/>
                <w:sz w:val="24"/>
                <w:szCs w:val="24"/>
                <w:highlight w:val="none"/>
                <w:lang w:val="en-US" w:eastAsia="zh-CN"/>
              </w:rPr>
            </w:pPr>
            <w:r>
              <w:rPr>
                <w:rFonts w:hint="eastAsia" w:ascii="华文仿宋" w:hAnsi="华文仿宋" w:eastAsia="华文仿宋" w:cs="华文仿宋"/>
                <w:bCs/>
                <w:color w:val="auto"/>
                <w:sz w:val="24"/>
                <w:szCs w:val="24"/>
                <w:highlight w:val="none"/>
                <w:lang w:val="en-US" w:eastAsia="zh-CN"/>
              </w:rPr>
              <w:t>2.可实施性：切合本项目实际情况，提出步骤清晰、明确的保障方案；</w:t>
            </w:r>
          </w:p>
          <w:p w14:paraId="78462254">
            <w:pPr>
              <w:keepNext w:val="0"/>
              <w:keepLines w:val="0"/>
              <w:pageBreakBefore w:val="0"/>
              <w:widowControl/>
              <w:tabs>
                <w:tab w:val="left" w:pos="547"/>
              </w:tabs>
              <w:wordWrap/>
              <w:overflowPunct/>
              <w:topLinePunct w:val="0"/>
              <w:autoSpaceDE w:val="0"/>
              <w:autoSpaceDN w:val="0"/>
              <w:bidi w:val="0"/>
              <w:adjustRightInd w:val="0"/>
              <w:snapToGrid w:val="0"/>
              <w:spacing w:line="340" w:lineRule="exact"/>
              <w:rPr>
                <w:rFonts w:hint="eastAsia" w:ascii="华文仿宋" w:hAnsi="华文仿宋" w:eastAsia="华文仿宋" w:cs="华文仿宋"/>
                <w:bCs/>
                <w:color w:val="auto"/>
                <w:sz w:val="24"/>
                <w:szCs w:val="24"/>
                <w:highlight w:val="none"/>
                <w:lang w:val="en-US" w:eastAsia="zh-CN"/>
              </w:rPr>
            </w:pPr>
            <w:r>
              <w:rPr>
                <w:rFonts w:hint="eastAsia" w:ascii="华文仿宋" w:hAnsi="华文仿宋" w:eastAsia="华文仿宋" w:cs="华文仿宋"/>
                <w:bCs/>
                <w:color w:val="auto"/>
                <w:sz w:val="24"/>
                <w:szCs w:val="24"/>
                <w:highlight w:val="none"/>
                <w:lang w:val="en-US" w:eastAsia="zh-CN"/>
              </w:rPr>
              <w:t>3.合理性：方案的制定基于合理的任务分解，各任务的时间估算准确，考虑了资源的可用性和任务之间的逻辑关系。</w:t>
            </w:r>
          </w:p>
          <w:p w14:paraId="4170B7BD">
            <w:pPr>
              <w:keepNext w:val="0"/>
              <w:keepLines w:val="0"/>
              <w:pageBreakBefore w:val="0"/>
              <w:widowControl/>
              <w:tabs>
                <w:tab w:val="left" w:pos="547"/>
              </w:tabs>
              <w:wordWrap/>
              <w:overflowPunct/>
              <w:topLinePunct w:val="0"/>
              <w:autoSpaceDE w:val="0"/>
              <w:autoSpaceDN w:val="0"/>
              <w:bidi w:val="0"/>
              <w:adjustRightInd w:val="0"/>
              <w:snapToGrid w:val="0"/>
              <w:spacing w:line="340" w:lineRule="exact"/>
              <w:rPr>
                <w:rFonts w:hint="eastAsia" w:ascii="华文仿宋" w:hAnsi="华文仿宋" w:eastAsia="华文仿宋" w:cs="华文仿宋"/>
                <w:b/>
                <w:bCs w:val="0"/>
                <w:color w:val="auto"/>
                <w:sz w:val="24"/>
                <w:szCs w:val="24"/>
                <w:highlight w:val="none"/>
              </w:rPr>
            </w:pPr>
            <w:r>
              <w:rPr>
                <w:rFonts w:hint="eastAsia" w:ascii="华文仿宋" w:hAnsi="华文仿宋" w:eastAsia="华文仿宋" w:cs="华文仿宋"/>
                <w:b/>
                <w:bCs w:val="0"/>
                <w:color w:val="auto"/>
                <w:sz w:val="24"/>
                <w:szCs w:val="24"/>
                <w:highlight w:val="none"/>
                <w:lang w:val="en-US" w:eastAsia="zh-CN"/>
              </w:rPr>
              <w:t>三、</w:t>
            </w:r>
            <w:r>
              <w:rPr>
                <w:rFonts w:hint="eastAsia" w:ascii="华文仿宋" w:hAnsi="华文仿宋" w:eastAsia="华文仿宋" w:cs="华文仿宋"/>
                <w:b/>
                <w:bCs w:val="0"/>
                <w:color w:val="auto"/>
                <w:sz w:val="24"/>
                <w:szCs w:val="24"/>
                <w:highlight w:val="none"/>
              </w:rPr>
              <w:t>赋分标准（满分</w:t>
            </w:r>
            <w:r>
              <w:rPr>
                <w:rFonts w:hint="eastAsia" w:ascii="华文仿宋" w:hAnsi="华文仿宋" w:eastAsia="华文仿宋" w:cs="华文仿宋"/>
                <w:b/>
                <w:bCs w:val="0"/>
                <w:color w:val="auto"/>
                <w:sz w:val="24"/>
                <w:szCs w:val="24"/>
                <w:highlight w:val="none"/>
                <w:lang w:val="en-US" w:eastAsia="zh-CN"/>
              </w:rPr>
              <w:t>6</w:t>
            </w:r>
            <w:r>
              <w:rPr>
                <w:rFonts w:hint="eastAsia" w:ascii="华文仿宋" w:hAnsi="华文仿宋" w:eastAsia="华文仿宋" w:cs="华文仿宋"/>
                <w:b/>
                <w:bCs w:val="0"/>
                <w:color w:val="auto"/>
                <w:sz w:val="24"/>
                <w:szCs w:val="24"/>
                <w:highlight w:val="none"/>
              </w:rPr>
              <w:t>分）</w:t>
            </w:r>
          </w:p>
          <w:p w14:paraId="0EF4F389">
            <w:pPr>
              <w:keepNext w:val="0"/>
              <w:keepLines w:val="0"/>
              <w:pageBreakBefore w:val="0"/>
              <w:widowControl/>
              <w:tabs>
                <w:tab w:val="left" w:pos="547"/>
              </w:tabs>
              <w:wordWrap/>
              <w:overflowPunct/>
              <w:topLinePunct w:val="0"/>
              <w:autoSpaceDE w:val="0"/>
              <w:autoSpaceDN w:val="0"/>
              <w:bidi w:val="0"/>
              <w:adjustRightInd w:val="0"/>
              <w:snapToGrid w:val="0"/>
              <w:spacing w:line="340" w:lineRule="exact"/>
              <w:rPr>
                <w:rFonts w:hint="eastAsia" w:ascii="华文仿宋" w:hAnsi="华文仿宋" w:eastAsia="华文仿宋" w:cs="华文仿宋"/>
                <w:bCs/>
                <w:color w:val="auto"/>
                <w:sz w:val="24"/>
                <w:szCs w:val="24"/>
                <w:highlight w:val="none"/>
                <w:lang w:val="en-US" w:eastAsia="zh-CN"/>
              </w:rPr>
            </w:pPr>
            <w:r>
              <w:rPr>
                <w:rFonts w:hint="eastAsia" w:ascii="华文仿宋" w:hAnsi="华文仿宋" w:eastAsia="华文仿宋" w:cs="华文仿宋"/>
                <w:bCs/>
                <w:color w:val="auto"/>
                <w:sz w:val="24"/>
                <w:szCs w:val="24"/>
                <w:highlight w:val="none"/>
                <w:lang w:val="en-US" w:eastAsia="zh-CN"/>
              </w:rPr>
              <w:t>1.项目实施进度计划：每满足一项</w:t>
            </w:r>
            <w:r>
              <w:rPr>
                <w:rFonts w:hint="eastAsia" w:ascii="华文仿宋" w:hAnsi="华文仿宋" w:eastAsia="华文仿宋" w:cs="华文仿宋"/>
                <w:color w:val="auto"/>
                <w:sz w:val="24"/>
                <w:szCs w:val="24"/>
                <w:highlight w:val="none"/>
                <w:lang w:val="en-US" w:eastAsia="zh-CN"/>
              </w:rPr>
              <w:t>评审标准</w:t>
            </w:r>
            <w:r>
              <w:rPr>
                <w:rFonts w:hint="eastAsia" w:ascii="华文仿宋" w:hAnsi="华文仿宋" w:eastAsia="华文仿宋" w:cs="华文仿宋"/>
                <w:bCs/>
                <w:color w:val="auto"/>
                <w:sz w:val="24"/>
                <w:szCs w:val="24"/>
                <w:highlight w:val="none"/>
                <w:lang w:val="en-US" w:eastAsia="zh-CN"/>
              </w:rPr>
              <w:t>得1分，满分3分；</w:t>
            </w:r>
          </w:p>
          <w:p w14:paraId="04A523B3">
            <w:pPr>
              <w:keepNext w:val="0"/>
              <w:keepLines w:val="0"/>
              <w:pageBreakBefore w:val="0"/>
              <w:widowControl/>
              <w:tabs>
                <w:tab w:val="left" w:pos="547"/>
              </w:tabs>
              <w:wordWrap/>
              <w:overflowPunct/>
              <w:topLinePunct w:val="0"/>
              <w:autoSpaceDE w:val="0"/>
              <w:autoSpaceDN w:val="0"/>
              <w:bidi w:val="0"/>
              <w:adjustRightInd w:val="0"/>
              <w:snapToGrid w:val="0"/>
              <w:spacing w:line="340" w:lineRule="exac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bCs/>
                <w:color w:val="auto"/>
                <w:sz w:val="24"/>
                <w:szCs w:val="24"/>
                <w:highlight w:val="none"/>
                <w:lang w:val="en-US" w:eastAsia="zh-CN"/>
              </w:rPr>
              <w:t>2.项目进度保障措施：每满足一项</w:t>
            </w:r>
            <w:r>
              <w:rPr>
                <w:rFonts w:hint="eastAsia" w:ascii="华文仿宋" w:hAnsi="华文仿宋" w:eastAsia="华文仿宋" w:cs="华文仿宋"/>
                <w:color w:val="auto"/>
                <w:sz w:val="24"/>
                <w:szCs w:val="24"/>
                <w:highlight w:val="none"/>
                <w:lang w:val="en-US" w:eastAsia="zh-CN"/>
              </w:rPr>
              <w:t>评审标准</w:t>
            </w:r>
            <w:r>
              <w:rPr>
                <w:rFonts w:hint="eastAsia" w:ascii="华文仿宋" w:hAnsi="华文仿宋" w:eastAsia="华文仿宋" w:cs="华文仿宋"/>
                <w:bCs/>
                <w:color w:val="auto"/>
                <w:sz w:val="24"/>
                <w:szCs w:val="24"/>
                <w:highlight w:val="none"/>
                <w:lang w:val="en-US" w:eastAsia="zh-CN"/>
              </w:rPr>
              <w:t>得1分，满分3分。</w:t>
            </w:r>
          </w:p>
        </w:tc>
      </w:tr>
      <w:tr w14:paraId="2108B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14:paraId="14385A55">
            <w:pPr>
              <w:keepNext w:val="0"/>
              <w:keepLines w:val="0"/>
              <w:pageBreakBefore w:val="0"/>
              <w:kinsoku/>
              <w:wordWrap/>
              <w:overflowPunct/>
              <w:topLinePunct w:val="0"/>
              <w:autoSpaceDE/>
              <w:autoSpaceDN/>
              <w:bidi w:val="0"/>
              <w:adjustRightInd/>
              <w:snapToGrid w:val="0"/>
              <w:spacing w:line="300" w:lineRule="exact"/>
              <w:jc w:val="center"/>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5</w:t>
            </w:r>
          </w:p>
        </w:tc>
        <w:tc>
          <w:tcPr>
            <w:tcW w:w="1256" w:type="dxa"/>
            <w:tcBorders>
              <w:top w:val="single" w:color="auto" w:sz="4" w:space="0"/>
              <w:left w:val="single" w:color="auto" w:sz="4" w:space="0"/>
              <w:bottom w:val="single" w:color="auto" w:sz="4" w:space="0"/>
              <w:right w:val="single" w:color="auto" w:sz="4" w:space="0"/>
            </w:tcBorders>
            <w:noWrap w:val="0"/>
            <w:vAlign w:val="center"/>
          </w:tcPr>
          <w:p w14:paraId="70EF9430">
            <w:pPr>
              <w:keepNext w:val="0"/>
              <w:keepLines w:val="0"/>
              <w:pageBreakBefore w:val="0"/>
              <w:kinsoku/>
              <w:wordWrap/>
              <w:overflowPunct/>
              <w:topLinePunct w:val="0"/>
              <w:autoSpaceDE/>
              <w:autoSpaceDN/>
              <w:bidi w:val="0"/>
              <w:adjustRightInd/>
              <w:snapToGrid w:val="0"/>
              <w:spacing w:line="300" w:lineRule="exact"/>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lang w:eastAsia="zh-CN"/>
              </w:rPr>
              <w:t>管理制度体系</w:t>
            </w:r>
          </w:p>
        </w:tc>
        <w:tc>
          <w:tcPr>
            <w:tcW w:w="876" w:type="dxa"/>
            <w:tcBorders>
              <w:top w:val="single" w:color="auto" w:sz="4" w:space="0"/>
              <w:left w:val="single" w:color="auto" w:sz="4" w:space="0"/>
              <w:bottom w:val="single" w:color="auto" w:sz="4" w:space="0"/>
              <w:right w:val="single" w:color="auto" w:sz="4" w:space="0"/>
            </w:tcBorders>
            <w:noWrap w:val="0"/>
            <w:vAlign w:val="center"/>
          </w:tcPr>
          <w:p w14:paraId="47BDE9BC">
            <w:pPr>
              <w:keepNext w:val="0"/>
              <w:keepLines w:val="0"/>
              <w:pageBreakBefore w:val="0"/>
              <w:kinsoku/>
              <w:wordWrap/>
              <w:overflowPunct/>
              <w:topLinePunct w:val="0"/>
              <w:autoSpaceDE/>
              <w:autoSpaceDN/>
              <w:bidi w:val="0"/>
              <w:adjustRightInd/>
              <w:snapToGrid w:val="0"/>
              <w:spacing w:line="300" w:lineRule="exact"/>
              <w:jc w:val="center"/>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4分</w:t>
            </w:r>
          </w:p>
        </w:tc>
        <w:tc>
          <w:tcPr>
            <w:tcW w:w="6288" w:type="dxa"/>
            <w:tcBorders>
              <w:top w:val="single" w:color="auto" w:sz="4" w:space="0"/>
              <w:left w:val="single" w:color="auto" w:sz="4" w:space="0"/>
              <w:bottom w:val="single" w:color="auto" w:sz="4" w:space="0"/>
              <w:right w:val="single" w:color="auto" w:sz="4" w:space="0"/>
            </w:tcBorders>
            <w:noWrap w:val="0"/>
            <w:vAlign w:val="top"/>
          </w:tcPr>
          <w:p w14:paraId="013753C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华文仿宋" w:hAnsi="华文仿宋" w:eastAsia="华文仿宋" w:cs="华文仿宋"/>
                <w:b/>
                <w:bCs/>
                <w:color w:val="auto"/>
                <w:sz w:val="24"/>
                <w:szCs w:val="24"/>
                <w:highlight w:val="none"/>
                <w:lang w:eastAsia="zh-CN"/>
              </w:rPr>
            </w:pPr>
          </w:p>
          <w:p w14:paraId="21B5B8A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华文仿宋" w:hAnsi="华文仿宋" w:eastAsia="华文仿宋" w:cs="华文仿宋"/>
                <w:b/>
                <w:bCs/>
                <w:color w:val="auto"/>
                <w:sz w:val="24"/>
                <w:szCs w:val="24"/>
                <w:highlight w:val="none"/>
                <w:lang w:eastAsia="zh-CN"/>
              </w:rPr>
            </w:pPr>
            <w:r>
              <w:rPr>
                <w:rFonts w:hint="eastAsia" w:ascii="华文仿宋" w:hAnsi="华文仿宋" w:eastAsia="华文仿宋" w:cs="华文仿宋"/>
                <w:b/>
                <w:bCs/>
                <w:color w:val="auto"/>
                <w:sz w:val="24"/>
                <w:szCs w:val="24"/>
                <w:highlight w:val="none"/>
                <w:lang w:eastAsia="zh-CN"/>
              </w:rPr>
              <w:t>一、评审内容</w:t>
            </w:r>
          </w:p>
          <w:p w14:paraId="4DDE881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sz w:val="24"/>
                <w:szCs w:val="24"/>
                <w:highlight w:val="none"/>
                <w:lang w:eastAsia="zh-CN"/>
              </w:rPr>
              <w:t>投标人针对本项目具有良好的管理制度体系，公司各项管理制度健全完善，合理规范，包括但不限于：人事制度</w:t>
            </w:r>
            <w:r>
              <w:rPr>
                <w:rFonts w:hint="eastAsia" w:ascii="华文仿宋" w:hAnsi="华文仿宋" w:eastAsia="华文仿宋" w:cs="华文仿宋"/>
                <w:color w:val="auto"/>
                <w:sz w:val="24"/>
                <w:szCs w:val="24"/>
                <w:highlight w:val="none"/>
                <w:lang w:val="en-US" w:eastAsia="zh-CN"/>
              </w:rPr>
              <w:t>和</w:t>
            </w:r>
            <w:r>
              <w:rPr>
                <w:rFonts w:hint="eastAsia" w:ascii="华文仿宋" w:hAnsi="华文仿宋" w:eastAsia="华文仿宋" w:cs="华文仿宋"/>
                <w:color w:val="auto"/>
                <w:sz w:val="24"/>
                <w:szCs w:val="24"/>
                <w:highlight w:val="none"/>
                <w:lang w:eastAsia="zh-CN"/>
              </w:rPr>
              <w:t>保密制度等。</w:t>
            </w:r>
          </w:p>
          <w:p w14:paraId="59A1AC5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华文仿宋" w:hAnsi="华文仿宋" w:eastAsia="华文仿宋" w:cs="华文仿宋"/>
                <w:b/>
                <w:bCs/>
                <w:color w:val="auto"/>
                <w:sz w:val="24"/>
                <w:szCs w:val="24"/>
                <w:highlight w:val="none"/>
                <w:lang w:eastAsia="zh-CN"/>
              </w:rPr>
            </w:pPr>
            <w:r>
              <w:rPr>
                <w:rFonts w:hint="eastAsia" w:ascii="华文仿宋" w:hAnsi="华文仿宋" w:eastAsia="华文仿宋" w:cs="华文仿宋"/>
                <w:b/>
                <w:bCs/>
                <w:color w:val="auto"/>
                <w:sz w:val="24"/>
                <w:szCs w:val="24"/>
                <w:highlight w:val="none"/>
                <w:lang w:eastAsia="zh-CN"/>
              </w:rPr>
              <w:t>二、评审标准</w:t>
            </w:r>
          </w:p>
          <w:p w14:paraId="0DEF23C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sz w:val="24"/>
                <w:szCs w:val="24"/>
                <w:highlight w:val="none"/>
                <w:lang w:eastAsia="zh-CN"/>
              </w:rPr>
              <w:t>1.完整性：公司管理制度全面、完整；</w:t>
            </w:r>
          </w:p>
          <w:p w14:paraId="4642887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sz w:val="24"/>
                <w:szCs w:val="24"/>
                <w:highlight w:val="none"/>
                <w:lang w:eastAsia="zh-CN"/>
              </w:rPr>
              <w:t>2.健全性：公司制度责任明确、要求具体。</w:t>
            </w:r>
          </w:p>
          <w:p w14:paraId="57D9E20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华文仿宋" w:hAnsi="华文仿宋" w:eastAsia="华文仿宋" w:cs="华文仿宋"/>
                <w:b/>
                <w:bCs/>
                <w:color w:val="auto"/>
                <w:sz w:val="24"/>
                <w:szCs w:val="24"/>
                <w:highlight w:val="none"/>
                <w:lang w:eastAsia="zh-CN"/>
              </w:rPr>
            </w:pPr>
            <w:r>
              <w:rPr>
                <w:rFonts w:hint="eastAsia" w:ascii="华文仿宋" w:hAnsi="华文仿宋" w:eastAsia="华文仿宋" w:cs="华文仿宋"/>
                <w:b/>
                <w:bCs/>
                <w:color w:val="auto"/>
                <w:sz w:val="24"/>
                <w:szCs w:val="24"/>
                <w:highlight w:val="none"/>
                <w:lang w:eastAsia="zh-CN"/>
              </w:rPr>
              <w:t>三、赋分标准（满分</w:t>
            </w:r>
            <w:r>
              <w:rPr>
                <w:rFonts w:hint="eastAsia" w:ascii="华文仿宋" w:hAnsi="华文仿宋" w:eastAsia="华文仿宋" w:cs="华文仿宋"/>
                <w:b/>
                <w:bCs/>
                <w:color w:val="auto"/>
                <w:sz w:val="24"/>
                <w:szCs w:val="24"/>
                <w:highlight w:val="none"/>
                <w:lang w:val="en-US" w:eastAsia="zh-CN"/>
              </w:rPr>
              <w:t>4</w:t>
            </w:r>
            <w:r>
              <w:rPr>
                <w:rFonts w:hint="eastAsia" w:ascii="华文仿宋" w:hAnsi="华文仿宋" w:eastAsia="华文仿宋" w:cs="华文仿宋"/>
                <w:b/>
                <w:bCs/>
                <w:color w:val="auto"/>
                <w:sz w:val="24"/>
                <w:szCs w:val="24"/>
                <w:highlight w:val="none"/>
                <w:lang w:eastAsia="zh-CN"/>
              </w:rPr>
              <w:t>分）</w:t>
            </w:r>
          </w:p>
          <w:p w14:paraId="3F43B24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sz w:val="24"/>
                <w:szCs w:val="24"/>
                <w:highlight w:val="none"/>
                <w:lang w:eastAsia="zh-CN"/>
              </w:rPr>
              <w:t>1.人事制度：每满足一</w:t>
            </w:r>
            <w:r>
              <w:rPr>
                <w:rFonts w:hint="eastAsia" w:ascii="华文仿宋" w:hAnsi="华文仿宋" w:eastAsia="华文仿宋" w:cs="华文仿宋"/>
                <w:color w:val="auto"/>
                <w:sz w:val="24"/>
                <w:szCs w:val="24"/>
                <w:highlight w:val="none"/>
                <w:lang w:val="en-US" w:eastAsia="zh-CN"/>
              </w:rPr>
              <w:t>项</w:t>
            </w:r>
            <w:r>
              <w:rPr>
                <w:rFonts w:hint="eastAsia" w:ascii="华文仿宋" w:hAnsi="华文仿宋" w:eastAsia="华文仿宋" w:cs="华文仿宋"/>
                <w:color w:val="auto"/>
                <w:sz w:val="24"/>
                <w:szCs w:val="24"/>
                <w:highlight w:val="none"/>
                <w:lang w:eastAsia="zh-CN"/>
              </w:rPr>
              <w:t>评审标准得</w:t>
            </w:r>
            <w:r>
              <w:rPr>
                <w:rFonts w:hint="eastAsia" w:ascii="华文仿宋" w:hAnsi="华文仿宋" w:eastAsia="华文仿宋" w:cs="华文仿宋"/>
                <w:color w:val="auto"/>
                <w:sz w:val="24"/>
                <w:szCs w:val="24"/>
                <w:highlight w:val="none"/>
                <w:lang w:val="en-US" w:eastAsia="zh-CN"/>
              </w:rPr>
              <w:t>1</w:t>
            </w:r>
            <w:r>
              <w:rPr>
                <w:rFonts w:hint="eastAsia" w:ascii="华文仿宋" w:hAnsi="华文仿宋" w:eastAsia="华文仿宋" w:cs="华文仿宋"/>
                <w:color w:val="auto"/>
                <w:sz w:val="24"/>
                <w:szCs w:val="24"/>
                <w:highlight w:val="none"/>
                <w:lang w:eastAsia="zh-CN"/>
              </w:rPr>
              <w:t>分，满分</w:t>
            </w:r>
            <w:r>
              <w:rPr>
                <w:rFonts w:hint="eastAsia" w:ascii="华文仿宋" w:hAnsi="华文仿宋" w:eastAsia="华文仿宋" w:cs="华文仿宋"/>
                <w:color w:val="auto"/>
                <w:sz w:val="24"/>
                <w:szCs w:val="24"/>
                <w:highlight w:val="none"/>
                <w:lang w:val="en-US" w:eastAsia="zh-CN"/>
              </w:rPr>
              <w:t>2</w:t>
            </w:r>
            <w:r>
              <w:rPr>
                <w:rFonts w:hint="eastAsia" w:ascii="华文仿宋" w:hAnsi="华文仿宋" w:eastAsia="华文仿宋" w:cs="华文仿宋"/>
                <w:color w:val="auto"/>
                <w:sz w:val="24"/>
                <w:szCs w:val="24"/>
                <w:highlight w:val="none"/>
                <w:lang w:eastAsia="zh-CN"/>
              </w:rPr>
              <w:t>分；</w:t>
            </w:r>
          </w:p>
          <w:p w14:paraId="1DD87B1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eastAsia="zh-CN"/>
              </w:rPr>
              <w:t>2.</w:t>
            </w:r>
            <w:r>
              <w:rPr>
                <w:rFonts w:hint="eastAsia" w:ascii="华文仿宋" w:hAnsi="华文仿宋" w:eastAsia="华文仿宋" w:cs="华文仿宋"/>
                <w:color w:val="auto"/>
                <w:sz w:val="24"/>
                <w:szCs w:val="24"/>
                <w:highlight w:val="none"/>
                <w:lang w:val="en-US" w:eastAsia="zh-CN"/>
              </w:rPr>
              <w:t>保密</w:t>
            </w:r>
            <w:r>
              <w:rPr>
                <w:rFonts w:hint="eastAsia" w:ascii="华文仿宋" w:hAnsi="华文仿宋" w:eastAsia="华文仿宋" w:cs="华文仿宋"/>
                <w:color w:val="auto"/>
                <w:sz w:val="24"/>
                <w:szCs w:val="24"/>
                <w:highlight w:val="none"/>
                <w:lang w:eastAsia="zh-CN"/>
              </w:rPr>
              <w:t>制度：每满足一</w:t>
            </w:r>
            <w:r>
              <w:rPr>
                <w:rFonts w:hint="eastAsia" w:ascii="华文仿宋" w:hAnsi="华文仿宋" w:eastAsia="华文仿宋" w:cs="华文仿宋"/>
                <w:color w:val="auto"/>
                <w:sz w:val="24"/>
                <w:szCs w:val="24"/>
                <w:highlight w:val="none"/>
                <w:lang w:val="en-US" w:eastAsia="zh-CN"/>
              </w:rPr>
              <w:t>项</w:t>
            </w:r>
            <w:r>
              <w:rPr>
                <w:rFonts w:hint="eastAsia" w:ascii="华文仿宋" w:hAnsi="华文仿宋" w:eastAsia="华文仿宋" w:cs="华文仿宋"/>
                <w:color w:val="auto"/>
                <w:sz w:val="24"/>
                <w:szCs w:val="24"/>
                <w:highlight w:val="none"/>
                <w:lang w:eastAsia="zh-CN"/>
              </w:rPr>
              <w:t xml:space="preserve">评审标准得 </w:t>
            </w:r>
            <w:r>
              <w:rPr>
                <w:rFonts w:hint="eastAsia" w:ascii="华文仿宋" w:hAnsi="华文仿宋" w:eastAsia="华文仿宋" w:cs="华文仿宋"/>
                <w:color w:val="auto"/>
                <w:sz w:val="24"/>
                <w:szCs w:val="24"/>
                <w:highlight w:val="none"/>
                <w:lang w:val="en-US" w:eastAsia="zh-CN"/>
              </w:rPr>
              <w:t>1</w:t>
            </w:r>
            <w:r>
              <w:rPr>
                <w:rFonts w:hint="eastAsia" w:ascii="华文仿宋" w:hAnsi="华文仿宋" w:eastAsia="华文仿宋" w:cs="华文仿宋"/>
                <w:color w:val="auto"/>
                <w:sz w:val="24"/>
                <w:szCs w:val="24"/>
                <w:highlight w:val="none"/>
                <w:lang w:eastAsia="zh-CN"/>
              </w:rPr>
              <w:t xml:space="preserve"> 分，满分</w:t>
            </w:r>
            <w:r>
              <w:rPr>
                <w:rFonts w:hint="eastAsia" w:ascii="华文仿宋" w:hAnsi="华文仿宋" w:eastAsia="华文仿宋" w:cs="华文仿宋"/>
                <w:color w:val="auto"/>
                <w:sz w:val="24"/>
                <w:szCs w:val="24"/>
                <w:highlight w:val="none"/>
                <w:lang w:val="en-US" w:eastAsia="zh-CN"/>
              </w:rPr>
              <w:t>2</w:t>
            </w:r>
            <w:r>
              <w:rPr>
                <w:rFonts w:hint="eastAsia" w:ascii="华文仿宋" w:hAnsi="华文仿宋" w:eastAsia="华文仿宋" w:cs="华文仿宋"/>
                <w:color w:val="auto"/>
                <w:sz w:val="24"/>
                <w:szCs w:val="24"/>
                <w:highlight w:val="none"/>
                <w:lang w:eastAsia="zh-CN"/>
              </w:rPr>
              <w:t>分。</w:t>
            </w:r>
          </w:p>
        </w:tc>
      </w:tr>
      <w:tr w14:paraId="1B8D1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14:paraId="1BF368D0">
            <w:pPr>
              <w:keepNext w:val="0"/>
              <w:keepLines w:val="0"/>
              <w:pageBreakBefore w:val="0"/>
              <w:kinsoku/>
              <w:wordWrap/>
              <w:overflowPunct/>
              <w:topLinePunct w:val="0"/>
              <w:autoSpaceDE/>
              <w:autoSpaceDN/>
              <w:bidi w:val="0"/>
              <w:adjustRightInd/>
              <w:snapToGrid w:val="0"/>
              <w:spacing w:line="300" w:lineRule="exact"/>
              <w:jc w:val="center"/>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6</w:t>
            </w:r>
          </w:p>
        </w:tc>
        <w:tc>
          <w:tcPr>
            <w:tcW w:w="1256" w:type="dxa"/>
            <w:tcBorders>
              <w:top w:val="single" w:color="auto" w:sz="4" w:space="0"/>
              <w:left w:val="single" w:color="auto" w:sz="4" w:space="0"/>
              <w:bottom w:val="single" w:color="auto" w:sz="4" w:space="0"/>
              <w:right w:val="single" w:color="auto" w:sz="4" w:space="0"/>
            </w:tcBorders>
            <w:noWrap w:val="0"/>
            <w:vAlign w:val="center"/>
          </w:tcPr>
          <w:p w14:paraId="1CC56C63">
            <w:pPr>
              <w:keepNext w:val="0"/>
              <w:keepLines w:val="0"/>
              <w:pageBreakBefore w:val="0"/>
              <w:kinsoku/>
              <w:wordWrap/>
              <w:overflowPunct/>
              <w:topLinePunct w:val="0"/>
              <w:autoSpaceDE/>
              <w:autoSpaceDN/>
              <w:bidi w:val="0"/>
              <w:adjustRightInd/>
              <w:snapToGrid w:val="0"/>
              <w:spacing w:line="300" w:lineRule="exact"/>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lang w:val="en-US" w:eastAsia="zh-CN"/>
              </w:rPr>
              <w:t>项目</w:t>
            </w:r>
            <w:r>
              <w:rPr>
                <w:rFonts w:hint="eastAsia" w:ascii="华文仿宋" w:hAnsi="华文仿宋" w:eastAsia="华文仿宋" w:cs="华文仿宋"/>
                <w:color w:val="auto"/>
                <w:sz w:val="24"/>
                <w:szCs w:val="24"/>
                <w:highlight w:val="none"/>
              </w:rPr>
              <w:t>人员配备</w:t>
            </w:r>
          </w:p>
        </w:tc>
        <w:tc>
          <w:tcPr>
            <w:tcW w:w="876" w:type="dxa"/>
            <w:tcBorders>
              <w:top w:val="single" w:color="auto" w:sz="4" w:space="0"/>
              <w:left w:val="single" w:color="auto" w:sz="4" w:space="0"/>
              <w:bottom w:val="single" w:color="auto" w:sz="4" w:space="0"/>
              <w:right w:val="single" w:color="auto" w:sz="4" w:space="0"/>
            </w:tcBorders>
            <w:noWrap w:val="0"/>
            <w:vAlign w:val="center"/>
          </w:tcPr>
          <w:p w14:paraId="3FB8578B">
            <w:pPr>
              <w:keepNext w:val="0"/>
              <w:keepLines w:val="0"/>
              <w:pageBreakBefore w:val="0"/>
              <w:kinsoku/>
              <w:wordWrap/>
              <w:overflowPunct/>
              <w:topLinePunct w:val="0"/>
              <w:autoSpaceDE/>
              <w:autoSpaceDN/>
              <w:bidi w:val="0"/>
              <w:adjustRightInd/>
              <w:snapToGrid w:val="0"/>
              <w:spacing w:line="300" w:lineRule="exact"/>
              <w:jc w:val="center"/>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8分</w:t>
            </w:r>
          </w:p>
        </w:tc>
        <w:tc>
          <w:tcPr>
            <w:tcW w:w="6288" w:type="dxa"/>
            <w:tcBorders>
              <w:top w:val="single" w:color="auto" w:sz="4" w:space="0"/>
              <w:left w:val="single" w:color="auto" w:sz="4" w:space="0"/>
              <w:bottom w:val="single" w:color="auto" w:sz="4" w:space="0"/>
              <w:right w:val="single" w:color="auto" w:sz="4" w:space="0"/>
            </w:tcBorders>
            <w:noWrap w:val="0"/>
            <w:vAlign w:val="top"/>
          </w:tcPr>
          <w:p w14:paraId="09CD273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华文仿宋" w:hAnsi="华文仿宋" w:eastAsia="华文仿宋" w:cs="华文仿宋"/>
                <w:color w:val="auto"/>
                <w:sz w:val="24"/>
                <w:szCs w:val="24"/>
                <w:highlight w:val="none"/>
                <w:lang w:val="en-US" w:eastAsia="zh-CN"/>
              </w:rPr>
            </w:pPr>
          </w:p>
          <w:p w14:paraId="6F4E6D67">
            <w:pPr>
              <w:keepNext w:val="0"/>
              <w:keepLines w:val="0"/>
              <w:pageBreakBefore w:val="0"/>
              <w:widowControl/>
              <w:kinsoku/>
              <w:wordWrap/>
              <w:overflowPunct/>
              <w:topLinePunct w:val="0"/>
              <w:autoSpaceDE/>
              <w:autoSpaceDN/>
              <w:bidi w:val="0"/>
              <w:adjustRightInd/>
              <w:snapToGrid w:val="0"/>
              <w:spacing w:line="32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拟投入本项目的</w:t>
            </w:r>
            <w:r>
              <w:rPr>
                <w:rFonts w:hint="eastAsia" w:ascii="华文仿宋" w:hAnsi="华文仿宋" w:eastAsia="华文仿宋" w:cs="华文仿宋"/>
                <w:color w:val="auto"/>
                <w:sz w:val="24"/>
                <w:szCs w:val="24"/>
                <w:highlight w:val="none"/>
                <w:lang w:eastAsia="zh-CN"/>
              </w:rPr>
              <w:t>土地估价专业人员，是指从事土地估价活动的土地估价师和国务院房地产估价师职业资格改革后的房地产估价师</w:t>
            </w:r>
            <w:r>
              <w:rPr>
                <w:rFonts w:hint="eastAsia" w:ascii="华文仿宋" w:hAnsi="华文仿宋" w:eastAsia="华文仿宋" w:cs="华文仿宋"/>
                <w:color w:val="auto"/>
                <w:sz w:val="24"/>
                <w:szCs w:val="24"/>
                <w:highlight w:val="none"/>
                <w:lang w:val="en-US" w:eastAsia="zh-CN"/>
              </w:rPr>
              <w:t>，每提供一人得1分，最高得8分。</w:t>
            </w:r>
          </w:p>
          <w:p w14:paraId="4ED8287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b/>
                <w:bCs/>
                <w:color w:val="auto"/>
                <w:sz w:val="24"/>
                <w:szCs w:val="24"/>
                <w:highlight w:val="none"/>
                <w:lang w:val="en-US" w:eastAsia="zh-CN"/>
              </w:rPr>
              <w:t>备注</w:t>
            </w:r>
            <w:r>
              <w:rPr>
                <w:rFonts w:hint="eastAsia" w:ascii="华文仿宋" w:hAnsi="华文仿宋" w:eastAsia="华文仿宋" w:cs="华文仿宋"/>
                <w:b/>
                <w:bCs/>
                <w:color w:val="auto"/>
                <w:sz w:val="24"/>
                <w:szCs w:val="24"/>
                <w:highlight w:val="none"/>
              </w:rPr>
              <w:t>：</w:t>
            </w:r>
            <w:r>
              <w:rPr>
                <w:rFonts w:hint="eastAsia" w:ascii="华文仿宋" w:hAnsi="华文仿宋" w:eastAsia="华文仿宋" w:cs="华文仿宋"/>
                <w:color w:val="auto"/>
                <w:sz w:val="24"/>
                <w:szCs w:val="24"/>
                <w:highlight w:val="none"/>
                <w:lang w:val="en-US" w:eastAsia="zh-CN"/>
              </w:rPr>
              <w:t>以上人员需提供相应的土地估价师和</w:t>
            </w:r>
            <w:r>
              <w:rPr>
                <w:rFonts w:hint="eastAsia" w:ascii="华文仿宋" w:hAnsi="华文仿宋" w:eastAsia="华文仿宋" w:cs="华文仿宋"/>
                <w:color w:val="auto"/>
                <w:sz w:val="24"/>
                <w:szCs w:val="24"/>
                <w:highlight w:val="none"/>
                <w:lang w:eastAsia="zh-CN"/>
              </w:rPr>
              <w:t>房地产</w:t>
            </w:r>
            <w:r>
              <w:rPr>
                <w:rFonts w:hint="eastAsia" w:ascii="华文仿宋" w:hAnsi="华文仿宋" w:eastAsia="华文仿宋" w:cs="华文仿宋"/>
                <w:color w:val="auto"/>
                <w:spacing w:val="-6"/>
                <w:sz w:val="24"/>
                <w:szCs w:val="24"/>
                <w:highlight w:val="none"/>
                <w:lang w:val="en-US" w:eastAsia="zh-CN"/>
              </w:rPr>
              <w:t>估价师</w:t>
            </w:r>
            <w:r>
              <w:rPr>
                <w:rFonts w:hint="eastAsia" w:ascii="华文仿宋" w:hAnsi="华文仿宋" w:eastAsia="华文仿宋" w:cs="华文仿宋"/>
                <w:color w:val="auto"/>
                <w:sz w:val="24"/>
                <w:szCs w:val="24"/>
                <w:highlight w:val="none"/>
                <w:lang w:val="en-US" w:eastAsia="zh-CN"/>
              </w:rPr>
              <w:t>资格证书。</w:t>
            </w:r>
          </w:p>
        </w:tc>
      </w:tr>
      <w:tr w14:paraId="5E15F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9"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14:paraId="591D6793">
            <w:pPr>
              <w:keepNext w:val="0"/>
              <w:keepLines w:val="0"/>
              <w:pageBreakBefore w:val="0"/>
              <w:kinsoku/>
              <w:wordWrap/>
              <w:overflowPunct/>
              <w:topLinePunct w:val="0"/>
              <w:autoSpaceDE/>
              <w:autoSpaceDN/>
              <w:bidi w:val="0"/>
              <w:adjustRightInd/>
              <w:snapToGrid w:val="0"/>
              <w:spacing w:line="300" w:lineRule="exact"/>
              <w:jc w:val="center"/>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7</w:t>
            </w:r>
          </w:p>
        </w:tc>
        <w:tc>
          <w:tcPr>
            <w:tcW w:w="1256" w:type="dxa"/>
            <w:tcBorders>
              <w:top w:val="single" w:color="auto" w:sz="4" w:space="0"/>
              <w:left w:val="single" w:color="auto" w:sz="4" w:space="0"/>
              <w:bottom w:val="single" w:color="auto" w:sz="4" w:space="0"/>
              <w:right w:val="single" w:color="auto" w:sz="4" w:space="0"/>
            </w:tcBorders>
            <w:noWrap w:val="0"/>
            <w:vAlign w:val="center"/>
          </w:tcPr>
          <w:p w14:paraId="60A393B9">
            <w:pPr>
              <w:keepNext w:val="0"/>
              <w:keepLines w:val="0"/>
              <w:pageBreakBefore w:val="0"/>
              <w:kinsoku/>
              <w:wordWrap/>
              <w:overflowPunct/>
              <w:topLinePunct w:val="0"/>
              <w:autoSpaceDE/>
              <w:autoSpaceDN/>
              <w:bidi w:val="0"/>
              <w:adjustRightInd/>
              <w:snapToGrid w:val="0"/>
              <w:spacing w:line="300" w:lineRule="exact"/>
              <w:jc w:val="center"/>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sz w:val="24"/>
                <w:szCs w:val="24"/>
                <w:highlight w:val="none"/>
              </w:rPr>
              <w:t>质量保障</w:t>
            </w:r>
            <w:r>
              <w:rPr>
                <w:rFonts w:hint="eastAsia" w:ascii="华文仿宋" w:hAnsi="华文仿宋" w:eastAsia="华文仿宋" w:cs="华文仿宋"/>
                <w:color w:val="auto"/>
                <w:sz w:val="24"/>
                <w:szCs w:val="24"/>
                <w:highlight w:val="none"/>
                <w:lang w:val="en-US" w:eastAsia="zh-CN"/>
              </w:rPr>
              <w:t>方案</w:t>
            </w:r>
          </w:p>
        </w:tc>
        <w:tc>
          <w:tcPr>
            <w:tcW w:w="876" w:type="dxa"/>
            <w:tcBorders>
              <w:top w:val="single" w:color="auto" w:sz="4" w:space="0"/>
              <w:left w:val="single" w:color="auto" w:sz="4" w:space="0"/>
              <w:bottom w:val="single" w:color="auto" w:sz="4" w:space="0"/>
              <w:right w:val="single" w:color="auto" w:sz="4" w:space="0"/>
            </w:tcBorders>
            <w:noWrap w:val="0"/>
            <w:vAlign w:val="center"/>
          </w:tcPr>
          <w:p w14:paraId="3DFF1319">
            <w:pPr>
              <w:keepNext w:val="0"/>
              <w:keepLines w:val="0"/>
              <w:pageBreakBefore w:val="0"/>
              <w:kinsoku/>
              <w:wordWrap/>
              <w:overflowPunct/>
              <w:topLinePunct w:val="0"/>
              <w:autoSpaceDE/>
              <w:autoSpaceDN/>
              <w:bidi w:val="0"/>
              <w:adjustRightInd/>
              <w:snapToGrid w:val="0"/>
              <w:spacing w:line="300" w:lineRule="exact"/>
              <w:jc w:val="center"/>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4分</w:t>
            </w:r>
          </w:p>
        </w:tc>
        <w:tc>
          <w:tcPr>
            <w:tcW w:w="6288" w:type="dxa"/>
            <w:tcBorders>
              <w:top w:val="single" w:color="auto" w:sz="4" w:space="0"/>
              <w:left w:val="single" w:color="auto" w:sz="4" w:space="0"/>
              <w:bottom w:val="single" w:color="auto" w:sz="4" w:space="0"/>
              <w:right w:val="single" w:color="auto" w:sz="4" w:space="0"/>
            </w:tcBorders>
            <w:noWrap w:val="0"/>
            <w:vAlign w:val="top"/>
          </w:tcPr>
          <w:p w14:paraId="09BE2AD9">
            <w:pPr>
              <w:keepNext w:val="0"/>
              <w:keepLines w:val="0"/>
              <w:pageBreakBefore w:val="0"/>
              <w:widowControl/>
              <w:kinsoku/>
              <w:wordWrap/>
              <w:overflowPunct/>
              <w:topLinePunct w:val="0"/>
              <w:autoSpaceDE/>
              <w:autoSpaceDN/>
              <w:bidi w:val="0"/>
              <w:adjustRightInd/>
              <w:snapToGrid w:val="0"/>
              <w:spacing w:line="300" w:lineRule="exact"/>
              <w:jc w:val="left"/>
              <w:textAlignment w:val="auto"/>
              <w:rPr>
                <w:rFonts w:hint="eastAsia" w:ascii="华文仿宋" w:hAnsi="华文仿宋" w:eastAsia="华文仿宋" w:cs="华文仿宋"/>
                <w:b/>
                <w:bCs w:val="0"/>
                <w:color w:val="auto"/>
                <w:sz w:val="24"/>
                <w:szCs w:val="24"/>
                <w:highlight w:val="none"/>
                <w:lang w:eastAsia="zh-CN"/>
              </w:rPr>
            </w:pPr>
          </w:p>
          <w:p w14:paraId="08ABA840">
            <w:pPr>
              <w:keepNext w:val="0"/>
              <w:keepLines w:val="0"/>
              <w:pageBreakBefore w:val="0"/>
              <w:widowControl/>
              <w:kinsoku/>
              <w:wordWrap/>
              <w:overflowPunct/>
              <w:topLinePunct w:val="0"/>
              <w:autoSpaceDE/>
              <w:autoSpaceDN/>
              <w:bidi w:val="0"/>
              <w:adjustRightInd/>
              <w:snapToGrid w:val="0"/>
              <w:spacing w:line="300" w:lineRule="exact"/>
              <w:jc w:val="left"/>
              <w:textAlignment w:val="auto"/>
              <w:rPr>
                <w:rFonts w:hint="eastAsia" w:ascii="华文仿宋" w:hAnsi="华文仿宋" w:eastAsia="华文仿宋" w:cs="华文仿宋"/>
                <w:b/>
                <w:bCs w:val="0"/>
                <w:color w:val="auto"/>
                <w:sz w:val="24"/>
                <w:szCs w:val="24"/>
                <w:highlight w:val="none"/>
                <w:lang w:eastAsia="zh-CN"/>
              </w:rPr>
            </w:pPr>
            <w:r>
              <w:rPr>
                <w:rFonts w:hint="eastAsia" w:ascii="华文仿宋" w:hAnsi="华文仿宋" w:eastAsia="华文仿宋" w:cs="华文仿宋"/>
                <w:b/>
                <w:bCs w:val="0"/>
                <w:color w:val="auto"/>
                <w:sz w:val="24"/>
                <w:szCs w:val="24"/>
                <w:highlight w:val="none"/>
                <w:lang w:eastAsia="zh-CN"/>
              </w:rPr>
              <w:t>一、评审内容</w:t>
            </w:r>
          </w:p>
          <w:p w14:paraId="0585CE1F">
            <w:pPr>
              <w:keepNext w:val="0"/>
              <w:keepLines w:val="0"/>
              <w:pageBreakBefore w:val="0"/>
              <w:widowControl/>
              <w:kinsoku/>
              <w:wordWrap/>
              <w:overflowPunct/>
              <w:topLinePunct w:val="0"/>
              <w:autoSpaceDE/>
              <w:autoSpaceDN/>
              <w:bidi w:val="0"/>
              <w:adjustRightInd/>
              <w:snapToGrid w:val="0"/>
              <w:spacing w:line="300" w:lineRule="exact"/>
              <w:jc w:val="left"/>
              <w:textAlignment w:val="auto"/>
              <w:rPr>
                <w:rFonts w:hint="eastAsia" w:ascii="华文仿宋" w:hAnsi="华文仿宋" w:eastAsia="华文仿宋" w:cs="华文仿宋"/>
                <w:b w:val="0"/>
                <w:bCs/>
                <w:color w:val="auto"/>
                <w:sz w:val="24"/>
                <w:szCs w:val="24"/>
                <w:highlight w:val="none"/>
                <w:lang w:eastAsia="zh-CN"/>
              </w:rPr>
            </w:pPr>
            <w:r>
              <w:rPr>
                <w:rFonts w:hint="eastAsia" w:ascii="华文仿宋" w:hAnsi="华文仿宋" w:eastAsia="华文仿宋" w:cs="华文仿宋"/>
                <w:b w:val="0"/>
                <w:bCs/>
                <w:color w:val="auto"/>
                <w:sz w:val="24"/>
                <w:szCs w:val="24"/>
                <w:highlight w:val="none"/>
                <w:lang w:eastAsia="zh-CN"/>
              </w:rPr>
              <w:t>针对本项目提出适用于本项目的</w:t>
            </w:r>
            <w:r>
              <w:rPr>
                <w:rFonts w:hint="eastAsia" w:ascii="华文仿宋" w:hAnsi="华文仿宋" w:eastAsia="华文仿宋" w:cs="华文仿宋"/>
                <w:b w:val="0"/>
                <w:bCs/>
                <w:color w:val="auto"/>
                <w:sz w:val="24"/>
                <w:szCs w:val="24"/>
                <w:highlight w:val="none"/>
                <w:lang w:val="en-US" w:eastAsia="zh-CN"/>
              </w:rPr>
              <w:t>质量保障</w:t>
            </w:r>
            <w:r>
              <w:rPr>
                <w:rFonts w:hint="eastAsia" w:ascii="华文仿宋" w:hAnsi="华文仿宋" w:eastAsia="华文仿宋" w:cs="华文仿宋"/>
                <w:b w:val="0"/>
                <w:bCs/>
                <w:color w:val="auto"/>
                <w:sz w:val="24"/>
                <w:szCs w:val="24"/>
                <w:highlight w:val="none"/>
                <w:lang w:eastAsia="zh-CN"/>
              </w:rPr>
              <w:t>方案，方案内容包括①质量</w:t>
            </w:r>
            <w:r>
              <w:rPr>
                <w:rFonts w:hint="eastAsia" w:ascii="华文仿宋" w:hAnsi="华文仿宋" w:eastAsia="华文仿宋" w:cs="华文仿宋"/>
                <w:b w:val="0"/>
                <w:bCs/>
                <w:color w:val="auto"/>
                <w:sz w:val="24"/>
                <w:szCs w:val="24"/>
                <w:highlight w:val="none"/>
                <w:lang w:val="en-US" w:eastAsia="zh-CN"/>
              </w:rPr>
              <w:t>保障</w:t>
            </w:r>
            <w:r>
              <w:rPr>
                <w:rFonts w:hint="eastAsia" w:ascii="华文仿宋" w:hAnsi="华文仿宋" w:eastAsia="华文仿宋" w:cs="华文仿宋"/>
                <w:b w:val="0"/>
                <w:bCs/>
                <w:color w:val="auto"/>
                <w:sz w:val="24"/>
                <w:szCs w:val="24"/>
                <w:highlight w:val="none"/>
                <w:lang w:eastAsia="zh-CN"/>
              </w:rPr>
              <w:t>措施②质量控制流程。</w:t>
            </w:r>
          </w:p>
          <w:p w14:paraId="3555BC70">
            <w:pPr>
              <w:keepNext w:val="0"/>
              <w:keepLines w:val="0"/>
              <w:pageBreakBefore w:val="0"/>
              <w:widowControl/>
              <w:kinsoku/>
              <w:wordWrap/>
              <w:overflowPunct/>
              <w:topLinePunct w:val="0"/>
              <w:autoSpaceDE/>
              <w:autoSpaceDN/>
              <w:bidi w:val="0"/>
              <w:adjustRightInd/>
              <w:snapToGrid w:val="0"/>
              <w:spacing w:line="300" w:lineRule="exact"/>
              <w:jc w:val="left"/>
              <w:textAlignment w:val="auto"/>
              <w:rPr>
                <w:rFonts w:hint="eastAsia" w:ascii="华文仿宋" w:hAnsi="华文仿宋" w:eastAsia="华文仿宋" w:cs="华文仿宋"/>
                <w:b/>
                <w:bCs w:val="0"/>
                <w:color w:val="auto"/>
                <w:sz w:val="24"/>
                <w:szCs w:val="24"/>
                <w:highlight w:val="none"/>
                <w:lang w:eastAsia="zh-CN"/>
              </w:rPr>
            </w:pPr>
            <w:r>
              <w:rPr>
                <w:rFonts w:hint="eastAsia" w:ascii="华文仿宋" w:hAnsi="华文仿宋" w:eastAsia="华文仿宋" w:cs="华文仿宋"/>
                <w:b/>
                <w:bCs w:val="0"/>
                <w:color w:val="auto"/>
                <w:sz w:val="24"/>
                <w:szCs w:val="24"/>
                <w:highlight w:val="none"/>
                <w:lang w:eastAsia="zh-CN"/>
              </w:rPr>
              <w:t>二、评审标准</w:t>
            </w:r>
          </w:p>
          <w:p w14:paraId="4FA3EF1B">
            <w:pPr>
              <w:keepNext w:val="0"/>
              <w:keepLines w:val="0"/>
              <w:pageBreakBefore w:val="0"/>
              <w:widowControl/>
              <w:kinsoku/>
              <w:wordWrap/>
              <w:overflowPunct/>
              <w:topLinePunct w:val="0"/>
              <w:autoSpaceDE/>
              <w:autoSpaceDN/>
              <w:bidi w:val="0"/>
              <w:adjustRightInd/>
              <w:snapToGrid w:val="0"/>
              <w:spacing w:line="300" w:lineRule="exact"/>
              <w:jc w:val="left"/>
              <w:textAlignment w:val="auto"/>
              <w:rPr>
                <w:rFonts w:hint="eastAsia" w:ascii="华文仿宋" w:hAnsi="华文仿宋" w:eastAsia="华文仿宋" w:cs="华文仿宋"/>
                <w:b w:val="0"/>
                <w:bCs/>
                <w:color w:val="auto"/>
                <w:sz w:val="24"/>
                <w:szCs w:val="24"/>
                <w:highlight w:val="none"/>
                <w:lang w:eastAsia="zh-CN"/>
              </w:rPr>
            </w:pPr>
            <w:r>
              <w:rPr>
                <w:rFonts w:hint="eastAsia" w:ascii="华文仿宋" w:hAnsi="华文仿宋" w:eastAsia="华文仿宋" w:cs="华文仿宋"/>
                <w:b w:val="0"/>
                <w:bCs/>
                <w:color w:val="auto"/>
                <w:sz w:val="24"/>
                <w:szCs w:val="24"/>
                <w:highlight w:val="none"/>
                <w:lang w:eastAsia="zh-CN"/>
              </w:rPr>
              <w:t>1.完整性：</w:t>
            </w:r>
            <w:r>
              <w:rPr>
                <w:rFonts w:hint="eastAsia" w:ascii="华文仿宋" w:hAnsi="华文仿宋" w:eastAsia="华文仿宋" w:cs="华文仿宋"/>
                <w:b w:val="0"/>
                <w:bCs/>
                <w:color w:val="auto"/>
                <w:sz w:val="24"/>
                <w:szCs w:val="24"/>
                <w:highlight w:val="none"/>
                <w:lang w:val="en-US" w:eastAsia="zh-CN"/>
              </w:rPr>
              <w:t>方案</w:t>
            </w:r>
            <w:r>
              <w:rPr>
                <w:rFonts w:hint="eastAsia" w:ascii="华文仿宋" w:hAnsi="华文仿宋" w:eastAsia="华文仿宋" w:cs="华文仿宋"/>
                <w:b w:val="0"/>
                <w:bCs/>
                <w:color w:val="auto"/>
                <w:sz w:val="24"/>
                <w:szCs w:val="24"/>
                <w:highlight w:val="none"/>
                <w:lang w:eastAsia="zh-CN"/>
              </w:rPr>
              <w:t>必须全面，对评审内容中的各项要求有详细描述；</w:t>
            </w:r>
          </w:p>
          <w:p w14:paraId="16218D0F">
            <w:pPr>
              <w:keepNext w:val="0"/>
              <w:keepLines w:val="0"/>
              <w:pageBreakBefore w:val="0"/>
              <w:widowControl/>
              <w:kinsoku/>
              <w:wordWrap/>
              <w:overflowPunct/>
              <w:topLinePunct w:val="0"/>
              <w:autoSpaceDE/>
              <w:autoSpaceDN/>
              <w:bidi w:val="0"/>
              <w:adjustRightInd/>
              <w:snapToGrid w:val="0"/>
              <w:spacing w:line="300" w:lineRule="exact"/>
              <w:jc w:val="left"/>
              <w:textAlignment w:val="auto"/>
              <w:rPr>
                <w:rFonts w:hint="eastAsia" w:ascii="华文仿宋" w:hAnsi="华文仿宋" w:eastAsia="华文仿宋" w:cs="华文仿宋"/>
                <w:b w:val="0"/>
                <w:bCs/>
                <w:color w:val="auto"/>
                <w:sz w:val="24"/>
                <w:szCs w:val="24"/>
                <w:highlight w:val="none"/>
                <w:lang w:val="en-US" w:eastAsia="zh-CN"/>
              </w:rPr>
            </w:pPr>
            <w:r>
              <w:rPr>
                <w:rFonts w:hint="eastAsia" w:ascii="华文仿宋" w:hAnsi="华文仿宋" w:eastAsia="华文仿宋" w:cs="华文仿宋"/>
                <w:b w:val="0"/>
                <w:bCs/>
                <w:color w:val="auto"/>
                <w:sz w:val="24"/>
                <w:szCs w:val="24"/>
                <w:highlight w:val="none"/>
                <w:lang w:eastAsia="zh-CN"/>
              </w:rPr>
              <w:t>2.可行性：切合本项目实际情况，提出合理可行的保障措施。</w:t>
            </w:r>
          </w:p>
          <w:p w14:paraId="34E419B1">
            <w:pPr>
              <w:keepNext w:val="0"/>
              <w:keepLines w:val="0"/>
              <w:pageBreakBefore w:val="0"/>
              <w:widowControl/>
              <w:kinsoku/>
              <w:wordWrap/>
              <w:overflowPunct/>
              <w:topLinePunct w:val="0"/>
              <w:autoSpaceDE/>
              <w:autoSpaceDN/>
              <w:bidi w:val="0"/>
              <w:adjustRightInd/>
              <w:snapToGrid w:val="0"/>
              <w:spacing w:line="300" w:lineRule="exact"/>
              <w:jc w:val="left"/>
              <w:textAlignment w:val="auto"/>
              <w:rPr>
                <w:rFonts w:hint="eastAsia" w:ascii="华文仿宋" w:hAnsi="华文仿宋" w:eastAsia="华文仿宋" w:cs="华文仿宋"/>
                <w:b/>
                <w:bCs w:val="0"/>
                <w:color w:val="auto"/>
                <w:sz w:val="24"/>
                <w:szCs w:val="24"/>
                <w:highlight w:val="none"/>
                <w:lang w:eastAsia="zh-CN"/>
              </w:rPr>
            </w:pPr>
            <w:r>
              <w:rPr>
                <w:rFonts w:hint="eastAsia" w:ascii="华文仿宋" w:hAnsi="华文仿宋" w:eastAsia="华文仿宋" w:cs="华文仿宋"/>
                <w:b/>
                <w:bCs w:val="0"/>
                <w:color w:val="auto"/>
                <w:sz w:val="24"/>
                <w:szCs w:val="24"/>
                <w:highlight w:val="none"/>
                <w:lang w:eastAsia="zh-CN"/>
              </w:rPr>
              <w:t>三、赋分标准（满分</w:t>
            </w:r>
            <w:r>
              <w:rPr>
                <w:rFonts w:hint="eastAsia" w:ascii="华文仿宋" w:hAnsi="华文仿宋" w:eastAsia="华文仿宋" w:cs="华文仿宋"/>
                <w:b/>
                <w:bCs w:val="0"/>
                <w:color w:val="auto"/>
                <w:sz w:val="24"/>
                <w:szCs w:val="24"/>
                <w:highlight w:val="none"/>
                <w:lang w:val="en-US" w:eastAsia="zh-CN"/>
              </w:rPr>
              <w:t>4</w:t>
            </w:r>
            <w:r>
              <w:rPr>
                <w:rFonts w:hint="eastAsia" w:ascii="华文仿宋" w:hAnsi="华文仿宋" w:eastAsia="华文仿宋" w:cs="华文仿宋"/>
                <w:b/>
                <w:bCs w:val="0"/>
                <w:color w:val="auto"/>
                <w:sz w:val="24"/>
                <w:szCs w:val="24"/>
                <w:highlight w:val="none"/>
                <w:lang w:eastAsia="zh-CN"/>
              </w:rPr>
              <w:t>分）</w:t>
            </w:r>
          </w:p>
          <w:p w14:paraId="1210F15B">
            <w:pPr>
              <w:keepNext w:val="0"/>
              <w:keepLines w:val="0"/>
              <w:pageBreakBefore w:val="0"/>
              <w:widowControl/>
              <w:kinsoku/>
              <w:wordWrap/>
              <w:overflowPunct/>
              <w:topLinePunct w:val="0"/>
              <w:autoSpaceDE/>
              <w:autoSpaceDN/>
              <w:bidi w:val="0"/>
              <w:adjustRightInd/>
              <w:snapToGrid w:val="0"/>
              <w:spacing w:line="300" w:lineRule="exact"/>
              <w:jc w:val="left"/>
              <w:textAlignment w:val="auto"/>
              <w:rPr>
                <w:rFonts w:hint="eastAsia" w:ascii="华文仿宋" w:hAnsi="华文仿宋" w:eastAsia="华文仿宋" w:cs="华文仿宋"/>
                <w:b w:val="0"/>
                <w:bCs/>
                <w:color w:val="auto"/>
                <w:sz w:val="24"/>
                <w:szCs w:val="24"/>
                <w:highlight w:val="none"/>
                <w:lang w:eastAsia="zh-CN"/>
              </w:rPr>
            </w:pPr>
            <w:r>
              <w:rPr>
                <w:rFonts w:hint="eastAsia" w:ascii="华文仿宋" w:hAnsi="华文仿宋" w:eastAsia="华文仿宋" w:cs="华文仿宋"/>
                <w:b w:val="0"/>
                <w:bCs/>
                <w:color w:val="auto"/>
                <w:sz w:val="24"/>
                <w:szCs w:val="24"/>
                <w:highlight w:val="none"/>
                <w:lang w:val="en-US" w:eastAsia="zh-CN"/>
              </w:rPr>
              <w:t>1.</w:t>
            </w:r>
            <w:r>
              <w:rPr>
                <w:rFonts w:hint="eastAsia" w:ascii="华文仿宋" w:hAnsi="华文仿宋" w:eastAsia="华文仿宋" w:cs="华文仿宋"/>
                <w:b w:val="0"/>
                <w:bCs/>
                <w:color w:val="auto"/>
                <w:sz w:val="24"/>
                <w:szCs w:val="24"/>
                <w:highlight w:val="none"/>
                <w:lang w:eastAsia="zh-CN"/>
              </w:rPr>
              <w:t>质量</w:t>
            </w:r>
            <w:r>
              <w:rPr>
                <w:rFonts w:hint="eastAsia" w:ascii="华文仿宋" w:hAnsi="华文仿宋" w:eastAsia="华文仿宋" w:cs="华文仿宋"/>
                <w:b w:val="0"/>
                <w:bCs/>
                <w:color w:val="auto"/>
                <w:sz w:val="24"/>
                <w:szCs w:val="24"/>
                <w:highlight w:val="none"/>
                <w:lang w:val="en-US" w:eastAsia="zh-CN"/>
              </w:rPr>
              <w:t>保障</w:t>
            </w:r>
            <w:r>
              <w:rPr>
                <w:rFonts w:hint="eastAsia" w:ascii="华文仿宋" w:hAnsi="华文仿宋" w:eastAsia="华文仿宋" w:cs="华文仿宋"/>
                <w:b w:val="0"/>
                <w:bCs/>
                <w:color w:val="auto"/>
                <w:sz w:val="24"/>
                <w:szCs w:val="24"/>
                <w:highlight w:val="none"/>
                <w:lang w:eastAsia="zh-CN"/>
              </w:rPr>
              <w:t>措施：每满足一项评审标准得</w:t>
            </w:r>
            <w:r>
              <w:rPr>
                <w:rFonts w:hint="eastAsia" w:ascii="华文仿宋" w:hAnsi="华文仿宋" w:eastAsia="华文仿宋" w:cs="华文仿宋"/>
                <w:b w:val="0"/>
                <w:bCs/>
                <w:color w:val="auto"/>
                <w:sz w:val="24"/>
                <w:szCs w:val="24"/>
                <w:highlight w:val="none"/>
                <w:lang w:val="en-US" w:eastAsia="zh-CN"/>
              </w:rPr>
              <w:t>1</w:t>
            </w:r>
            <w:r>
              <w:rPr>
                <w:rFonts w:hint="eastAsia" w:ascii="华文仿宋" w:hAnsi="华文仿宋" w:eastAsia="华文仿宋" w:cs="华文仿宋"/>
                <w:b w:val="0"/>
                <w:bCs/>
                <w:color w:val="auto"/>
                <w:sz w:val="24"/>
                <w:szCs w:val="24"/>
                <w:highlight w:val="none"/>
                <w:lang w:eastAsia="zh-CN"/>
              </w:rPr>
              <w:t>分，满分</w:t>
            </w:r>
            <w:r>
              <w:rPr>
                <w:rFonts w:hint="eastAsia" w:ascii="华文仿宋" w:hAnsi="华文仿宋" w:eastAsia="华文仿宋" w:cs="华文仿宋"/>
                <w:b w:val="0"/>
                <w:bCs/>
                <w:color w:val="auto"/>
                <w:sz w:val="24"/>
                <w:szCs w:val="24"/>
                <w:highlight w:val="none"/>
                <w:lang w:val="en-US" w:eastAsia="zh-CN"/>
              </w:rPr>
              <w:t>2</w:t>
            </w:r>
            <w:r>
              <w:rPr>
                <w:rFonts w:hint="eastAsia" w:ascii="华文仿宋" w:hAnsi="华文仿宋" w:eastAsia="华文仿宋" w:cs="华文仿宋"/>
                <w:b w:val="0"/>
                <w:bCs/>
                <w:color w:val="auto"/>
                <w:sz w:val="24"/>
                <w:szCs w:val="24"/>
                <w:highlight w:val="none"/>
                <w:lang w:eastAsia="zh-CN"/>
              </w:rPr>
              <w:t>分；</w:t>
            </w:r>
          </w:p>
          <w:p w14:paraId="6E04FCBD">
            <w:pPr>
              <w:keepNext w:val="0"/>
              <w:keepLines w:val="0"/>
              <w:pageBreakBefore w:val="0"/>
              <w:widowControl/>
              <w:kinsoku/>
              <w:wordWrap/>
              <w:overflowPunct/>
              <w:topLinePunct w:val="0"/>
              <w:autoSpaceDE/>
              <w:autoSpaceDN/>
              <w:bidi w:val="0"/>
              <w:adjustRightInd/>
              <w:snapToGrid w:val="0"/>
              <w:spacing w:line="300" w:lineRule="exact"/>
              <w:jc w:val="left"/>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b w:val="0"/>
                <w:bCs/>
                <w:color w:val="auto"/>
                <w:sz w:val="24"/>
                <w:szCs w:val="24"/>
                <w:highlight w:val="none"/>
                <w:lang w:val="en-US" w:eastAsia="zh-CN"/>
              </w:rPr>
              <w:t>2.</w:t>
            </w:r>
            <w:r>
              <w:rPr>
                <w:rFonts w:hint="eastAsia" w:ascii="华文仿宋" w:hAnsi="华文仿宋" w:eastAsia="华文仿宋" w:cs="华文仿宋"/>
                <w:b w:val="0"/>
                <w:bCs/>
                <w:color w:val="auto"/>
                <w:sz w:val="24"/>
                <w:szCs w:val="24"/>
                <w:highlight w:val="none"/>
                <w:lang w:eastAsia="zh-CN"/>
              </w:rPr>
              <w:t>质量控制流程：每满足一项评审标准得</w:t>
            </w:r>
            <w:r>
              <w:rPr>
                <w:rFonts w:hint="eastAsia" w:ascii="华文仿宋" w:hAnsi="华文仿宋" w:eastAsia="华文仿宋" w:cs="华文仿宋"/>
                <w:b w:val="0"/>
                <w:bCs/>
                <w:color w:val="auto"/>
                <w:sz w:val="24"/>
                <w:szCs w:val="24"/>
                <w:highlight w:val="none"/>
                <w:lang w:val="en-US" w:eastAsia="zh-CN"/>
              </w:rPr>
              <w:t>1</w:t>
            </w:r>
            <w:r>
              <w:rPr>
                <w:rFonts w:hint="eastAsia" w:ascii="华文仿宋" w:hAnsi="华文仿宋" w:eastAsia="华文仿宋" w:cs="华文仿宋"/>
                <w:b w:val="0"/>
                <w:bCs/>
                <w:color w:val="auto"/>
                <w:sz w:val="24"/>
                <w:szCs w:val="24"/>
                <w:highlight w:val="none"/>
                <w:lang w:eastAsia="zh-CN"/>
              </w:rPr>
              <w:t>分，满分</w:t>
            </w:r>
            <w:r>
              <w:rPr>
                <w:rFonts w:hint="eastAsia" w:ascii="华文仿宋" w:hAnsi="华文仿宋" w:eastAsia="华文仿宋" w:cs="华文仿宋"/>
                <w:b w:val="0"/>
                <w:bCs/>
                <w:color w:val="auto"/>
                <w:sz w:val="24"/>
                <w:szCs w:val="24"/>
                <w:highlight w:val="none"/>
                <w:lang w:val="en-US" w:eastAsia="zh-CN"/>
              </w:rPr>
              <w:t>2</w:t>
            </w:r>
            <w:r>
              <w:rPr>
                <w:rFonts w:hint="eastAsia" w:ascii="华文仿宋" w:hAnsi="华文仿宋" w:eastAsia="华文仿宋" w:cs="华文仿宋"/>
                <w:b w:val="0"/>
                <w:bCs/>
                <w:color w:val="auto"/>
                <w:sz w:val="24"/>
                <w:szCs w:val="24"/>
                <w:highlight w:val="none"/>
                <w:lang w:eastAsia="zh-CN"/>
              </w:rPr>
              <w:t>分。</w:t>
            </w:r>
          </w:p>
        </w:tc>
      </w:tr>
      <w:tr w14:paraId="48439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1"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14:paraId="4AA8D2FD">
            <w:pPr>
              <w:keepNext w:val="0"/>
              <w:keepLines w:val="0"/>
              <w:pageBreakBefore w:val="0"/>
              <w:kinsoku/>
              <w:wordWrap/>
              <w:overflowPunct/>
              <w:topLinePunct w:val="0"/>
              <w:autoSpaceDE/>
              <w:autoSpaceDN/>
              <w:bidi w:val="0"/>
              <w:adjustRightInd/>
              <w:snapToGrid w:val="0"/>
              <w:spacing w:line="300" w:lineRule="exact"/>
              <w:jc w:val="center"/>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8</w:t>
            </w:r>
          </w:p>
        </w:tc>
        <w:tc>
          <w:tcPr>
            <w:tcW w:w="1256" w:type="dxa"/>
            <w:tcBorders>
              <w:top w:val="single" w:color="auto" w:sz="4" w:space="0"/>
              <w:left w:val="single" w:color="auto" w:sz="4" w:space="0"/>
              <w:bottom w:val="single" w:color="auto" w:sz="4" w:space="0"/>
              <w:right w:val="single" w:color="auto" w:sz="4" w:space="0"/>
            </w:tcBorders>
            <w:noWrap w:val="0"/>
            <w:vAlign w:val="center"/>
          </w:tcPr>
          <w:p w14:paraId="6E49D061">
            <w:pPr>
              <w:keepNext w:val="0"/>
              <w:keepLines w:val="0"/>
              <w:pageBreakBefore w:val="0"/>
              <w:kinsoku/>
              <w:wordWrap/>
              <w:overflowPunct/>
              <w:topLinePunct w:val="0"/>
              <w:autoSpaceDE/>
              <w:autoSpaceDN/>
              <w:bidi w:val="0"/>
              <w:adjustRightInd/>
              <w:snapToGrid w:val="0"/>
              <w:spacing w:line="300" w:lineRule="exact"/>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服务承诺</w:t>
            </w:r>
          </w:p>
        </w:tc>
        <w:tc>
          <w:tcPr>
            <w:tcW w:w="876" w:type="dxa"/>
            <w:tcBorders>
              <w:top w:val="single" w:color="auto" w:sz="4" w:space="0"/>
              <w:left w:val="single" w:color="auto" w:sz="4" w:space="0"/>
              <w:bottom w:val="single" w:color="auto" w:sz="4" w:space="0"/>
              <w:right w:val="single" w:color="auto" w:sz="4" w:space="0"/>
            </w:tcBorders>
            <w:noWrap w:val="0"/>
            <w:vAlign w:val="center"/>
          </w:tcPr>
          <w:p w14:paraId="689C0616">
            <w:pPr>
              <w:keepNext w:val="0"/>
              <w:keepLines w:val="0"/>
              <w:pageBreakBefore w:val="0"/>
              <w:kinsoku/>
              <w:wordWrap/>
              <w:overflowPunct/>
              <w:topLinePunct w:val="0"/>
              <w:autoSpaceDE/>
              <w:autoSpaceDN/>
              <w:bidi w:val="0"/>
              <w:adjustRightInd/>
              <w:snapToGrid w:val="0"/>
              <w:spacing w:line="300" w:lineRule="exact"/>
              <w:jc w:val="center"/>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9分</w:t>
            </w:r>
          </w:p>
        </w:tc>
        <w:tc>
          <w:tcPr>
            <w:tcW w:w="6288" w:type="dxa"/>
            <w:tcBorders>
              <w:top w:val="single" w:color="auto" w:sz="4" w:space="0"/>
              <w:left w:val="single" w:color="auto" w:sz="4" w:space="0"/>
              <w:bottom w:val="single" w:color="auto" w:sz="4" w:space="0"/>
              <w:right w:val="single" w:color="auto" w:sz="4" w:space="0"/>
            </w:tcBorders>
            <w:noWrap w:val="0"/>
            <w:vAlign w:val="center"/>
          </w:tcPr>
          <w:p w14:paraId="274DC084">
            <w:pPr>
              <w:keepNext w:val="0"/>
              <w:keepLines w:val="0"/>
              <w:pageBreakBefore w:val="0"/>
              <w:widowControl/>
              <w:kinsoku/>
              <w:wordWrap/>
              <w:overflowPunct/>
              <w:topLinePunct w:val="0"/>
              <w:autoSpaceDE/>
              <w:autoSpaceDN/>
              <w:bidi w:val="0"/>
              <w:adjustRightInd/>
              <w:snapToGrid w:val="0"/>
              <w:spacing w:line="32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1.承诺全面响应采购人各项服务管理及实施要求</w:t>
            </w:r>
            <w:r>
              <w:rPr>
                <w:rFonts w:hint="eastAsia" w:ascii="华文仿宋" w:hAnsi="华文仿宋" w:eastAsia="华文仿宋" w:cs="华文仿宋"/>
                <w:color w:val="auto"/>
                <w:spacing w:val="-6"/>
                <w:kern w:val="2"/>
                <w:sz w:val="24"/>
                <w:szCs w:val="24"/>
                <w:lang w:val="en-US" w:eastAsia="zh-CN"/>
              </w:rPr>
              <w:t>，得1</w:t>
            </w:r>
            <w:r>
              <w:rPr>
                <w:rFonts w:hint="eastAsia" w:ascii="华文仿宋" w:hAnsi="华文仿宋" w:eastAsia="华文仿宋" w:cs="华文仿宋"/>
                <w:color w:val="auto"/>
                <w:spacing w:val="-6"/>
                <w:kern w:val="2"/>
                <w:sz w:val="24"/>
                <w:szCs w:val="24"/>
              </w:rPr>
              <w:t>分</w:t>
            </w:r>
            <w:r>
              <w:rPr>
                <w:rFonts w:hint="eastAsia" w:ascii="华文仿宋" w:hAnsi="华文仿宋" w:eastAsia="华文仿宋" w:cs="华文仿宋"/>
                <w:color w:val="auto"/>
                <w:sz w:val="24"/>
                <w:szCs w:val="24"/>
                <w:highlight w:val="none"/>
                <w:lang w:val="en-US" w:eastAsia="zh-CN"/>
              </w:rPr>
              <w:t>；</w:t>
            </w:r>
          </w:p>
          <w:p w14:paraId="1AD170CE">
            <w:pPr>
              <w:keepNext w:val="0"/>
              <w:keepLines w:val="0"/>
              <w:pageBreakBefore w:val="0"/>
              <w:widowControl/>
              <w:kinsoku/>
              <w:wordWrap/>
              <w:overflowPunct/>
              <w:topLinePunct w:val="0"/>
              <w:autoSpaceDE/>
              <w:autoSpaceDN/>
              <w:bidi w:val="0"/>
              <w:adjustRightInd/>
              <w:snapToGrid w:val="0"/>
              <w:spacing w:line="320" w:lineRule="exact"/>
              <w:ind w:left="0" w:leftChars="0" w:right="0" w:rightChars="0" w:firstLine="0" w:firstLineChars="0"/>
              <w:jc w:val="left"/>
              <w:textAlignment w:val="auto"/>
              <w:rPr>
                <w:rFonts w:hint="eastAsia" w:ascii="华文仿宋" w:hAnsi="华文仿宋" w:eastAsia="华文仿宋" w:cs="华文仿宋"/>
                <w:color w:val="auto"/>
                <w:spacing w:val="-6"/>
                <w:kern w:val="2"/>
                <w:sz w:val="24"/>
                <w:szCs w:val="24"/>
                <w:lang w:val="en-US" w:eastAsia="zh-CN"/>
              </w:rPr>
            </w:pPr>
            <w:r>
              <w:rPr>
                <w:rFonts w:hint="eastAsia" w:ascii="华文仿宋" w:hAnsi="华文仿宋" w:eastAsia="华文仿宋" w:cs="华文仿宋"/>
                <w:color w:val="auto"/>
                <w:sz w:val="24"/>
                <w:szCs w:val="24"/>
                <w:highlight w:val="none"/>
                <w:lang w:val="en-US" w:eastAsia="zh-CN"/>
              </w:rPr>
              <w:t>2.承诺</w:t>
            </w:r>
            <w:r>
              <w:rPr>
                <w:rFonts w:hint="eastAsia" w:ascii="华文仿宋" w:hAnsi="华文仿宋" w:eastAsia="华文仿宋" w:cs="华文仿宋"/>
                <w:color w:val="auto"/>
                <w:spacing w:val="-6"/>
                <w:kern w:val="2"/>
                <w:sz w:val="24"/>
                <w:szCs w:val="24"/>
                <w:lang w:val="en-US" w:eastAsia="zh-CN"/>
              </w:rPr>
              <w:t>具备高效及时的技术服务能力，并提供相关佐证材料：8小时内响应的，得7分；12小时内响应的，得5分；24时内响应的，得3分；24小时以上响应的得1分；</w:t>
            </w:r>
          </w:p>
          <w:p w14:paraId="6055E66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3.承诺若项目成果未达到约定质量标准，自愿接受相应处罚</w:t>
            </w:r>
            <w:r>
              <w:rPr>
                <w:rFonts w:hint="eastAsia" w:ascii="华文仿宋" w:hAnsi="华文仿宋" w:eastAsia="华文仿宋" w:cs="华文仿宋"/>
                <w:color w:val="auto"/>
                <w:spacing w:val="-6"/>
                <w:kern w:val="2"/>
                <w:sz w:val="24"/>
                <w:szCs w:val="24"/>
                <w:lang w:val="en-US" w:eastAsia="zh-CN"/>
              </w:rPr>
              <w:t>，得1</w:t>
            </w:r>
            <w:r>
              <w:rPr>
                <w:rFonts w:hint="eastAsia" w:ascii="华文仿宋" w:hAnsi="华文仿宋" w:eastAsia="华文仿宋" w:cs="华文仿宋"/>
                <w:color w:val="auto"/>
                <w:spacing w:val="-6"/>
                <w:kern w:val="2"/>
                <w:sz w:val="24"/>
                <w:szCs w:val="24"/>
              </w:rPr>
              <w:t>分</w:t>
            </w:r>
            <w:r>
              <w:rPr>
                <w:rFonts w:hint="eastAsia" w:ascii="华文仿宋" w:hAnsi="华文仿宋" w:eastAsia="华文仿宋" w:cs="华文仿宋"/>
                <w:color w:val="auto"/>
                <w:spacing w:val="-6"/>
                <w:kern w:val="2"/>
                <w:sz w:val="24"/>
                <w:szCs w:val="24"/>
                <w:lang w:val="en-US" w:eastAsia="zh-CN"/>
              </w:rPr>
              <w:t>。</w:t>
            </w:r>
          </w:p>
        </w:tc>
      </w:tr>
      <w:tr w14:paraId="6A982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0"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14:paraId="11C1B2E8">
            <w:pPr>
              <w:pStyle w:val="36"/>
              <w:keepNext w:val="0"/>
              <w:keepLines w:val="0"/>
              <w:pageBreakBefore w:val="0"/>
              <w:wordWrap/>
              <w:overflowPunct/>
              <w:topLinePunct w:val="0"/>
              <w:bidi w:val="0"/>
              <w:snapToGrid w:val="0"/>
              <w:spacing w:line="340" w:lineRule="exact"/>
              <w:jc w:val="center"/>
              <w:rPr>
                <w:rFonts w:hint="eastAsia" w:ascii="华文仿宋" w:hAnsi="华文仿宋" w:eastAsia="华文仿宋" w:cs="华文仿宋"/>
                <w:snapToGrid w:val="0"/>
                <w:color w:val="auto"/>
                <w:kern w:val="0"/>
                <w:sz w:val="24"/>
                <w:szCs w:val="24"/>
                <w:highlight w:val="none"/>
                <w:lang w:val="en-US" w:eastAsia="zh-CN" w:bidi="ar-SA"/>
              </w:rPr>
            </w:pPr>
            <w:r>
              <w:rPr>
                <w:rFonts w:hint="eastAsia" w:ascii="华文仿宋" w:hAnsi="华文仿宋" w:eastAsia="华文仿宋" w:cs="华文仿宋"/>
                <w:snapToGrid w:val="0"/>
                <w:color w:val="auto"/>
                <w:kern w:val="0"/>
                <w:sz w:val="24"/>
                <w:szCs w:val="24"/>
                <w:highlight w:val="none"/>
                <w:lang w:val="en-US" w:eastAsia="zh-CN" w:bidi="ar-SA"/>
              </w:rPr>
              <w:t>9</w:t>
            </w:r>
          </w:p>
        </w:tc>
        <w:tc>
          <w:tcPr>
            <w:tcW w:w="1256" w:type="dxa"/>
            <w:tcBorders>
              <w:top w:val="single" w:color="auto" w:sz="4" w:space="0"/>
              <w:left w:val="single" w:color="auto" w:sz="4" w:space="0"/>
              <w:bottom w:val="single" w:color="auto" w:sz="4" w:space="0"/>
              <w:right w:val="single" w:color="auto" w:sz="4" w:space="0"/>
            </w:tcBorders>
            <w:noWrap w:val="0"/>
            <w:vAlign w:val="center"/>
          </w:tcPr>
          <w:p w14:paraId="7204C259">
            <w:pPr>
              <w:keepNext w:val="0"/>
              <w:keepLines w:val="0"/>
              <w:pageBreakBefore w:val="0"/>
              <w:widowControl/>
              <w:wordWrap/>
              <w:overflowPunct/>
              <w:topLinePunct w:val="0"/>
              <w:bidi w:val="0"/>
              <w:snapToGrid w:val="0"/>
              <w:spacing w:line="340" w:lineRule="exact"/>
              <w:jc w:val="center"/>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商务</w:t>
            </w:r>
          </w:p>
          <w:p w14:paraId="59F8C39D">
            <w:pPr>
              <w:keepNext w:val="0"/>
              <w:keepLines w:val="0"/>
              <w:pageBreakBefore w:val="0"/>
              <w:widowControl/>
              <w:wordWrap/>
              <w:overflowPunct/>
              <w:topLinePunct w:val="0"/>
              <w:bidi w:val="0"/>
              <w:snapToGrid w:val="0"/>
              <w:spacing w:line="340" w:lineRule="exact"/>
              <w:jc w:val="center"/>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响应</w:t>
            </w:r>
          </w:p>
        </w:tc>
        <w:tc>
          <w:tcPr>
            <w:tcW w:w="876" w:type="dxa"/>
            <w:tcBorders>
              <w:top w:val="single" w:color="auto" w:sz="4" w:space="0"/>
              <w:left w:val="single" w:color="auto" w:sz="4" w:space="0"/>
              <w:bottom w:val="single" w:color="auto" w:sz="4" w:space="0"/>
              <w:right w:val="single" w:color="auto" w:sz="4" w:space="0"/>
            </w:tcBorders>
            <w:noWrap w:val="0"/>
            <w:vAlign w:val="center"/>
          </w:tcPr>
          <w:p w14:paraId="04192B28">
            <w:pPr>
              <w:keepNext w:val="0"/>
              <w:keepLines w:val="0"/>
              <w:pageBreakBefore w:val="0"/>
              <w:widowControl/>
              <w:wordWrap/>
              <w:overflowPunct/>
              <w:topLinePunct w:val="0"/>
              <w:bidi w:val="0"/>
              <w:snapToGrid w:val="0"/>
              <w:spacing w:line="340" w:lineRule="exact"/>
              <w:jc w:val="center"/>
              <w:rPr>
                <w:rFonts w:hint="eastAsia" w:ascii="华文仿宋" w:hAnsi="华文仿宋" w:eastAsia="华文仿宋" w:cs="华文仿宋"/>
                <w:color w:val="auto"/>
                <w:sz w:val="24"/>
                <w:szCs w:val="24"/>
                <w:highlight w:val="none"/>
                <w:lang w:val="en-US" w:eastAsia="zh-CN"/>
              </w:rPr>
            </w:pPr>
          </w:p>
          <w:p w14:paraId="69915191">
            <w:pPr>
              <w:keepNext w:val="0"/>
              <w:keepLines w:val="0"/>
              <w:pageBreakBefore w:val="0"/>
              <w:widowControl/>
              <w:wordWrap/>
              <w:overflowPunct/>
              <w:topLinePunct w:val="0"/>
              <w:bidi w:val="0"/>
              <w:snapToGrid w:val="0"/>
              <w:spacing w:line="340" w:lineRule="exact"/>
              <w:jc w:val="center"/>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8分</w:t>
            </w:r>
          </w:p>
          <w:p w14:paraId="3BF5ABDA">
            <w:pPr>
              <w:keepNext w:val="0"/>
              <w:keepLines w:val="0"/>
              <w:pageBreakBefore w:val="0"/>
              <w:widowControl/>
              <w:wordWrap/>
              <w:overflowPunct/>
              <w:topLinePunct w:val="0"/>
              <w:bidi w:val="0"/>
              <w:snapToGrid w:val="0"/>
              <w:spacing w:line="340" w:lineRule="exact"/>
              <w:jc w:val="center"/>
              <w:rPr>
                <w:rFonts w:hint="eastAsia" w:ascii="华文仿宋" w:hAnsi="华文仿宋" w:eastAsia="华文仿宋" w:cs="华文仿宋"/>
                <w:color w:val="auto"/>
                <w:sz w:val="24"/>
                <w:szCs w:val="24"/>
                <w:highlight w:val="none"/>
                <w:lang w:val="en-US" w:eastAsia="zh-CN"/>
              </w:rPr>
            </w:pPr>
          </w:p>
        </w:tc>
        <w:tc>
          <w:tcPr>
            <w:tcW w:w="6288" w:type="dxa"/>
            <w:tcBorders>
              <w:top w:val="single" w:color="auto" w:sz="4" w:space="0"/>
              <w:left w:val="single" w:color="auto" w:sz="4" w:space="0"/>
              <w:bottom w:val="single" w:color="auto" w:sz="4" w:space="0"/>
              <w:right w:val="single" w:color="auto" w:sz="4" w:space="0"/>
            </w:tcBorders>
            <w:noWrap w:val="0"/>
            <w:vAlign w:val="top"/>
          </w:tcPr>
          <w:p w14:paraId="25AB4B0C">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b/>
                <w:bCs/>
                <w:color w:val="auto"/>
                <w:sz w:val="24"/>
                <w:szCs w:val="24"/>
                <w:highlight w:val="none"/>
                <w:lang w:val="en-US" w:eastAsia="zh-CN"/>
              </w:rPr>
            </w:pPr>
            <w:r>
              <w:rPr>
                <w:rFonts w:hint="eastAsia" w:ascii="华文仿宋" w:hAnsi="华文仿宋" w:eastAsia="华文仿宋" w:cs="华文仿宋"/>
                <w:b/>
                <w:bCs/>
                <w:color w:val="auto"/>
                <w:sz w:val="24"/>
                <w:szCs w:val="24"/>
                <w:highlight w:val="none"/>
                <w:lang w:val="en-US" w:eastAsia="zh-CN"/>
              </w:rPr>
              <w:t>一、评审内容</w:t>
            </w:r>
          </w:p>
          <w:p w14:paraId="7C3273BB">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根据本项目以下主要商务条款，投标响应全部商务条款得6分。主要商务条款包含</w:t>
            </w:r>
            <w:r>
              <w:rPr>
                <w:rFonts w:hint="eastAsia" w:ascii="华文仿宋" w:hAnsi="华文仿宋" w:eastAsia="华文仿宋" w:cs="华文仿宋"/>
                <w:color w:val="auto"/>
                <w:sz w:val="24"/>
                <w:szCs w:val="24"/>
                <w:highlight w:val="none"/>
              </w:rPr>
              <w:t>①</w:t>
            </w:r>
            <w:r>
              <w:rPr>
                <w:rFonts w:hint="eastAsia" w:ascii="华文仿宋" w:hAnsi="华文仿宋" w:eastAsia="华文仿宋" w:cs="华文仿宋"/>
                <w:color w:val="auto"/>
                <w:sz w:val="24"/>
                <w:szCs w:val="24"/>
                <w:highlight w:val="none"/>
                <w:lang w:val="en-US" w:eastAsia="zh-CN"/>
              </w:rPr>
              <w:t>服务期</w:t>
            </w:r>
            <w:r>
              <w:rPr>
                <w:rFonts w:hint="eastAsia" w:ascii="华文仿宋" w:hAnsi="华文仿宋" w:eastAsia="华文仿宋" w:cs="华文仿宋"/>
                <w:color w:val="auto"/>
                <w:sz w:val="24"/>
                <w:szCs w:val="24"/>
                <w:highlight w:val="none"/>
              </w:rPr>
              <w:t>②</w:t>
            </w:r>
            <w:r>
              <w:rPr>
                <w:rFonts w:hint="eastAsia" w:ascii="华文仿宋" w:hAnsi="华文仿宋" w:eastAsia="华文仿宋" w:cs="华文仿宋"/>
                <w:color w:val="auto"/>
                <w:sz w:val="24"/>
                <w:szCs w:val="24"/>
                <w:highlight w:val="none"/>
                <w:lang w:val="en-US" w:eastAsia="zh-CN"/>
              </w:rPr>
              <w:t>质量保证</w:t>
            </w:r>
            <w:r>
              <w:rPr>
                <w:rFonts w:hint="eastAsia" w:ascii="华文仿宋" w:hAnsi="华文仿宋" w:eastAsia="华文仿宋" w:cs="华文仿宋"/>
                <w:color w:val="auto"/>
                <w:sz w:val="24"/>
                <w:szCs w:val="24"/>
                <w:highlight w:val="none"/>
              </w:rPr>
              <w:t>③</w:t>
            </w:r>
            <w:r>
              <w:rPr>
                <w:rFonts w:hint="eastAsia" w:ascii="华文仿宋" w:hAnsi="华文仿宋" w:eastAsia="华文仿宋" w:cs="华文仿宋"/>
                <w:color w:val="auto"/>
                <w:sz w:val="24"/>
                <w:szCs w:val="24"/>
                <w:highlight w:val="none"/>
                <w:lang w:val="en-US" w:eastAsia="zh-CN"/>
              </w:rPr>
              <w:t>中标人的权利和义务④售后服务等。</w:t>
            </w:r>
          </w:p>
          <w:p w14:paraId="347F3A26">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b/>
                <w:bCs/>
                <w:color w:val="auto"/>
                <w:sz w:val="24"/>
                <w:szCs w:val="24"/>
                <w:highlight w:val="none"/>
                <w:lang w:val="en-US" w:eastAsia="zh-CN"/>
              </w:rPr>
              <w:t>二、评审标准</w:t>
            </w:r>
          </w:p>
          <w:p w14:paraId="5277D3B3">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1.完整性：方案必须全面，对评审内容中的各项要求有详细描述；</w:t>
            </w:r>
          </w:p>
          <w:p w14:paraId="0DD0164C">
            <w:pPr>
              <w:keepNext w:val="0"/>
              <w:keepLines w:val="0"/>
              <w:pageBreakBefore w:val="0"/>
              <w:widowControl w:val="0"/>
              <w:kinsoku/>
              <w:wordWrap/>
              <w:overflowPunct/>
              <w:topLinePunct w:val="0"/>
              <w:autoSpaceDE/>
              <w:autoSpaceDN/>
              <w:bidi w:val="0"/>
              <w:adjustRightInd/>
              <w:snapToGrid w:val="0"/>
              <w:spacing w:line="380" w:lineRule="exact"/>
              <w:ind w:left="0" w:leftChars="0" w:right="0" w:rightChars="0" w:firstLine="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2.合理性：方案能够紧扣项目实际情况，内容合理可行。</w:t>
            </w:r>
          </w:p>
          <w:p w14:paraId="41B48B92">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b/>
                <w:bCs/>
                <w:color w:val="auto"/>
                <w:sz w:val="24"/>
                <w:szCs w:val="24"/>
                <w:highlight w:val="none"/>
                <w:lang w:val="en-US" w:eastAsia="zh-CN"/>
              </w:rPr>
            </w:pPr>
            <w:r>
              <w:rPr>
                <w:rFonts w:hint="eastAsia" w:ascii="华文仿宋" w:hAnsi="华文仿宋" w:eastAsia="华文仿宋" w:cs="华文仿宋"/>
                <w:b/>
                <w:bCs/>
                <w:color w:val="auto"/>
                <w:sz w:val="24"/>
                <w:szCs w:val="24"/>
                <w:highlight w:val="none"/>
                <w:lang w:val="en-US" w:eastAsia="zh-CN"/>
              </w:rPr>
              <w:t>三、赋分标准（满分8分）</w:t>
            </w:r>
          </w:p>
          <w:p w14:paraId="478769F1">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1.响应商务条款中的服务期条款要求，</w:t>
            </w:r>
            <w:r>
              <w:rPr>
                <w:rFonts w:hint="eastAsia" w:ascii="华文仿宋" w:hAnsi="华文仿宋" w:eastAsia="华文仿宋" w:cs="华文仿宋"/>
                <w:color w:val="auto"/>
                <w:spacing w:val="-6"/>
                <w:kern w:val="2"/>
                <w:sz w:val="24"/>
                <w:szCs w:val="24"/>
              </w:rPr>
              <w:t>每满足一项评审标准得</w:t>
            </w:r>
            <w:r>
              <w:rPr>
                <w:rFonts w:hint="eastAsia" w:ascii="华文仿宋" w:hAnsi="华文仿宋" w:eastAsia="华文仿宋" w:cs="华文仿宋"/>
                <w:color w:val="auto"/>
                <w:spacing w:val="-6"/>
                <w:kern w:val="2"/>
                <w:sz w:val="24"/>
                <w:szCs w:val="24"/>
                <w:lang w:val="en-US" w:eastAsia="zh-CN"/>
              </w:rPr>
              <w:t>1</w:t>
            </w:r>
            <w:r>
              <w:rPr>
                <w:rFonts w:hint="eastAsia" w:ascii="华文仿宋" w:hAnsi="华文仿宋" w:eastAsia="华文仿宋" w:cs="华文仿宋"/>
                <w:color w:val="auto"/>
                <w:spacing w:val="-6"/>
                <w:kern w:val="2"/>
                <w:sz w:val="24"/>
                <w:szCs w:val="24"/>
              </w:rPr>
              <w:t>分，满分</w:t>
            </w:r>
            <w:r>
              <w:rPr>
                <w:rFonts w:hint="eastAsia" w:ascii="华文仿宋" w:hAnsi="华文仿宋" w:eastAsia="华文仿宋" w:cs="华文仿宋"/>
                <w:color w:val="auto"/>
                <w:spacing w:val="-6"/>
                <w:kern w:val="2"/>
                <w:sz w:val="24"/>
                <w:szCs w:val="24"/>
                <w:lang w:val="en-US" w:eastAsia="zh-CN"/>
              </w:rPr>
              <w:t>2</w:t>
            </w:r>
            <w:r>
              <w:rPr>
                <w:rFonts w:hint="eastAsia" w:ascii="华文仿宋" w:hAnsi="华文仿宋" w:eastAsia="华文仿宋" w:cs="华文仿宋"/>
                <w:color w:val="auto"/>
                <w:spacing w:val="-6"/>
                <w:kern w:val="2"/>
                <w:sz w:val="24"/>
                <w:szCs w:val="24"/>
              </w:rPr>
              <w:t>分</w:t>
            </w:r>
            <w:r>
              <w:rPr>
                <w:rFonts w:hint="eastAsia" w:ascii="华文仿宋" w:hAnsi="华文仿宋" w:eastAsia="华文仿宋" w:cs="华文仿宋"/>
                <w:color w:val="auto"/>
                <w:sz w:val="24"/>
                <w:szCs w:val="24"/>
                <w:highlight w:val="none"/>
                <w:lang w:val="en-US" w:eastAsia="zh-CN"/>
              </w:rPr>
              <w:t>；</w:t>
            </w:r>
          </w:p>
          <w:p w14:paraId="5C7A7CAE">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2.响应商务条款中的质量保证条款要求，</w:t>
            </w:r>
            <w:r>
              <w:rPr>
                <w:rFonts w:hint="eastAsia" w:ascii="华文仿宋" w:hAnsi="华文仿宋" w:eastAsia="华文仿宋" w:cs="华文仿宋"/>
                <w:color w:val="auto"/>
                <w:spacing w:val="-6"/>
                <w:kern w:val="2"/>
                <w:sz w:val="24"/>
                <w:szCs w:val="24"/>
              </w:rPr>
              <w:t>每满足一项评审标准得</w:t>
            </w:r>
            <w:r>
              <w:rPr>
                <w:rFonts w:hint="eastAsia" w:ascii="华文仿宋" w:hAnsi="华文仿宋" w:eastAsia="华文仿宋" w:cs="华文仿宋"/>
                <w:color w:val="auto"/>
                <w:spacing w:val="-6"/>
                <w:kern w:val="2"/>
                <w:sz w:val="24"/>
                <w:szCs w:val="24"/>
                <w:lang w:val="en-US" w:eastAsia="zh-CN"/>
              </w:rPr>
              <w:t>1</w:t>
            </w:r>
            <w:r>
              <w:rPr>
                <w:rFonts w:hint="eastAsia" w:ascii="华文仿宋" w:hAnsi="华文仿宋" w:eastAsia="华文仿宋" w:cs="华文仿宋"/>
                <w:color w:val="auto"/>
                <w:spacing w:val="-6"/>
                <w:kern w:val="2"/>
                <w:sz w:val="24"/>
                <w:szCs w:val="24"/>
              </w:rPr>
              <w:t>分，满分</w:t>
            </w:r>
            <w:r>
              <w:rPr>
                <w:rFonts w:hint="eastAsia" w:ascii="华文仿宋" w:hAnsi="华文仿宋" w:eastAsia="华文仿宋" w:cs="华文仿宋"/>
                <w:color w:val="auto"/>
                <w:spacing w:val="-6"/>
                <w:kern w:val="2"/>
                <w:sz w:val="24"/>
                <w:szCs w:val="24"/>
                <w:lang w:val="en-US" w:eastAsia="zh-CN"/>
              </w:rPr>
              <w:t>2</w:t>
            </w:r>
            <w:r>
              <w:rPr>
                <w:rFonts w:hint="eastAsia" w:ascii="华文仿宋" w:hAnsi="华文仿宋" w:eastAsia="华文仿宋" w:cs="华文仿宋"/>
                <w:color w:val="auto"/>
                <w:spacing w:val="-6"/>
                <w:kern w:val="2"/>
                <w:sz w:val="24"/>
                <w:szCs w:val="24"/>
              </w:rPr>
              <w:t>分</w:t>
            </w:r>
            <w:r>
              <w:rPr>
                <w:rFonts w:hint="eastAsia" w:ascii="华文仿宋" w:hAnsi="华文仿宋" w:eastAsia="华文仿宋" w:cs="华文仿宋"/>
                <w:color w:val="auto"/>
                <w:sz w:val="24"/>
                <w:szCs w:val="24"/>
                <w:highlight w:val="none"/>
                <w:lang w:val="en-US" w:eastAsia="zh-CN"/>
              </w:rPr>
              <w:t>；</w:t>
            </w:r>
          </w:p>
          <w:p w14:paraId="119F0D33">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3.响应商务条款中的中标人的权利和义务条款要求，</w:t>
            </w:r>
            <w:r>
              <w:rPr>
                <w:rFonts w:hint="eastAsia" w:ascii="华文仿宋" w:hAnsi="华文仿宋" w:eastAsia="华文仿宋" w:cs="华文仿宋"/>
                <w:color w:val="auto"/>
                <w:spacing w:val="-6"/>
                <w:kern w:val="2"/>
                <w:sz w:val="24"/>
                <w:szCs w:val="24"/>
              </w:rPr>
              <w:t>每满足一项评审标准得</w:t>
            </w:r>
            <w:r>
              <w:rPr>
                <w:rFonts w:hint="eastAsia" w:ascii="华文仿宋" w:hAnsi="华文仿宋" w:eastAsia="华文仿宋" w:cs="华文仿宋"/>
                <w:color w:val="auto"/>
                <w:spacing w:val="-6"/>
                <w:kern w:val="2"/>
                <w:sz w:val="24"/>
                <w:szCs w:val="24"/>
                <w:lang w:val="en-US" w:eastAsia="zh-CN"/>
              </w:rPr>
              <w:t>1</w:t>
            </w:r>
            <w:r>
              <w:rPr>
                <w:rFonts w:hint="eastAsia" w:ascii="华文仿宋" w:hAnsi="华文仿宋" w:eastAsia="华文仿宋" w:cs="华文仿宋"/>
                <w:color w:val="auto"/>
                <w:spacing w:val="-6"/>
                <w:kern w:val="2"/>
                <w:sz w:val="24"/>
                <w:szCs w:val="24"/>
              </w:rPr>
              <w:t>分，满分</w:t>
            </w:r>
            <w:r>
              <w:rPr>
                <w:rFonts w:hint="eastAsia" w:ascii="华文仿宋" w:hAnsi="华文仿宋" w:eastAsia="华文仿宋" w:cs="华文仿宋"/>
                <w:color w:val="auto"/>
                <w:spacing w:val="-6"/>
                <w:kern w:val="2"/>
                <w:sz w:val="24"/>
                <w:szCs w:val="24"/>
                <w:lang w:val="en-US" w:eastAsia="zh-CN"/>
              </w:rPr>
              <w:t>2</w:t>
            </w:r>
            <w:r>
              <w:rPr>
                <w:rFonts w:hint="eastAsia" w:ascii="华文仿宋" w:hAnsi="华文仿宋" w:eastAsia="华文仿宋" w:cs="华文仿宋"/>
                <w:color w:val="auto"/>
                <w:spacing w:val="-6"/>
                <w:kern w:val="2"/>
                <w:sz w:val="24"/>
                <w:szCs w:val="24"/>
              </w:rPr>
              <w:t>分</w:t>
            </w:r>
            <w:r>
              <w:rPr>
                <w:rFonts w:hint="eastAsia" w:ascii="华文仿宋" w:hAnsi="华文仿宋" w:eastAsia="华文仿宋" w:cs="华文仿宋"/>
                <w:color w:val="auto"/>
                <w:sz w:val="24"/>
                <w:szCs w:val="24"/>
                <w:highlight w:val="none"/>
                <w:lang w:val="en-US" w:eastAsia="zh-CN"/>
              </w:rPr>
              <w:t>；</w:t>
            </w:r>
          </w:p>
          <w:p w14:paraId="2F9B5041">
            <w:pPr>
              <w:keepNext w:val="0"/>
              <w:keepLines w:val="0"/>
              <w:pageBreakBefore w:val="0"/>
              <w:widowControl/>
              <w:wordWrap/>
              <w:overflowPunct/>
              <w:topLinePunct w:val="0"/>
              <w:bidi w:val="0"/>
              <w:snapToGrid w:val="0"/>
              <w:spacing w:line="340" w:lineRule="exac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4.响应商务条款中的售后服务条款要求，</w:t>
            </w:r>
            <w:r>
              <w:rPr>
                <w:rFonts w:hint="eastAsia" w:ascii="华文仿宋" w:hAnsi="华文仿宋" w:eastAsia="华文仿宋" w:cs="华文仿宋"/>
                <w:color w:val="auto"/>
                <w:spacing w:val="-6"/>
                <w:kern w:val="2"/>
                <w:sz w:val="24"/>
                <w:szCs w:val="24"/>
              </w:rPr>
              <w:t>每满足一项评审标准得</w:t>
            </w:r>
            <w:r>
              <w:rPr>
                <w:rFonts w:hint="eastAsia" w:ascii="华文仿宋" w:hAnsi="华文仿宋" w:eastAsia="华文仿宋" w:cs="华文仿宋"/>
                <w:color w:val="auto"/>
                <w:spacing w:val="-6"/>
                <w:kern w:val="2"/>
                <w:sz w:val="24"/>
                <w:szCs w:val="24"/>
                <w:lang w:val="en-US" w:eastAsia="zh-CN"/>
              </w:rPr>
              <w:t>1</w:t>
            </w:r>
            <w:r>
              <w:rPr>
                <w:rFonts w:hint="eastAsia" w:ascii="华文仿宋" w:hAnsi="华文仿宋" w:eastAsia="华文仿宋" w:cs="华文仿宋"/>
                <w:color w:val="auto"/>
                <w:spacing w:val="-6"/>
                <w:kern w:val="2"/>
                <w:sz w:val="24"/>
                <w:szCs w:val="24"/>
              </w:rPr>
              <w:t>分，满分</w:t>
            </w:r>
            <w:r>
              <w:rPr>
                <w:rFonts w:hint="eastAsia" w:ascii="华文仿宋" w:hAnsi="华文仿宋" w:eastAsia="华文仿宋" w:cs="华文仿宋"/>
                <w:color w:val="auto"/>
                <w:spacing w:val="-6"/>
                <w:kern w:val="2"/>
                <w:sz w:val="24"/>
                <w:szCs w:val="24"/>
                <w:lang w:val="en-US" w:eastAsia="zh-CN"/>
              </w:rPr>
              <w:t>2</w:t>
            </w:r>
            <w:r>
              <w:rPr>
                <w:rFonts w:hint="eastAsia" w:ascii="华文仿宋" w:hAnsi="华文仿宋" w:eastAsia="华文仿宋" w:cs="华文仿宋"/>
                <w:color w:val="auto"/>
                <w:spacing w:val="-6"/>
                <w:kern w:val="2"/>
                <w:sz w:val="24"/>
                <w:szCs w:val="24"/>
              </w:rPr>
              <w:t>分</w:t>
            </w:r>
            <w:r>
              <w:rPr>
                <w:rFonts w:hint="eastAsia" w:ascii="华文仿宋" w:hAnsi="华文仿宋" w:eastAsia="华文仿宋" w:cs="华文仿宋"/>
                <w:color w:val="auto"/>
                <w:sz w:val="24"/>
                <w:szCs w:val="24"/>
                <w:highlight w:val="none"/>
                <w:lang w:val="en-US" w:eastAsia="zh-CN"/>
              </w:rPr>
              <w:t>。</w:t>
            </w:r>
          </w:p>
        </w:tc>
      </w:tr>
      <w:tr w14:paraId="7B8A2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7"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14:paraId="572F82FA">
            <w:pPr>
              <w:keepNext w:val="0"/>
              <w:keepLines w:val="0"/>
              <w:pageBreakBefore w:val="0"/>
              <w:wordWrap/>
              <w:overflowPunct/>
              <w:topLinePunct w:val="0"/>
              <w:bidi w:val="0"/>
              <w:snapToGrid w:val="0"/>
              <w:spacing w:line="340" w:lineRule="exact"/>
              <w:jc w:val="center"/>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10</w:t>
            </w:r>
          </w:p>
        </w:tc>
        <w:tc>
          <w:tcPr>
            <w:tcW w:w="1256" w:type="dxa"/>
            <w:tcBorders>
              <w:top w:val="single" w:color="auto" w:sz="4" w:space="0"/>
              <w:left w:val="single" w:color="auto" w:sz="4" w:space="0"/>
              <w:bottom w:val="single" w:color="auto" w:sz="4" w:space="0"/>
              <w:right w:val="single" w:color="auto" w:sz="4" w:space="0"/>
            </w:tcBorders>
            <w:noWrap w:val="0"/>
            <w:vAlign w:val="center"/>
          </w:tcPr>
          <w:p w14:paraId="51F15AB9">
            <w:pPr>
              <w:keepNext w:val="0"/>
              <w:keepLines w:val="0"/>
              <w:pageBreakBefore w:val="0"/>
              <w:wordWrap/>
              <w:overflowPunct/>
              <w:topLinePunct w:val="0"/>
              <w:bidi w:val="0"/>
              <w:snapToGrid w:val="0"/>
              <w:spacing w:line="340" w:lineRule="exact"/>
              <w:jc w:val="center"/>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合理化</w:t>
            </w:r>
          </w:p>
          <w:p w14:paraId="3BFFCF94">
            <w:pPr>
              <w:keepNext w:val="0"/>
              <w:keepLines w:val="0"/>
              <w:pageBreakBefore w:val="0"/>
              <w:wordWrap/>
              <w:overflowPunct/>
              <w:topLinePunct w:val="0"/>
              <w:bidi w:val="0"/>
              <w:snapToGrid w:val="0"/>
              <w:spacing w:line="340" w:lineRule="exact"/>
              <w:jc w:val="center"/>
              <w:rPr>
                <w:rFonts w:hint="eastAsia" w:ascii="华文仿宋" w:hAnsi="华文仿宋" w:eastAsia="华文仿宋" w:cs="华文仿宋"/>
                <w:color w:val="auto"/>
                <w:kern w:val="2"/>
                <w:sz w:val="24"/>
                <w:szCs w:val="24"/>
                <w:highlight w:val="none"/>
                <w:lang w:val="en-US" w:eastAsia="zh-CN" w:bidi="ar-SA"/>
              </w:rPr>
            </w:pPr>
            <w:r>
              <w:rPr>
                <w:rFonts w:hint="eastAsia" w:ascii="华文仿宋" w:hAnsi="华文仿宋" w:eastAsia="华文仿宋" w:cs="华文仿宋"/>
                <w:color w:val="auto"/>
                <w:sz w:val="24"/>
                <w:szCs w:val="24"/>
                <w:highlight w:val="none"/>
              </w:rPr>
              <w:t>建议</w:t>
            </w:r>
          </w:p>
        </w:tc>
        <w:tc>
          <w:tcPr>
            <w:tcW w:w="876" w:type="dxa"/>
            <w:tcBorders>
              <w:top w:val="single" w:color="auto" w:sz="4" w:space="0"/>
              <w:left w:val="single" w:color="auto" w:sz="4" w:space="0"/>
              <w:bottom w:val="single" w:color="auto" w:sz="4" w:space="0"/>
              <w:right w:val="single" w:color="auto" w:sz="4" w:space="0"/>
            </w:tcBorders>
            <w:noWrap w:val="0"/>
            <w:vAlign w:val="center"/>
          </w:tcPr>
          <w:p w14:paraId="3500550F">
            <w:pPr>
              <w:keepNext w:val="0"/>
              <w:keepLines w:val="0"/>
              <w:pageBreakBefore w:val="0"/>
              <w:wordWrap/>
              <w:overflowPunct/>
              <w:topLinePunct w:val="0"/>
              <w:bidi w:val="0"/>
              <w:snapToGrid w:val="0"/>
              <w:spacing w:line="340" w:lineRule="exact"/>
              <w:jc w:val="center"/>
              <w:rPr>
                <w:rFonts w:hint="eastAsia" w:ascii="华文仿宋" w:hAnsi="华文仿宋" w:eastAsia="华文仿宋" w:cs="华文仿宋"/>
                <w:color w:val="auto"/>
                <w:kern w:val="2"/>
                <w:sz w:val="24"/>
                <w:szCs w:val="24"/>
                <w:highlight w:val="none"/>
                <w:lang w:val="en-US" w:eastAsia="zh-CN" w:bidi="ar-SA"/>
              </w:rPr>
            </w:pPr>
            <w:r>
              <w:rPr>
                <w:rFonts w:hint="eastAsia" w:ascii="华文仿宋" w:hAnsi="华文仿宋" w:eastAsia="华文仿宋" w:cs="华文仿宋"/>
                <w:color w:val="auto"/>
                <w:sz w:val="24"/>
                <w:szCs w:val="24"/>
                <w:highlight w:val="none"/>
                <w:lang w:val="en-US" w:eastAsia="zh-CN"/>
              </w:rPr>
              <w:t>5分</w:t>
            </w:r>
          </w:p>
        </w:tc>
        <w:tc>
          <w:tcPr>
            <w:tcW w:w="6288" w:type="dxa"/>
            <w:tcBorders>
              <w:top w:val="single" w:color="auto" w:sz="4" w:space="0"/>
              <w:left w:val="single" w:color="auto" w:sz="4" w:space="0"/>
              <w:bottom w:val="single" w:color="auto" w:sz="4" w:space="0"/>
              <w:right w:val="single" w:color="auto" w:sz="4" w:space="0"/>
            </w:tcBorders>
            <w:noWrap w:val="0"/>
            <w:vAlign w:val="center"/>
          </w:tcPr>
          <w:p w14:paraId="7A892D96">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b/>
                <w:bCs/>
                <w:color w:val="auto"/>
                <w:sz w:val="24"/>
                <w:szCs w:val="24"/>
                <w:highlight w:val="none"/>
                <w:lang w:val="en-US" w:eastAsia="zh-CN"/>
              </w:rPr>
            </w:pPr>
            <w:r>
              <w:rPr>
                <w:rFonts w:hint="eastAsia" w:ascii="华文仿宋" w:hAnsi="华文仿宋" w:eastAsia="华文仿宋" w:cs="华文仿宋"/>
                <w:b/>
                <w:bCs/>
                <w:color w:val="auto"/>
                <w:sz w:val="24"/>
                <w:szCs w:val="24"/>
                <w:highlight w:val="none"/>
                <w:lang w:val="en-US" w:eastAsia="zh-CN"/>
              </w:rPr>
              <w:t>一、评审内容</w:t>
            </w:r>
          </w:p>
          <w:p w14:paraId="6BD3DA79">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针对本项目提出适用于本项目的合理化建议。</w:t>
            </w:r>
          </w:p>
          <w:p w14:paraId="0B054401">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b/>
                <w:bCs/>
                <w:color w:val="auto"/>
                <w:sz w:val="24"/>
                <w:szCs w:val="24"/>
                <w:highlight w:val="none"/>
                <w:lang w:val="en-US" w:eastAsia="zh-CN"/>
              </w:rPr>
            </w:pPr>
            <w:r>
              <w:rPr>
                <w:rFonts w:hint="eastAsia" w:ascii="华文仿宋" w:hAnsi="华文仿宋" w:eastAsia="华文仿宋" w:cs="华文仿宋"/>
                <w:b/>
                <w:bCs/>
                <w:color w:val="auto"/>
                <w:sz w:val="24"/>
                <w:szCs w:val="24"/>
                <w:highlight w:val="none"/>
                <w:lang w:val="en-US" w:eastAsia="zh-CN"/>
              </w:rPr>
              <w:t>二、评审标准</w:t>
            </w:r>
          </w:p>
          <w:p w14:paraId="19F66168">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1.完整性：方案必须全面，对评审内容中的各项要求有详细描述；</w:t>
            </w:r>
          </w:p>
          <w:p w14:paraId="54E37953">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2.可实施性：切合本项目实际情况，提出思路清晰、合理的建议。</w:t>
            </w:r>
          </w:p>
          <w:p w14:paraId="083EC45E">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b/>
                <w:bCs/>
                <w:color w:val="auto"/>
                <w:sz w:val="24"/>
                <w:szCs w:val="24"/>
                <w:highlight w:val="none"/>
                <w:lang w:val="en-US" w:eastAsia="zh-CN"/>
              </w:rPr>
            </w:pPr>
            <w:r>
              <w:rPr>
                <w:rFonts w:hint="eastAsia" w:ascii="华文仿宋" w:hAnsi="华文仿宋" w:eastAsia="华文仿宋" w:cs="华文仿宋"/>
                <w:b/>
                <w:bCs/>
                <w:color w:val="auto"/>
                <w:sz w:val="24"/>
                <w:szCs w:val="24"/>
                <w:highlight w:val="none"/>
                <w:lang w:val="en-US" w:eastAsia="zh-CN"/>
              </w:rPr>
              <w:t>三、赋分标准（满分5分）</w:t>
            </w:r>
          </w:p>
          <w:p w14:paraId="16B36C35">
            <w:pPr>
              <w:keepNext w:val="0"/>
              <w:keepLines w:val="0"/>
              <w:pageBreakBefore w:val="0"/>
              <w:widowControl/>
              <w:wordWrap/>
              <w:overflowPunct/>
              <w:topLinePunct w:val="0"/>
              <w:bidi w:val="0"/>
              <w:snapToGrid w:val="0"/>
              <w:spacing w:line="340" w:lineRule="exact"/>
              <w:rPr>
                <w:rFonts w:hint="eastAsia" w:ascii="华文仿宋" w:hAnsi="华文仿宋" w:eastAsia="华文仿宋" w:cs="华文仿宋"/>
                <w:color w:val="auto"/>
                <w:kern w:val="2"/>
                <w:sz w:val="24"/>
                <w:szCs w:val="24"/>
                <w:highlight w:val="none"/>
                <w:lang w:val="en-US" w:eastAsia="zh-CN" w:bidi="ar-SA"/>
              </w:rPr>
            </w:pPr>
            <w:r>
              <w:rPr>
                <w:rFonts w:hint="eastAsia" w:ascii="华文仿宋" w:hAnsi="华文仿宋" w:eastAsia="华文仿宋" w:cs="华文仿宋"/>
                <w:color w:val="auto"/>
                <w:sz w:val="24"/>
                <w:szCs w:val="24"/>
                <w:highlight w:val="none"/>
                <w:lang w:val="en-US" w:eastAsia="zh-CN"/>
              </w:rPr>
              <w:t>合理化建议：每满足一项评审标准得2.5分，满分5分。</w:t>
            </w:r>
          </w:p>
        </w:tc>
      </w:tr>
      <w:tr w14:paraId="62867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6"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14:paraId="05F063F7">
            <w:pPr>
              <w:pStyle w:val="12"/>
              <w:keepNext w:val="0"/>
              <w:keepLines w:val="0"/>
              <w:pageBreakBefore w:val="0"/>
              <w:wordWrap/>
              <w:overflowPunct/>
              <w:topLinePunct w:val="0"/>
              <w:bidi w:val="0"/>
              <w:snapToGrid w:val="0"/>
              <w:spacing w:line="340" w:lineRule="exact"/>
              <w:jc w:val="center"/>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11</w:t>
            </w:r>
          </w:p>
        </w:tc>
        <w:tc>
          <w:tcPr>
            <w:tcW w:w="1256" w:type="dxa"/>
            <w:tcBorders>
              <w:top w:val="single" w:color="auto" w:sz="4" w:space="0"/>
              <w:left w:val="single" w:color="auto" w:sz="4" w:space="0"/>
              <w:bottom w:val="single" w:color="auto" w:sz="4" w:space="0"/>
              <w:right w:val="single" w:color="auto" w:sz="4" w:space="0"/>
            </w:tcBorders>
            <w:noWrap w:val="0"/>
            <w:vAlign w:val="center"/>
          </w:tcPr>
          <w:p w14:paraId="0D6203CC">
            <w:pPr>
              <w:keepNext w:val="0"/>
              <w:keepLines w:val="0"/>
              <w:pageBreakBefore w:val="0"/>
              <w:wordWrap/>
              <w:overflowPunct/>
              <w:topLinePunct w:val="0"/>
              <w:bidi w:val="0"/>
              <w:snapToGrid w:val="0"/>
              <w:spacing w:line="340" w:lineRule="exact"/>
              <w:jc w:val="center"/>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接受监督</w:t>
            </w:r>
          </w:p>
        </w:tc>
        <w:tc>
          <w:tcPr>
            <w:tcW w:w="876" w:type="dxa"/>
            <w:tcBorders>
              <w:top w:val="single" w:color="auto" w:sz="4" w:space="0"/>
              <w:left w:val="single" w:color="auto" w:sz="4" w:space="0"/>
              <w:bottom w:val="single" w:color="auto" w:sz="4" w:space="0"/>
              <w:right w:val="single" w:color="auto" w:sz="4" w:space="0"/>
            </w:tcBorders>
            <w:noWrap w:val="0"/>
            <w:vAlign w:val="center"/>
          </w:tcPr>
          <w:p w14:paraId="047710EE">
            <w:pPr>
              <w:keepNext w:val="0"/>
              <w:keepLines w:val="0"/>
              <w:pageBreakBefore w:val="0"/>
              <w:wordWrap/>
              <w:overflowPunct/>
              <w:topLinePunct w:val="0"/>
              <w:bidi w:val="0"/>
              <w:snapToGrid w:val="0"/>
              <w:spacing w:line="340" w:lineRule="exact"/>
              <w:jc w:val="center"/>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7分</w:t>
            </w:r>
          </w:p>
        </w:tc>
        <w:tc>
          <w:tcPr>
            <w:tcW w:w="6288" w:type="dxa"/>
            <w:tcBorders>
              <w:top w:val="single" w:color="auto" w:sz="4" w:space="0"/>
              <w:left w:val="single" w:color="auto" w:sz="4" w:space="0"/>
              <w:bottom w:val="single" w:color="auto" w:sz="4" w:space="0"/>
              <w:right w:val="single" w:color="auto" w:sz="4" w:space="0"/>
            </w:tcBorders>
            <w:noWrap w:val="0"/>
            <w:vAlign w:val="center"/>
          </w:tcPr>
          <w:p w14:paraId="315FD45A">
            <w:pPr>
              <w:keepNext w:val="0"/>
              <w:keepLines w:val="0"/>
              <w:pageBreakBefore w:val="0"/>
              <w:widowControl/>
              <w:wordWrap/>
              <w:overflowPunct/>
              <w:topLinePunct w:val="0"/>
              <w:bidi w:val="0"/>
              <w:snapToGrid w:val="0"/>
              <w:spacing w:line="380" w:lineRule="exact"/>
              <w:ind w:left="0" w:leftChars="0" w:right="0" w:rightChars="0" w:firstLine="0" w:firstLineChars="0"/>
              <w:jc w:val="lef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1.承诺接受采购人对服务的监督管理及考核，得3.5分。</w:t>
            </w:r>
          </w:p>
          <w:p w14:paraId="0B620F0E">
            <w:pPr>
              <w:keepNext w:val="0"/>
              <w:keepLines w:val="0"/>
              <w:pageBreakBefore w:val="0"/>
              <w:widowControl/>
              <w:wordWrap/>
              <w:overflowPunct/>
              <w:topLinePunct w:val="0"/>
              <w:bidi w:val="0"/>
              <w:snapToGrid w:val="0"/>
              <w:spacing w:line="340" w:lineRule="exact"/>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2.承诺</w:t>
            </w:r>
            <w:r>
              <w:rPr>
                <w:rFonts w:hint="eastAsia" w:ascii="华文仿宋" w:hAnsi="华文仿宋" w:eastAsia="华文仿宋" w:cs="华文仿宋"/>
                <w:color w:val="auto"/>
                <w:spacing w:val="-6"/>
                <w:kern w:val="2"/>
                <w:sz w:val="24"/>
                <w:szCs w:val="24"/>
                <w:lang w:val="en-US" w:eastAsia="zh-CN"/>
              </w:rPr>
              <w:t>接受采购人对服务质量定期调研，确保服务工作的优质高效，得3.5分。</w:t>
            </w:r>
          </w:p>
        </w:tc>
      </w:tr>
    </w:tbl>
    <w:p w14:paraId="474ED485">
      <w:pPr>
        <w:spacing w:line="500" w:lineRule="exact"/>
        <w:ind w:firstLine="566" w:firstLineChars="200"/>
        <w:rPr>
          <w:rFonts w:hint="eastAsia" w:ascii="华文仿宋" w:hAnsi="华文仿宋" w:cs="华文仿宋"/>
          <w:color w:val="000000"/>
          <w:lang w:val="ru-RU"/>
        </w:rPr>
      </w:pPr>
    </w:p>
    <w:p w14:paraId="362DB257">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val="ru-RU"/>
        </w:rPr>
        <w:t>特</w:t>
      </w:r>
      <w:r>
        <w:rPr>
          <w:rFonts w:hint="eastAsia" w:ascii="华文仿宋" w:hAnsi="华文仿宋" w:cs="华文仿宋"/>
          <w:color w:val="000000"/>
        </w:rPr>
        <w:t>殊情况：</w:t>
      </w:r>
    </w:p>
    <w:p w14:paraId="4E75327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①得分相同的，按投标报价由低到高顺序排列。得分且投标报价相同的，比较技术得分，技术得分高者排在前。</w:t>
      </w:r>
    </w:p>
    <w:p w14:paraId="1CD78D0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②评委评分超过得分界限或未按照本办法规定时，该评委的该项评分作废，不计入汇总。</w:t>
      </w:r>
    </w:p>
    <w:p w14:paraId="70A8CBB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数字均保留二位小数，第三位“四舍五入”。</w:t>
      </w:r>
    </w:p>
    <w:p w14:paraId="1EBF9A7E">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8.推荐成交候选供应商</w:t>
      </w:r>
    </w:p>
    <w:p w14:paraId="43BE5C3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小组应当根据综合评分情况，按照评审得分由高到低顺序推荐3名以上成交候选供应商（有效供应商不足三家时以实际数量推荐）。评审得分相同的，按照最后报价由低到高的顺序推荐。评审得分且最后报价相同的，按照技术指标优劣顺序推荐。</w:t>
      </w:r>
    </w:p>
    <w:p w14:paraId="7D99370B">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9.编写评审报告</w:t>
      </w:r>
    </w:p>
    <w:p w14:paraId="1DBDBA7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计入考核表。</w:t>
      </w:r>
    </w:p>
    <w:p w14:paraId="3FE84EB7">
      <w:pPr>
        <w:spacing w:line="500" w:lineRule="exact"/>
        <w:ind w:firstLine="566" w:firstLineChars="200"/>
        <w:rPr>
          <w:b/>
          <w:bCs/>
          <w:color w:val="000000"/>
        </w:rPr>
      </w:pPr>
      <w:r>
        <w:rPr>
          <w:rFonts w:hint="eastAsia"/>
          <w:b/>
          <w:bCs/>
          <w:color w:val="000000"/>
        </w:rPr>
        <w:t>采购人书面授权磋商小组直接确定成交供应商的，磋商小组应在评审报告中明确成交供应商及成交金额。</w:t>
      </w:r>
    </w:p>
    <w:p w14:paraId="1AEA8353">
      <w:pPr>
        <w:spacing w:line="500" w:lineRule="exact"/>
        <w:ind w:firstLine="566" w:firstLineChars="200"/>
        <w:rPr>
          <w:rFonts w:ascii="Calibri" w:hAnsi="Calibri"/>
          <w:color w:val="000000"/>
        </w:rPr>
      </w:pPr>
      <w:r>
        <w:rPr>
          <w:rFonts w:hint="eastAsia" w:ascii="Calibri" w:hAnsi="Calibri"/>
          <w:color w:val="000000"/>
        </w:rPr>
        <w:t>除下列情形外，任何人不得以任何理由组织重新评审：</w:t>
      </w:r>
    </w:p>
    <w:p w14:paraId="40AF765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（1）资格性检查认定错误的；</w:t>
      </w:r>
    </w:p>
    <w:p w14:paraId="7294A900">
      <w:pPr>
        <w:spacing w:line="500" w:lineRule="exact"/>
        <w:ind w:firstLine="566" w:firstLineChars="200"/>
        <w:rPr>
          <w:rFonts w:ascii="Calibri" w:hAnsi="Calibri"/>
          <w:color w:val="000000"/>
        </w:rPr>
      </w:pPr>
      <w:r>
        <w:rPr>
          <w:rFonts w:hint="eastAsia" w:ascii="华文仿宋" w:hAnsi="华文仿宋" w:cs="华文仿宋"/>
          <w:color w:val="000000"/>
        </w:rPr>
        <w:t>（2）</w:t>
      </w:r>
      <w:r>
        <w:rPr>
          <w:rFonts w:hint="eastAsia" w:ascii="Calibri" w:hAnsi="Calibri"/>
          <w:color w:val="000000"/>
        </w:rPr>
        <w:t>分值汇总计算错误的；</w:t>
      </w:r>
    </w:p>
    <w:p w14:paraId="6E555475">
      <w:pPr>
        <w:spacing w:line="500" w:lineRule="exact"/>
        <w:ind w:firstLine="566" w:firstLineChars="200"/>
        <w:rPr>
          <w:rFonts w:ascii="Calibri" w:hAnsi="Calibri"/>
          <w:color w:val="000000"/>
        </w:rPr>
      </w:pPr>
      <w:r>
        <w:rPr>
          <w:rFonts w:hint="eastAsia" w:ascii="华文仿宋" w:hAnsi="华文仿宋" w:cs="华文仿宋"/>
          <w:color w:val="000000"/>
        </w:rPr>
        <w:t>（3）</w:t>
      </w:r>
      <w:r>
        <w:rPr>
          <w:rFonts w:hint="eastAsia" w:ascii="Calibri" w:hAnsi="Calibri"/>
          <w:color w:val="000000"/>
        </w:rPr>
        <w:t>分项评分超出评分标准范围的；</w:t>
      </w:r>
    </w:p>
    <w:p w14:paraId="3CC21F21">
      <w:pPr>
        <w:spacing w:line="500" w:lineRule="exact"/>
        <w:ind w:firstLine="566" w:firstLineChars="200"/>
        <w:rPr>
          <w:rFonts w:ascii="Calibri" w:hAnsi="Calibri"/>
          <w:color w:val="000000"/>
        </w:rPr>
      </w:pPr>
      <w:r>
        <w:rPr>
          <w:rFonts w:hint="eastAsia" w:ascii="华文仿宋" w:hAnsi="华文仿宋" w:cs="华文仿宋"/>
          <w:color w:val="000000"/>
        </w:rPr>
        <w:t>（4）</w:t>
      </w:r>
      <w:r>
        <w:rPr>
          <w:rFonts w:hint="eastAsia" w:ascii="Calibri" w:hAnsi="Calibri"/>
          <w:color w:val="000000"/>
        </w:rPr>
        <w:t>客观分评分不一致的；</w:t>
      </w:r>
    </w:p>
    <w:p w14:paraId="6BE8CA3D">
      <w:pPr>
        <w:spacing w:line="500" w:lineRule="exact"/>
        <w:ind w:firstLine="566" w:firstLineChars="200"/>
        <w:rPr>
          <w:rFonts w:ascii="Calibri" w:hAnsi="Calibri"/>
          <w:color w:val="000000"/>
        </w:rPr>
      </w:pPr>
      <w:r>
        <w:rPr>
          <w:rFonts w:hint="eastAsia" w:ascii="华文仿宋" w:hAnsi="华文仿宋" w:cs="华文仿宋"/>
          <w:color w:val="000000"/>
        </w:rPr>
        <w:t>（5）</w:t>
      </w:r>
      <w:r>
        <w:rPr>
          <w:rFonts w:hint="eastAsia" w:ascii="Calibri" w:hAnsi="Calibri"/>
          <w:color w:val="000000"/>
        </w:rPr>
        <w:t>经磋商</w:t>
      </w:r>
      <w:r>
        <w:rPr>
          <w:rFonts w:ascii="Calibri" w:hAnsi="Calibri"/>
          <w:color w:val="000000"/>
        </w:rPr>
        <w:t>小组</w:t>
      </w:r>
      <w:r>
        <w:rPr>
          <w:rFonts w:hint="eastAsia" w:ascii="Calibri" w:hAnsi="Calibri"/>
          <w:color w:val="000000"/>
        </w:rPr>
        <w:t>一致认定评分畸高、畸低的情形。</w:t>
      </w:r>
    </w:p>
    <w:p w14:paraId="22DF192E">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（六）有下列情况之一的，视为供应商串通投标，其投标无效：</w:t>
      </w:r>
    </w:p>
    <w:p w14:paraId="22F8E6A2">
      <w:pPr>
        <w:spacing w:line="500" w:lineRule="exact"/>
        <w:ind w:firstLine="566" w:firstLineChars="200"/>
        <w:rPr>
          <w:rFonts w:ascii="Calibri" w:hAnsi="Calibri"/>
          <w:color w:val="000000"/>
        </w:rPr>
      </w:pPr>
      <w:r>
        <w:rPr>
          <w:rFonts w:hint="eastAsia" w:ascii="仿宋" w:hAnsi="仿宋" w:eastAsia="仿宋" w:cs="仿宋"/>
          <w:color w:val="000000"/>
        </w:rPr>
        <w:t>1</w:t>
      </w:r>
      <w:r>
        <w:rPr>
          <w:rFonts w:hint="eastAsia" w:ascii="Calibri" w:hAnsi="Calibri"/>
          <w:color w:val="000000"/>
        </w:rPr>
        <w:t>.不同供应商的电子响应文件由同一单位或者个人编制；</w:t>
      </w:r>
    </w:p>
    <w:p w14:paraId="2A85B3D0">
      <w:pPr>
        <w:spacing w:line="500" w:lineRule="exact"/>
        <w:ind w:firstLine="566" w:firstLineChars="200"/>
        <w:rPr>
          <w:rFonts w:ascii="Calibri" w:hAnsi="Calibri"/>
          <w:color w:val="000000"/>
        </w:rPr>
      </w:pPr>
      <w:r>
        <w:rPr>
          <w:rFonts w:hint="eastAsia" w:ascii="仿宋" w:hAnsi="仿宋" w:eastAsia="仿宋" w:cs="仿宋"/>
          <w:color w:val="000000"/>
        </w:rPr>
        <w:t>2</w:t>
      </w:r>
      <w:r>
        <w:rPr>
          <w:rFonts w:hint="eastAsia" w:ascii="Calibri" w:hAnsi="Calibri"/>
          <w:color w:val="000000"/>
        </w:rPr>
        <w:t>.不同供应商的</w:t>
      </w:r>
      <w:r>
        <w:rPr>
          <w:rFonts w:hint="eastAsia" w:ascii="仿宋" w:hAnsi="仿宋" w:eastAsia="仿宋" w:cs="仿宋"/>
          <w:bCs/>
          <w:color w:val="000000"/>
          <w:szCs w:val="32"/>
        </w:rPr>
        <w:t>电子</w:t>
      </w:r>
      <w:r>
        <w:rPr>
          <w:rFonts w:hint="eastAsia" w:ascii="Calibri" w:hAnsi="Calibri"/>
          <w:color w:val="000000"/>
        </w:rPr>
        <w:t>响应文件由同一台电脑编制；</w:t>
      </w:r>
    </w:p>
    <w:p w14:paraId="447812C8">
      <w:pPr>
        <w:spacing w:line="500" w:lineRule="exact"/>
        <w:ind w:firstLine="566" w:firstLineChars="200"/>
        <w:rPr>
          <w:rFonts w:ascii="Calibri" w:hAnsi="Calibri"/>
          <w:color w:val="000000"/>
        </w:rPr>
      </w:pPr>
      <w:r>
        <w:rPr>
          <w:rFonts w:hint="eastAsia" w:ascii="仿宋" w:hAnsi="仿宋" w:eastAsia="仿宋" w:cs="仿宋"/>
          <w:color w:val="000000"/>
        </w:rPr>
        <w:t>3</w:t>
      </w:r>
      <w:r>
        <w:rPr>
          <w:rFonts w:hint="eastAsia" w:ascii="Calibri" w:hAnsi="Calibri"/>
          <w:color w:val="000000"/>
        </w:rPr>
        <w:t>.不同供应商委托同一单位或者个人办理投标事宜；</w:t>
      </w:r>
    </w:p>
    <w:p w14:paraId="676E33C2">
      <w:pPr>
        <w:spacing w:line="500" w:lineRule="exact"/>
        <w:ind w:firstLine="566" w:firstLineChars="200"/>
        <w:rPr>
          <w:rFonts w:ascii="Calibri" w:hAnsi="Calibri"/>
          <w:color w:val="000000"/>
        </w:rPr>
      </w:pPr>
      <w:r>
        <w:rPr>
          <w:rFonts w:hint="eastAsia" w:ascii="仿宋" w:hAnsi="仿宋" w:eastAsia="仿宋" w:cs="仿宋"/>
          <w:color w:val="000000"/>
        </w:rPr>
        <w:t>4</w:t>
      </w:r>
      <w:r>
        <w:rPr>
          <w:rFonts w:hint="eastAsia" w:ascii="Calibri" w:hAnsi="Calibri"/>
          <w:color w:val="000000"/>
        </w:rPr>
        <w:t>.不同供应商的</w:t>
      </w:r>
      <w:r>
        <w:rPr>
          <w:rFonts w:hint="eastAsia" w:ascii="仿宋" w:hAnsi="仿宋" w:eastAsia="仿宋" w:cs="仿宋"/>
          <w:bCs/>
          <w:color w:val="000000"/>
          <w:szCs w:val="32"/>
        </w:rPr>
        <w:t>电子</w:t>
      </w:r>
      <w:r>
        <w:rPr>
          <w:rFonts w:hint="eastAsia" w:ascii="Calibri" w:hAnsi="Calibri"/>
          <w:color w:val="000000"/>
        </w:rPr>
        <w:t>响应文件载明的项目管理成员或者联系人员为同一人；</w:t>
      </w:r>
    </w:p>
    <w:p w14:paraId="003781D8">
      <w:pPr>
        <w:spacing w:line="500" w:lineRule="exact"/>
        <w:ind w:firstLine="566" w:firstLineChars="200"/>
        <w:rPr>
          <w:rFonts w:ascii="Calibri" w:hAnsi="Calibri"/>
          <w:color w:val="000000"/>
        </w:rPr>
      </w:pPr>
      <w:r>
        <w:rPr>
          <w:rFonts w:hint="eastAsia" w:ascii="仿宋" w:hAnsi="仿宋" w:eastAsia="仿宋" w:cs="仿宋"/>
          <w:color w:val="000000"/>
        </w:rPr>
        <w:t>5</w:t>
      </w:r>
      <w:r>
        <w:rPr>
          <w:rFonts w:hint="eastAsia" w:ascii="Calibri" w:hAnsi="Calibri"/>
          <w:color w:val="000000"/>
        </w:rPr>
        <w:t>.不同供应商的电子响应文件异常一致或者磋商报价呈规律性差异；</w:t>
      </w:r>
    </w:p>
    <w:p w14:paraId="636D1FFF">
      <w:pPr>
        <w:spacing w:line="500" w:lineRule="exact"/>
        <w:ind w:firstLine="566" w:firstLineChars="200"/>
        <w:rPr>
          <w:rFonts w:ascii="Calibri" w:hAnsi="Calibri"/>
          <w:color w:val="000000"/>
        </w:rPr>
      </w:pPr>
      <w:r>
        <w:rPr>
          <w:rFonts w:hint="eastAsia" w:ascii="仿宋" w:hAnsi="仿宋" w:eastAsia="仿宋" w:cs="仿宋"/>
          <w:color w:val="000000"/>
        </w:rPr>
        <w:t>6</w:t>
      </w:r>
      <w:r>
        <w:rPr>
          <w:rFonts w:hint="eastAsia" w:ascii="Calibri" w:hAnsi="Calibri"/>
          <w:color w:val="000000"/>
        </w:rPr>
        <w:t>.不同供应商的电子响应文件相互混装；</w:t>
      </w:r>
    </w:p>
    <w:p w14:paraId="7E60ED0D">
      <w:pPr>
        <w:spacing w:line="500" w:lineRule="exact"/>
        <w:ind w:firstLine="566" w:firstLineChars="200"/>
        <w:rPr>
          <w:rFonts w:ascii="华文仿宋" w:hAnsi="华文仿宋" w:cs="华文仿宋"/>
          <w:color w:val="000000"/>
        </w:rPr>
      </w:pPr>
      <w:r>
        <w:rPr>
          <w:rFonts w:hint="eastAsia" w:ascii="仿宋" w:hAnsi="仿宋" w:eastAsia="仿宋" w:cs="仿宋"/>
          <w:color w:val="000000"/>
        </w:rPr>
        <w:t>7</w:t>
      </w:r>
      <w:r>
        <w:rPr>
          <w:rFonts w:hint="eastAsia" w:ascii="Calibri" w:hAnsi="Calibri"/>
          <w:color w:val="000000"/>
        </w:rPr>
        <w:t>.政府采购法律法规及电子磋商文件规定的其他情形。</w:t>
      </w:r>
    </w:p>
    <w:p w14:paraId="47214D19">
      <w:pPr>
        <w:pStyle w:val="3"/>
        <w:ind w:firstLine="567"/>
        <w:rPr>
          <w:rFonts w:ascii="华文仿宋" w:hAnsi="华文仿宋" w:cs="华文仿宋"/>
          <w:color w:val="000000"/>
          <w:sz w:val="28"/>
          <w:szCs w:val="28"/>
        </w:rPr>
      </w:pPr>
      <w:bookmarkStart w:id="124" w:name="_Toc22712"/>
      <w:bookmarkStart w:id="125" w:name="_Toc4670"/>
      <w:bookmarkStart w:id="126" w:name="_Toc28384"/>
      <w:bookmarkStart w:id="127" w:name="_Toc25855"/>
      <w:bookmarkStart w:id="128" w:name="_Toc30924"/>
      <w:bookmarkStart w:id="129" w:name="_Toc17612"/>
      <w:r>
        <w:rPr>
          <w:rFonts w:hint="eastAsia" w:ascii="华文仿宋" w:hAnsi="华文仿宋" w:cs="华文仿宋"/>
          <w:color w:val="000000"/>
          <w:sz w:val="28"/>
          <w:szCs w:val="28"/>
        </w:rPr>
        <w:t>八、成交</w:t>
      </w:r>
      <w:bookmarkEnd w:id="124"/>
      <w:bookmarkEnd w:id="125"/>
      <w:bookmarkEnd w:id="126"/>
      <w:bookmarkEnd w:id="127"/>
      <w:bookmarkEnd w:id="128"/>
      <w:bookmarkEnd w:id="129"/>
    </w:p>
    <w:p w14:paraId="0728D10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（一）本项目采用第</w:t>
      </w:r>
      <w:r>
        <w:rPr>
          <w:rFonts w:hint="eastAsia" w:ascii="华文仿宋" w:hAnsi="华文仿宋" w:cs="华文仿宋"/>
          <w:color w:val="000000"/>
          <w:u w:val="single"/>
        </w:rPr>
        <w:t xml:space="preserve"> </w:t>
      </w:r>
      <w:r>
        <w:rPr>
          <w:rFonts w:hint="eastAsia" w:ascii="华文仿宋" w:hAnsi="华文仿宋" w:cs="华文仿宋"/>
          <w:color w:val="000000"/>
          <w:u w:val="single"/>
          <w:lang w:val="en-US" w:eastAsia="zh-CN"/>
        </w:rPr>
        <w:t>1</w:t>
      </w:r>
      <w:r>
        <w:rPr>
          <w:rFonts w:hint="eastAsia" w:ascii="华文仿宋" w:hAnsi="华文仿宋" w:cs="华文仿宋"/>
          <w:color w:val="000000"/>
        </w:rPr>
        <w:t>种方式确定成交供应商：</w:t>
      </w:r>
    </w:p>
    <w:p w14:paraId="38813DA2">
      <w:pPr>
        <w:wordWrap w:val="0"/>
        <w:spacing w:line="500" w:lineRule="exact"/>
        <w:ind w:firstLine="566" w:firstLineChars="200"/>
        <w:rPr>
          <w:rFonts w:ascii="华文仿宋" w:hAnsi="华文仿宋" w:cs="华文仿宋"/>
        </w:rPr>
      </w:pPr>
      <w:r>
        <w:rPr>
          <w:rFonts w:hint="eastAsia" w:ascii="华文仿宋" w:hAnsi="华文仿宋" w:cs="华文仿宋"/>
        </w:rPr>
        <w:t>1.采购人授权磋商小组直接确定成交供应商。</w:t>
      </w:r>
    </w:p>
    <w:p w14:paraId="1AEEB9C2">
      <w:pPr>
        <w:wordWrap w:val="0"/>
        <w:spacing w:line="500" w:lineRule="exact"/>
        <w:ind w:firstLine="566" w:firstLineChars="200"/>
        <w:rPr>
          <w:rFonts w:ascii="华文仿宋" w:hAnsi="华文仿宋" w:cs="华文仿宋"/>
        </w:rPr>
      </w:pPr>
      <w:r>
        <w:rPr>
          <w:rFonts w:hint="eastAsia" w:ascii="华文仿宋" w:hAnsi="华文仿宋" w:cs="华文仿宋"/>
        </w:rPr>
        <w:t>采购人在评审前提供《委托评审小组定标授权书》，磋商小组将根据采购人授权直接确定成交供应商。</w:t>
      </w:r>
    </w:p>
    <w:p w14:paraId="06BD3D7A">
      <w:pPr>
        <w:wordWrap w:val="0"/>
        <w:spacing w:line="500" w:lineRule="exact"/>
        <w:ind w:firstLine="566" w:firstLineChars="200"/>
        <w:rPr>
          <w:rFonts w:ascii="华文仿宋" w:hAnsi="华文仿宋" w:cs="华文仿宋"/>
        </w:rPr>
      </w:pPr>
      <w:r>
        <w:rPr>
          <w:rFonts w:hint="eastAsia" w:ascii="华文仿宋" w:hAnsi="华文仿宋" w:cs="华文仿宋"/>
        </w:rPr>
        <w:t>2.采购人根据磋商小组评审结果确认。</w:t>
      </w:r>
    </w:p>
    <w:p w14:paraId="0C54F91B">
      <w:pPr>
        <w:wordWrap w:val="0"/>
        <w:spacing w:line="500" w:lineRule="exact"/>
        <w:ind w:firstLine="566" w:firstLineChars="200"/>
        <w:rPr>
          <w:rFonts w:ascii="华文仿宋" w:hAnsi="华文仿宋" w:cs="华文仿宋"/>
        </w:rPr>
      </w:pPr>
      <w:r>
        <w:rPr>
          <w:rFonts w:hint="eastAsia" w:ascii="华文仿宋" w:hAnsi="华文仿宋" w:cs="华文仿宋"/>
        </w:rPr>
        <w:t>中心在评审结束后2个工作日内将评审报告送采购人确认。采购人在收到评审报告之日起5个工作日内，从评审报告提出的成交候选供应商中，按照排序由高到低的原则确定成交供应商。采购人逾期未确定成交供应商且不提出异议的，视同按评审报告提出的排序第一的供应商为成交供应商。</w:t>
      </w:r>
    </w:p>
    <w:p w14:paraId="37E83356">
      <w:pPr>
        <w:wordWrap w:val="0"/>
        <w:spacing w:line="500" w:lineRule="exact"/>
        <w:ind w:firstLine="566" w:firstLineChars="200"/>
        <w:rPr>
          <w:rFonts w:ascii="华文仿宋" w:hAnsi="华文仿宋" w:cs="华文仿宋"/>
        </w:rPr>
      </w:pPr>
      <w:r>
        <w:rPr>
          <w:rFonts w:hint="eastAsia" w:ascii="华文仿宋" w:hAnsi="华文仿宋" w:cs="华文仿宋"/>
        </w:rPr>
        <w:t>注：按照《延安市市直单位政府采购中心采购项目委托代理协议书》中约定执行。</w:t>
      </w:r>
    </w:p>
    <w:p w14:paraId="43406FD6">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（二）中心将在成交供应商确定之日起2个工作日内，在【</w:t>
      </w:r>
      <w:r>
        <w:fldChar w:fldCharType="begin"/>
      </w:r>
      <w:r>
        <w:instrText xml:space="preserve"> HYPERLINK "http://www.ccgp-shaanxi.gov.cn/" </w:instrText>
      </w:r>
      <w:r>
        <w:fldChar w:fldCharType="separate"/>
      </w:r>
      <w:r>
        <w:rPr>
          <w:rFonts w:hint="eastAsia" w:ascii="华文仿宋" w:hAnsi="华文仿宋" w:cs="华文仿宋"/>
          <w:color w:val="000000"/>
        </w:rPr>
        <w:t>陕西省政府采购网</w:t>
      </w:r>
      <w:r>
        <w:rPr>
          <w:rFonts w:hint="eastAsia" w:ascii="华文仿宋" w:hAnsi="华文仿宋" w:cs="华文仿宋"/>
          <w:color w:val="000000"/>
        </w:rPr>
        <w:fldChar w:fldCharType="end"/>
      </w:r>
      <w:r>
        <w:rPr>
          <w:rFonts w:hint="eastAsia" w:ascii="华文仿宋" w:hAnsi="华文仿宋" w:cs="华文仿宋"/>
          <w:color w:val="000000"/>
        </w:rPr>
        <w:t>（www.ccgp-shaanxi.gov.cn）】、【全国公共资源交易平台（陕西省·延安市）（ http://ya.sxggzyjy.cn/ ）】上发布成交公告，成交公告期限为1个工作日。同时，中心向成交供应商发出“成交通知书”。成交结果公告应当包括以下内容：</w:t>
      </w:r>
    </w:p>
    <w:p w14:paraId="2802D3B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1.采购人和采购代理机构的名称、地址和联系方式；</w:t>
      </w:r>
    </w:p>
    <w:p w14:paraId="6CAAE5C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2.项目名称和项目编号；</w:t>
      </w:r>
    </w:p>
    <w:p w14:paraId="458E033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3.成交供应商名称、地址和成交金额；</w:t>
      </w:r>
    </w:p>
    <w:p w14:paraId="6061C0BD">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4.主要成交标的的名称、规格型号、数量、单价、服务要求；</w:t>
      </w:r>
    </w:p>
    <w:p w14:paraId="651F6898">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5.磋商小组成员名单。</w:t>
      </w:r>
    </w:p>
    <w:p w14:paraId="5FE59F0C">
      <w:pPr>
        <w:wordWrap w:val="0"/>
        <w:spacing w:line="500" w:lineRule="exact"/>
        <w:ind w:firstLine="566" w:firstLineChars="200"/>
        <w:rPr>
          <w:color w:val="000000"/>
        </w:rPr>
      </w:pPr>
      <w:r>
        <w:rPr>
          <w:rFonts w:hint="eastAsia" w:ascii="华文仿宋" w:hAnsi="华文仿宋" w:cs="华文仿宋"/>
          <w:color w:val="000000"/>
        </w:rPr>
        <w:t>采用书面推荐供应商参加采购活动的，还应当公告采购人和评审专家的推荐意见。</w:t>
      </w:r>
    </w:p>
    <w:p w14:paraId="3BADB9F5">
      <w:pPr>
        <w:pStyle w:val="3"/>
        <w:ind w:firstLine="567"/>
        <w:rPr>
          <w:rFonts w:ascii="华文仿宋" w:hAnsi="华文仿宋" w:cs="华文仿宋"/>
          <w:color w:val="000000"/>
          <w:sz w:val="28"/>
          <w:szCs w:val="28"/>
        </w:rPr>
      </w:pPr>
      <w:bookmarkStart w:id="130" w:name="_Toc20049"/>
      <w:bookmarkStart w:id="131" w:name="_Toc14009"/>
      <w:bookmarkStart w:id="132" w:name="_Toc31537"/>
      <w:bookmarkStart w:id="133" w:name="_Toc3100"/>
      <w:bookmarkStart w:id="134" w:name="_Toc10386"/>
      <w:bookmarkStart w:id="135" w:name="_Toc28870"/>
      <w:r>
        <w:rPr>
          <w:rFonts w:hint="eastAsia" w:ascii="华文仿宋" w:hAnsi="华文仿宋" w:cs="华文仿宋"/>
          <w:color w:val="000000"/>
          <w:sz w:val="28"/>
          <w:szCs w:val="28"/>
        </w:rPr>
        <w:t>九、签订政府采购合同</w:t>
      </w:r>
      <w:bookmarkEnd w:id="130"/>
      <w:bookmarkEnd w:id="131"/>
      <w:bookmarkEnd w:id="132"/>
      <w:bookmarkEnd w:id="133"/>
      <w:bookmarkEnd w:id="134"/>
      <w:bookmarkEnd w:id="135"/>
    </w:p>
    <w:p w14:paraId="5F20FFF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（一）</w:t>
      </w:r>
      <w:r>
        <w:rPr>
          <w:rFonts w:hint="eastAsia" w:ascii="华文仿宋" w:hAnsi="华文仿宋" w:cs="华文仿宋"/>
        </w:rPr>
        <w:t>采购人与成交供应商应当在成交通知书发出之日起一般不得超出15日，按</w:t>
      </w:r>
      <w:r>
        <w:rPr>
          <w:rFonts w:hint="eastAsia" w:ascii="华文仿宋" w:hAnsi="华文仿宋" w:cs="华文仿宋"/>
          <w:color w:val="000000"/>
        </w:rPr>
        <w:t>照电子磋商文件确定的合同文本以及采购标的、规格型号、采购金额、采购数量、技术和服务要求等事项签订政府采购合同。</w:t>
      </w:r>
    </w:p>
    <w:p w14:paraId="4502DC0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二）采购人不得向成交供应商提出超出电子磋商文件以外的任何要求作为签订合同的条件，不得与成交供应商订立背离电子磋商文件确定的合同文本以及采购标的、规格型号、采购金额、采购数量、技术和服务要求等实质性内容的协议。</w:t>
      </w:r>
    </w:p>
    <w:p w14:paraId="4DE9E3D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三）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336621E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（四）电子磋商文件、成交供应商的电子响应文件、《成交通知书》及其澄清、说明文件、承诺等，均为签订采购合同的依据，作为采购合同的组成部分。</w:t>
      </w:r>
    </w:p>
    <w:p w14:paraId="0026526D">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rPr>
        <w:t>（五）政府采购合同应当包括采购人与成交供应商的名称和住所、标的、数量、质量、价款或者报酬、履行期限及地点和方式、验收要求、违约责任、解决争议的方法等内容。</w:t>
      </w:r>
    </w:p>
    <w:p w14:paraId="4A8CE750">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rPr>
        <w:t>（六）采购人与成交供应商应当根据合同的约定依法履行合同义务。</w:t>
      </w:r>
    </w:p>
    <w:p w14:paraId="20F0CC55">
      <w:pPr>
        <w:spacing w:line="500" w:lineRule="exact"/>
        <w:rPr>
          <w:rFonts w:ascii="华文仿宋" w:hAnsi="华文仿宋" w:cs="华文仿宋"/>
          <w:color w:val="000000"/>
          <w:kern w:val="0"/>
        </w:rPr>
      </w:pPr>
      <w:r>
        <w:rPr>
          <w:rFonts w:hint="eastAsia" w:ascii="华文仿宋" w:hAnsi="华文仿宋" w:cs="华文仿宋"/>
          <w:color w:val="000000"/>
          <w:kern w:val="0"/>
        </w:rPr>
        <w:t>政府采购合同的履行、违约责任和解决争议的方法等适用《中华人民共和国民法典》。</w:t>
      </w:r>
    </w:p>
    <w:p w14:paraId="478E473D">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rPr>
        <w:t>（七）采购人应当及时对采购项目进行验收，完成采购项目履约验收期限一般不得超过15日。采购人可以邀请参加本项目的其他投标供应商或者第三方机构参与验收。参与验收的供应商或者第三方机构的意见作为验收书的参考资料一并存档。</w:t>
      </w:r>
    </w:p>
    <w:p w14:paraId="00AED01C">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rPr>
        <w:t>（八）采购人应当加强对成交供应商的履约管理，并按照采购合同约定，及时向成交供应商支付采购资金。对于成交供应商违反采购合同约定的行为，采购人应当及时处理，依法追究其违约责任。</w:t>
      </w:r>
    </w:p>
    <w:p w14:paraId="32EF6524">
      <w:pPr>
        <w:pStyle w:val="3"/>
        <w:ind w:firstLine="567"/>
        <w:rPr>
          <w:rFonts w:ascii="华文仿宋" w:hAnsi="华文仿宋" w:cs="华文仿宋"/>
          <w:color w:val="000000"/>
          <w:sz w:val="28"/>
          <w:szCs w:val="28"/>
        </w:rPr>
      </w:pPr>
      <w:bookmarkStart w:id="136" w:name="_Toc21906"/>
      <w:bookmarkStart w:id="137" w:name="_Toc16965"/>
      <w:bookmarkStart w:id="138" w:name="_Toc3153"/>
      <w:bookmarkStart w:id="139" w:name="_Toc864"/>
      <w:bookmarkStart w:id="140" w:name="_Toc23346"/>
      <w:bookmarkStart w:id="141" w:name="_Toc1272"/>
      <w:r>
        <w:rPr>
          <w:rFonts w:hint="eastAsia" w:ascii="华文仿宋" w:hAnsi="华文仿宋" w:cs="华文仿宋"/>
          <w:color w:val="000000"/>
          <w:sz w:val="28"/>
          <w:szCs w:val="28"/>
        </w:rPr>
        <w:t>十、其他</w:t>
      </w:r>
      <w:bookmarkEnd w:id="136"/>
      <w:bookmarkEnd w:id="137"/>
      <w:bookmarkEnd w:id="138"/>
      <w:bookmarkEnd w:id="139"/>
      <w:bookmarkEnd w:id="140"/>
      <w:bookmarkEnd w:id="141"/>
    </w:p>
    <w:p w14:paraId="06BECD9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一）磋商小组发现电子磋商文件存在歧义、重大缺陷导致评审工作无法进行，或者电子磋商文件内容违反国家有关强制性规定的，应当停止评审工作，与采购人或者中心沟通并作书面记录。采购人或者中心确认后，应当修改电子磋商文件，重新组织采购活动。</w:t>
      </w:r>
    </w:p>
    <w:p w14:paraId="51F7615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（二）根据《中华人民共和国政府采购法》第三十六条规定，在磋商采购中，出现下列情形之一的，本项目按废标处理：</w:t>
      </w:r>
    </w:p>
    <w:p w14:paraId="235E24E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1.出现影响采购公正的违法、违规行为的；</w:t>
      </w:r>
    </w:p>
    <w:p w14:paraId="2DE9688B">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2.供应商的报价均超过了采购预算，采购人不能支付的；</w:t>
      </w:r>
    </w:p>
    <w:p w14:paraId="35B4D53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3.因重大变故，采购任务取消的。</w:t>
      </w:r>
    </w:p>
    <w:p w14:paraId="1625031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废标后，由中心发布废标公告。除采购任务取消外，本项目将重新组织</w:t>
      </w:r>
      <w:r>
        <w:rPr>
          <w:rFonts w:ascii="华文仿宋" w:hAnsi="华文仿宋" w:cs="华文仿宋"/>
          <w:color w:val="000000"/>
        </w:rPr>
        <w:t>采购活动</w:t>
      </w:r>
      <w:r>
        <w:rPr>
          <w:rFonts w:hint="eastAsia" w:ascii="华文仿宋" w:hAnsi="华文仿宋" w:cs="华文仿宋"/>
          <w:color w:val="000000"/>
        </w:rPr>
        <w:t>。</w:t>
      </w:r>
    </w:p>
    <w:p w14:paraId="1FEE65A2">
      <w:pPr>
        <w:spacing w:line="500" w:lineRule="exact"/>
        <w:ind w:firstLine="566" w:firstLineChars="200"/>
        <w:rPr>
          <w:rFonts w:ascii="华文仿宋" w:hAnsi="华文仿宋" w:cs="华文仿宋"/>
          <w:color w:val="000000"/>
          <w:highlight w:val="yellow"/>
        </w:rPr>
      </w:pPr>
      <w:r>
        <w:rPr>
          <w:rFonts w:hint="eastAsia" w:ascii="华文仿宋" w:hAnsi="华文仿宋" w:cs="华文仿宋"/>
          <w:color w:val="000000"/>
        </w:rPr>
        <w:t>（三）在递交电子响应文件阶段、资格审查阶段以及符合性审查阶段，当出现有效投标供应商不足3家时，除采购任务取消外，按照以下方式处理：</w:t>
      </w:r>
    </w:p>
    <w:p w14:paraId="0E7C6B1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1.电子磋商文件存在不合理条款或者磋商程序不符合规定的，采购人、中心改正后依法重新开展采购活动；</w:t>
      </w:r>
    </w:p>
    <w:p w14:paraId="2EEFBEC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2.电子磋商文件没有不合理条款、磋商程序符合规定，需要采用其他采购方式采购的，采购人应当依法报财政部门批准。</w:t>
      </w:r>
    </w:p>
    <w:p w14:paraId="52509A8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w:t>
      </w:r>
      <w:r>
        <w:rPr>
          <w:rFonts w:ascii="华文仿宋" w:hAnsi="华文仿宋" w:cs="华文仿宋"/>
          <w:color w:val="000000"/>
        </w:rPr>
        <w:t>四</w:t>
      </w:r>
      <w:r>
        <w:rPr>
          <w:rFonts w:hint="eastAsia" w:ascii="华文仿宋" w:hAnsi="华文仿宋" w:cs="华文仿宋"/>
          <w:color w:val="000000"/>
        </w:rPr>
        <w:t>）中心应当采取必要措施，保证评审在严格保密的情况下进行。除采购人代表、评审现场组织人员外，采购人的其他工作人员以及与评审工作无关的人员不得进入评审现场。</w:t>
      </w:r>
    </w:p>
    <w:p w14:paraId="4398055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有关人员对评审情况以及在评审过程中获悉的国家秘密、商业秘密负有保密责任。</w:t>
      </w:r>
    </w:p>
    <w:p w14:paraId="65FAAEAC">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w:t>
      </w:r>
      <w:r>
        <w:rPr>
          <w:rFonts w:ascii="华文仿宋" w:hAnsi="华文仿宋" w:cs="华文仿宋"/>
          <w:color w:val="000000"/>
        </w:rPr>
        <w:t>五</w:t>
      </w:r>
      <w:r>
        <w:rPr>
          <w:rFonts w:hint="eastAsia" w:ascii="华文仿宋" w:hAnsi="华文仿宋" w:cs="华文仿宋"/>
          <w:color w:val="000000"/>
        </w:rPr>
        <w:t>）电子磋商文件未明确的其他事项，按《中华人民共和国政府采购法》及其相关法律法规执行。</w:t>
      </w:r>
    </w:p>
    <w:p w14:paraId="5BFFBEFC">
      <w:pPr>
        <w:spacing w:line="500" w:lineRule="exact"/>
        <w:ind w:firstLine="567"/>
        <w:rPr>
          <w:rFonts w:ascii="华文仿宋" w:hAnsi="华文仿宋" w:cs="华文仿宋"/>
          <w:color w:val="000000"/>
        </w:rPr>
      </w:pPr>
      <w:r>
        <w:rPr>
          <w:rFonts w:hint="eastAsia" w:ascii="华文仿宋" w:hAnsi="华文仿宋" w:cs="华文仿宋"/>
          <w:color w:val="000000"/>
        </w:rPr>
        <w:t>（六）中心应当建立真实完整的招标采购档案，妥善保存每项采购活动的采购文件。</w:t>
      </w:r>
    </w:p>
    <w:p w14:paraId="078702B2">
      <w:pPr>
        <w:pStyle w:val="2"/>
        <w:keepNext w:val="0"/>
        <w:pageBreakBefore/>
        <w:spacing w:after="190" w:afterLines="50" w:line="500" w:lineRule="exact"/>
        <w:rPr>
          <w:rFonts w:ascii="仿宋" w:hAnsi="仿宋" w:eastAsia="仿宋" w:cs="仿宋"/>
          <w:color w:val="auto"/>
          <w:kern w:val="2"/>
          <w:sz w:val="28"/>
          <w:szCs w:val="28"/>
        </w:rPr>
      </w:pPr>
      <w:bookmarkStart w:id="142" w:name="_Toc10476_WPSOffice_Level1"/>
      <w:bookmarkStart w:id="143" w:name="_Toc10627"/>
      <w:bookmarkStart w:id="144" w:name="_Toc24433"/>
      <w:r>
        <w:rPr>
          <w:rFonts w:hint="eastAsia" w:ascii="黑体" w:hAnsi="黑体"/>
          <w:b w:val="0"/>
          <w:szCs w:val="32"/>
        </w:rPr>
        <w:t>第三章  磋商内容及采</w:t>
      </w:r>
      <w:bookmarkEnd w:id="142"/>
      <w:r>
        <w:rPr>
          <w:rFonts w:hint="eastAsia" w:ascii="黑体" w:hAnsi="黑体"/>
          <w:b w:val="0"/>
          <w:szCs w:val="32"/>
        </w:rPr>
        <w:t>购要求</w:t>
      </w:r>
      <w:bookmarkEnd w:id="143"/>
      <w:bookmarkEnd w:id="144"/>
    </w:p>
    <w:p w14:paraId="2808144D">
      <w:pPr>
        <w:spacing w:line="560" w:lineRule="exact"/>
        <w:rPr>
          <w:rFonts w:hint="eastAsia" w:ascii="华文仿宋" w:hAnsi="华文仿宋" w:eastAsia="华文仿宋" w:cs="华文仿宋"/>
          <w:b/>
          <w:color w:val="000000" w:themeColor="text1"/>
          <w:sz w:val="28"/>
          <w:szCs w:val="28"/>
          <w14:textFill>
            <w14:solidFill>
              <w14:schemeClr w14:val="tx1"/>
            </w14:solidFill>
          </w14:textFill>
        </w:rPr>
      </w:pPr>
      <w:r>
        <w:rPr>
          <w:rFonts w:hint="eastAsia" w:ascii="华文仿宋" w:hAnsi="华文仿宋" w:eastAsia="华文仿宋" w:cs="华文仿宋"/>
          <w:b/>
          <w:color w:val="000000" w:themeColor="text1"/>
          <w:sz w:val="28"/>
          <w:szCs w:val="28"/>
          <w14:textFill>
            <w14:solidFill>
              <w14:schemeClr w14:val="tx1"/>
            </w14:solidFill>
          </w14:textFill>
        </w:rPr>
        <w:t>（一）采购项目清单</w:t>
      </w:r>
    </w:p>
    <w:tbl>
      <w:tblPr>
        <w:tblStyle w:val="21"/>
        <w:tblW w:w="87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9"/>
        <w:gridCol w:w="3803"/>
        <w:gridCol w:w="1620"/>
        <w:gridCol w:w="2060"/>
      </w:tblGrid>
      <w:tr w14:paraId="11747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1279" w:type="dxa"/>
            <w:vAlign w:val="center"/>
          </w:tcPr>
          <w:p w14:paraId="2E84BC94">
            <w:pPr>
              <w:widowControl/>
              <w:spacing w:line="560" w:lineRule="exact"/>
              <w:jc w:val="center"/>
              <w:rPr>
                <w:rFonts w:hint="eastAsia" w:ascii="华文仿宋" w:hAnsi="华文仿宋" w:eastAsia="华文仿宋" w:cs="华文仿宋"/>
                <w:color w:val="000000" w:themeColor="text1"/>
                <w:sz w:val="28"/>
                <w:szCs w:val="28"/>
                <w14:textFill>
                  <w14:solidFill>
                    <w14:schemeClr w14:val="tx1"/>
                  </w14:solidFill>
                </w14:textFill>
              </w:rPr>
            </w:pPr>
            <w:r>
              <w:rPr>
                <w:rFonts w:hint="eastAsia" w:ascii="华文仿宋" w:hAnsi="华文仿宋" w:eastAsia="华文仿宋" w:cs="华文仿宋"/>
                <w:color w:val="000000" w:themeColor="text1"/>
                <w:sz w:val="28"/>
                <w:szCs w:val="28"/>
                <w14:textFill>
                  <w14:solidFill>
                    <w14:schemeClr w14:val="tx1"/>
                  </w14:solidFill>
                </w14:textFill>
              </w:rPr>
              <w:t>序号</w:t>
            </w:r>
          </w:p>
        </w:tc>
        <w:tc>
          <w:tcPr>
            <w:tcW w:w="3803" w:type="dxa"/>
            <w:vAlign w:val="center"/>
          </w:tcPr>
          <w:p w14:paraId="6234A616">
            <w:pPr>
              <w:widowControl/>
              <w:spacing w:line="560" w:lineRule="exact"/>
              <w:jc w:val="center"/>
              <w:rPr>
                <w:rFonts w:hint="eastAsia" w:ascii="华文仿宋" w:hAnsi="华文仿宋" w:eastAsia="华文仿宋" w:cs="华文仿宋"/>
                <w:color w:val="000000" w:themeColor="text1"/>
                <w:sz w:val="28"/>
                <w:szCs w:val="28"/>
                <w14:textFill>
                  <w14:solidFill>
                    <w14:schemeClr w14:val="tx1"/>
                  </w14:solidFill>
                </w14:textFill>
              </w:rPr>
            </w:pPr>
            <w:r>
              <w:rPr>
                <w:rFonts w:hint="eastAsia" w:ascii="华文仿宋" w:hAnsi="华文仿宋" w:eastAsia="华文仿宋" w:cs="华文仿宋"/>
                <w:color w:val="000000" w:themeColor="text1"/>
                <w:sz w:val="28"/>
                <w:szCs w:val="28"/>
                <w14:textFill>
                  <w14:solidFill>
                    <w14:schemeClr w14:val="tx1"/>
                  </w14:solidFill>
                </w14:textFill>
              </w:rPr>
              <w:t>品名</w:t>
            </w:r>
          </w:p>
        </w:tc>
        <w:tc>
          <w:tcPr>
            <w:tcW w:w="1620" w:type="dxa"/>
            <w:vAlign w:val="center"/>
          </w:tcPr>
          <w:p w14:paraId="0B0DFF58">
            <w:pPr>
              <w:widowControl/>
              <w:spacing w:line="560" w:lineRule="exact"/>
              <w:jc w:val="center"/>
              <w:rPr>
                <w:rFonts w:hint="eastAsia" w:ascii="华文仿宋" w:hAnsi="华文仿宋" w:eastAsia="华文仿宋" w:cs="华文仿宋"/>
                <w:color w:val="000000" w:themeColor="text1"/>
                <w:sz w:val="28"/>
                <w:szCs w:val="28"/>
                <w14:textFill>
                  <w14:solidFill>
                    <w14:schemeClr w14:val="tx1"/>
                  </w14:solidFill>
                </w14:textFill>
              </w:rPr>
            </w:pPr>
            <w:r>
              <w:rPr>
                <w:rFonts w:hint="eastAsia" w:ascii="华文仿宋" w:hAnsi="华文仿宋" w:eastAsia="华文仿宋" w:cs="华文仿宋"/>
                <w:color w:val="000000" w:themeColor="text1"/>
                <w:sz w:val="28"/>
                <w:szCs w:val="28"/>
                <w14:textFill>
                  <w14:solidFill>
                    <w14:schemeClr w14:val="tx1"/>
                  </w14:solidFill>
                </w14:textFill>
              </w:rPr>
              <w:t>数量(单位)</w:t>
            </w:r>
          </w:p>
        </w:tc>
        <w:tc>
          <w:tcPr>
            <w:tcW w:w="2060" w:type="dxa"/>
            <w:vAlign w:val="center"/>
          </w:tcPr>
          <w:p w14:paraId="2D2A61E0">
            <w:pPr>
              <w:widowControl/>
              <w:spacing w:line="560" w:lineRule="exact"/>
              <w:jc w:val="center"/>
              <w:rPr>
                <w:rFonts w:hint="eastAsia" w:ascii="华文仿宋" w:hAnsi="华文仿宋" w:eastAsia="华文仿宋" w:cs="华文仿宋"/>
                <w:color w:val="000000" w:themeColor="text1"/>
                <w:sz w:val="28"/>
                <w:szCs w:val="28"/>
                <w14:textFill>
                  <w14:solidFill>
                    <w14:schemeClr w14:val="tx1"/>
                  </w14:solidFill>
                </w14:textFill>
              </w:rPr>
            </w:pPr>
            <w:r>
              <w:rPr>
                <w:rFonts w:hint="eastAsia" w:ascii="华文仿宋" w:hAnsi="华文仿宋" w:eastAsia="华文仿宋" w:cs="华文仿宋"/>
                <w:color w:val="000000" w:themeColor="text1"/>
                <w:sz w:val="28"/>
                <w:szCs w:val="28"/>
                <w14:textFill>
                  <w14:solidFill>
                    <w14:schemeClr w14:val="tx1"/>
                  </w14:solidFill>
                </w14:textFill>
              </w:rPr>
              <w:t>备注</w:t>
            </w:r>
          </w:p>
        </w:tc>
      </w:tr>
      <w:tr w14:paraId="0068D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279" w:type="dxa"/>
            <w:vAlign w:val="center"/>
          </w:tcPr>
          <w:p w14:paraId="4F4EDCA7">
            <w:pPr>
              <w:widowControl/>
              <w:spacing w:line="560" w:lineRule="exact"/>
              <w:jc w:val="center"/>
              <w:rPr>
                <w:rFonts w:hint="eastAsia" w:ascii="华文仿宋" w:hAnsi="华文仿宋" w:eastAsia="华文仿宋" w:cs="华文仿宋"/>
                <w:color w:val="000000" w:themeColor="text1"/>
                <w:sz w:val="28"/>
                <w:szCs w:val="28"/>
                <w14:textFill>
                  <w14:solidFill>
                    <w14:schemeClr w14:val="tx1"/>
                  </w14:solidFill>
                </w14:textFill>
              </w:rPr>
            </w:pPr>
            <w:r>
              <w:rPr>
                <w:rFonts w:hint="eastAsia" w:ascii="华文仿宋" w:hAnsi="华文仿宋" w:eastAsia="华文仿宋" w:cs="华文仿宋"/>
                <w:color w:val="000000" w:themeColor="text1"/>
                <w:sz w:val="28"/>
                <w:szCs w:val="28"/>
                <w14:textFill>
                  <w14:solidFill>
                    <w14:schemeClr w14:val="tx1"/>
                  </w14:solidFill>
                </w14:textFill>
              </w:rPr>
              <w:t>1</w:t>
            </w:r>
          </w:p>
        </w:tc>
        <w:tc>
          <w:tcPr>
            <w:tcW w:w="3803" w:type="dxa"/>
            <w:vAlign w:val="center"/>
          </w:tcPr>
          <w:p w14:paraId="2CA7546A">
            <w:pPr>
              <w:widowControl/>
              <w:spacing w:line="560" w:lineRule="exact"/>
              <w:jc w:val="center"/>
              <w:rPr>
                <w:rFonts w:hint="eastAsia" w:ascii="华文仿宋" w:hAnsi="华文仿宋" w:eastAsia="华文仿宋" w:cs="华文仿宋"/>
                <w:color w:val="000000" w:themeColor="text1"/>
                <w:sz w:val="28"/>
                <w:szCs w:val="28"/>
                <w:lang w:val="en-US" w:eastAsia="zh-CN"/>
                <w14:textFill>
                  <w14:solidFill>
                    <w14:schemeClr w14:val="tx1"/>
                  </w14:solidFill>
                </w14:textFill>
              </w:rPr>
            </w:pPr>
            <w:r>
              <w:rPr>
                <w:rFonts w:hint="eastAsia" w:ascii="华文仿宋" w:hAnsi="华文仿宋" w:eastAsia="华文仿宋" w:cs="华文仿宋"/>
                <w:color w:val="000000" w:themeColor="text1"/>
                <w:sz w:val="28"/>
                <w:szCs w:val="28"/>
                <w:lang w:val="en-US" w:eastAsia="zh-CN"/>
                <w14:textFill>
                  <w14:solidFill>
                    <w14:schemeClr w14:val="tx1"/>
                  </w14:solidFill>
                </w14:textFill>
              </w:rPr>
              <w:t>市本级集体建设用地调查和</w:t>
            </w:r>
          </w:p>
          <w:p w14:paraId="1DFECD57">
            <w:pPr>
              <w:widowControl/>
              <w:spacing w:line="560" w:lineRule="exact"/>
              <w:jc w:val="center"/>
              <w:rPr>
                <w:rFonts w:hint="eastAsia" w:ascii="华文仿宋" w:hAnsi="华文仿宋" w:eastAsia="华文仿宋" w:cs="华文仿宋"/>
                <w:color w:val="000000" w:themeColor="text1"/>
                <w:sz w:val="28"/>
                <w:szCs w:val="28"/>
                <w14:textFill>
                  <w14:solidFill>
                    <w14:schemeClr w14:val="tx1"/>
                  </w14:solidFill>
                </w14:textFill>
              </w:rPr>
            </w:pPr>
            <w:r>
              <w:rPr>
                <w:rFonts w:hint="eastAsia" w:ascii="华文仿宋" w:hAnsi="华文仿宋" w:eastAsia="华文仿宋" w:cs="华文仿宋"/>
                <w:color w:val="000000" w:themeColor="text1"/>
                <w:sz w:val="28"/>
                <w:szCs w:val="28"/>
                <w:lang w:val="en-US" w:eastAsia="zh-CN"/>
                <w14:textFill>
                  <w14:solidFill>
                    <w14:schemeClr w14:val="tx1"/>
                  </w14:solidFill>
                </w14:textFill>
              </w:rPr>
              <w:t>基准地价更新项目</w:t>
            </w:r>
          </w:p>
        </w:tc>
        <w:tc>
          <w:tcPr>
            <w:tcW w:w="1620" w:type="dxa"/>
            <w:vAlign w:val="center"/>
          </w:tcPr>
          <w:p w14:paraId="579C304C">
            <w:pPr>
              <w:widowControl/>
              <w:spacing w:line="560" w:lineRule="exact"/>
              <w:jc w:val="center"/>
              <w:rPr>
                <w:rFonts w:hint="eastAsia" w:ascii="华文仿宋" w:hAnsi="华文仿宋" w:eastAsia="华文仿宋" w:cs="华文仿宋"/>
                <w:color w:val="000000" w:themeColor="text1"/>
                <w:sz w:val="28"/>
                <w:szCs w:val="28"/>
                <w14:textFill>
                  <w14:solidFill>
                    <w14:schemeClr w14:val="tx1"/>
                  </w14:solidFill>
                </w14:textFill>
              </w:rPr>
            </w:pPr>
            <w:r>
              <w:rPr>
                <w:rFonts w:hint="eastAsia" w:ascii="华文仿宋" w:hAnsi="华文仿宋" w:eastAsia="华文仿宋" w:cs="华文仿宋"/>
                <w:color w:val="000000" w:themeColor="text1"/>
                <w:sz w:val="28"/>
                <w:szCs w:val="28"/>
                <w14:textFill>
                  <w14:solidFill>
                    <w14:schemeClr w14:val="tx1"/>
                  </w14:solidFill>
                </w14:textFill>
              </w:rPr>
              <w:t>1项</w:t>
            </w:r>
          </w:p>
        </w:tc>
        <w:tc>
          <w:tcPr>
            <w:tcW w:w="2060" w:type="dxa"/>
            <w:vAlign w:val="center"/>
          </w:tcPr>
          <w:p w14:paraId="7290679E">
            <w:pPr>
              <w:widowControl/>
              <w:spacing w:line="560" w:lineRule="exact"/>
              <w:jc w:val="center"/>
              <w:rPr>
                <w:rFonts w:hint="eastAsia" w:ascii="华文仿宋" w:hAnsi="华文仿宋" w:eastAsia="华文仿宋" w:cs="华文仿宋"/>
                <w:color w:val="000000" w:themeColor="text1"/>
                <w:sz w:val="28"/>
                <w:szCs w:val="28"/>
                <w14:textFill>
                  <w14:solidFill>
                    <w14:schemeClr w14:val="tx1"/>
                  </w14:solidFill>
                </w14:textFill>
              </w:rPr>
            </w:pPr>
            <w:r>
              <w:rPr>
                <w:rFonts w:hint="eastAsia" w:ascii="华文仿宋" w:hAnsi="华文仿宋" w:eastAsia="华文仿宋" w:cs="华文仿宋"/>
                <w:color w:val="000000" w:themeColor="text1"/>
                <w:sz w:val="28"/>
                <w:szCs w:val="28"/>
                <w14:textFill>
                  <w14:solidFill>
                    <w14:schemeClr w14:val="tx1"/>
                  </w14:solidFill>
                </w14:textFill>
              </w:rPr>
              <w:t>\</w:t>
            </w:r>
          </w:p>
        </w:tc>
      </w:tr>
    </w:tbl>
    <w:p w14:paraId="2F1874C4">
      <w:pPr>
        <w:pStyle w:val="11"/>
        <w:rPr>
          <w:rFonts w:hint="eastAsia" w:ascii="华文仿宋" w:hAnsi="华文仿宋" w:eastAsia="华文仿宋" w:cs="华文仿宋"/>
          <w:sz w:val="28"/>
          <w:szCs w:val="28"/>
        </w:rPr>
      </w:pPr>
      <w:r>
        <w:rPr>
          <w:rFonts w:hint="eastAsia" w:ascii="华文仿宋" w:hAnsi="华文仿宋" w:eastAsia="华文仿宋" w:cs="华文仿宋"/>
          <w:b/>
          <w:bCs/>
          <w:sz w:val="28"/>
          <w:szCs w:val="28"/>
        </w:rPr>
        <w:t>（二）采购项目详细的技术参数及要求</w:t>
      </w:r>
    </w:p>
    <w:p w14:paraId="6B878AE7">
      <w:pPr>
        <w:spacing w:line="240" w:lineRule="auto"/>
        <w:ind w:firstLine="566" w:firstLineChars="200"/>
        <w:rPr>
          <w:rFonts w:hint="eastAsia" w:ascii="仿宋" w:hAnsi="仿宋" w:eastAsia="仿宋" w:cs="仿宋"/>
          <w:b w:val="0"/>
          <w:bCs w:val="0"/>
          <w:lang w:val="en-US" w:eastAsia="zh-CN"/>
        </w:rPr>
      </w:pPr>
      <w:r>
        <w:rPr>
          <w:rFonts w:hint="eastAsia" w:ascii="仿宋" w:hAnsi="仿宋" w:eastAsia="仿宋" w:cs="仿宋"/>
          <w:b w:val="0"/>
          <w:bCs w:val="0"/>
          <w:lang w:val="en-US" w:eastAsia="zh-CN"/>
        </w:rPr>
        <w:t>1.项目背景</w:t>
      </w:r>
    </w:p>
    <w:p w14:paraId="7374B675">
      <w:pPr>
        <w:spacing w:line="240" w:lineRule="auto"/>
        <w:ind w:firstLine="566" w:firstLineChars="200"/>
        <w:rPr>
          <w:rFonts w:hint="eastAsia" w:ascii="仿宋" w:hAnsi="仿宋" w:eastAsia="仿宋" w:cs="仿宋"/>
          <w:b w:val="0"/>
          <w:bCs w:val="0"/>
          <w:lang w:val="en-US" w:eastAsia="zh-CN"/>
        </w:rPr>
      </w:pPr>
      <w:r>
        <w:rPr>
          <w:rFonts w:hint="eastAsia" w:ascii="仿宋" w:hAnsi="仿宋" w:eastAsia="仿宋" w:cs="仿宋"/>
          <w:b w:val="0"/>
          <w:bCs w:val="0"/>
          <w:lang w:val="en-US" w:eastAsia="zh-CN"/>
        </w:rPr>
        <w:t>为落实城乡统一建设用地市场建设要求，结合经济社会发展水平、土地市场运行态势，依据自然资源管理工作安排和自然资源地价管理相关规定，组织开展集体建设用地现状调查与基准地价更新工作，完善公示地价体系。</w:t>
      </w:r>
    </w:p>
    <w:p w14:paraId="22B8E197">
      <w:pPr>
        <w:spacing w:line="240" w:lineRule="auto"/>
        <w:ind w:firstLine="566" w:firstLineChars="200"/>
        <w:rPr>
          <w:rFonts w:hint="eastAsia" w:ascii="仿宋" w:hAnsi="仿宋" w:eastAsia="仿宋" w:cs="仿宋"/>
          <w:b w:val="0"/>
          <w:bCs w:val="0"/>
          <w:lang w:val="en-US" w:eastAsia="zh-CN"/>
        </w:rPr>
      </w:pPr>
      <w:r>
        <w:rPr>
          <w:rFonts w:hint="eastAsia" w:ascii="仿宋" w:hAnsi="仿宋" w:eastAsia="仿宋" w:cs="仿宋"/>
          <w:b w:val="0"/>
          <w:bCs w:val="0"/>
          <w:lang w:val="en-US" w:eastAsia="zh-CN"/>
        </w:rPr>
        <w:t>2.工作目标</w:t>
      </w:r>
    </w:p>
    <w:p w14:paraId="2B63EB8C">
      <w:pPr>
        <w:spacing w:line="240" w:lineRule="auto"/>
        <w:ind w:firstLine="566" w:firstLineChars="200"/>
        <w:rPr>
          <w:rFonts w:hint="eastAsia" w:ascii="仿宋" w:hAnsi="仿宋" w:eastAsia="仿宋" w:cs="仿宋"/>
          <w:b w:val="0"/>
          <w:bCs w:val="0"/>
          <w:lang w:val="en-US" w:eastAsia="zh-CN"/>
        </w:rPr>
      </w:pPr>
      <w:r>
        <w:rPr>
          <w:rFonts w:hint="eastAsia" w:ascii="仿宋" w:hAnsi="仿宋" w:eastAsia="仿宋" w:cs="仿宋"/>
          <w:b w:val="0"/>
          <w:bCs w:val="0"/>
          <w:lang w:val="en-US" w:eastAsia="zh-CN"/>
        </w:rPr>
        <w:t>工作目标要求掌握宗地所有基本信息，进一步摸清集体建设用地底数；集体建设用地基准地价更新基准日为2025年12月31日，严格按照时间节点推进各项工作，确保2026年12月底前实现集体建设用地基准地价正式公布实施，并在公布文件发布后的15个工作日内完成电子化备案。</w:t>
      </w:r>
    </w:p>
    <w:p w14:paraId="4226D46C">
      <w:pPr>
        <w:spacing w:line="240" w:lineRule="auto"/>
        <w:ind w:firstLine="566" w:firstLineChars="200"/>
        <w:rPr>
          <w:rFonts w:hint="eastAsia" w:ascii="仿宋" w:hAnsi="仿宋" w:eastAsia="仿宋" w:cs="仿宋"/>
          <w:b w:val="0"/>
          <w:bCs w:val="0"/>
          <w:lang w:val="en-US" w:eastAsia="zh-CN"/>
        </w:rPr>
      </w:pPr>
      <w:r>
        <w:rPr>
          <w:rFonts w:hint="eastAsia" w:ascii="仿宋" w:hAnsi="仿宋" w:eastAsia="仿宋" w:cs="仿宋"/>
          <w:b w:val="0"/>
          <w:bCs w:val="0"/>
          <w:lang w:val="en-US" w:eastAsia="zh-CN"/>
        </w:rPr>
        <w:t>3.主要工作内容</w:t>
      </w:r>
    </w:p>
    <w:p w14:paraId="5321CE81">
      <w:pPr>
        <w:spacing w:line="240" w:lineRule="auto"/>
        <w:ind w:firstLine="566" w:firstLineChars="200"/>
        <w:rPr>
          <w:rFonts w:hint="eastAsia" w:ascii="仿宋" w:hAnsi="仿宋" w:eastAsia="仿宋" w:cs="仿宋"/>
          <w:b w:val="0"/>
          <w:bCs w:val="0"/>
          <w:lang w:val="en-US" w:eastAsia="zh-CN"/>
        </w:rPr>
      </w:pPr>
      <w:r>
        <w:rPr>
          <w:rFonts w:hint="eastAsia" w:ascii="仿宋" w:hAnsi="仿宋" w:eastAsia="仿宋" w:cs="仿宋"/>
          <w:b w:val="0"/>
          <w:bCs w:val="0"/>
          <w:lang w:val="en-US" w:eastAsia="zh-CN"/>
        </w:rPr>
        <w:t>开展市本级集体建设用地实地核查，收集各类基础及交易资料，科学划分土地级别。采集地价样点并完成测算修正，更新基准地价，完善地价修正体系。编制报告、图件及数据库全套成果，完成校核评审、修改上报、资料归档及后续技术服务。</w:t>
      </w:r>
    </w:p>
    <w:p w14:paraId="6BB54872">
      <w:pPr>
        <w:spacing w:line="240" w:lineRule="auto"/>
        <w:ind w:firstLine="566" w:firstLineChars="200"/>
        <w:rPr>
          <w:rFonts w:hint="eastAsia" w:ascii="仿宋" w:hAnsi="仿宋" w:eastAsia="仿宋" w:cs="仿宋"/>
          <w:b/>
          <w:bCs/>
        </w:rPr>
      </w:pPr>
    </w:p>
    <w:p w14:paraId="54FEDBD7">
      <w:pPr>
        <w:spacing w:line="240" w:lineRule="auto"/>
        <w:ind w:firstLine="566" w:firstLineChars="200"/>
        <w:rPr>
          <w:rFonts w:ascii="仿宋" w:hAnsi="仿宋" w:eastAsia="仿宋" w:cs="仿宋"/>
          <w:b/>
          <w:bCs/>
        </w:rPr>
      </w:pPr>
      <w:r>
        <w:rPr>
          <w:rFonts w:hint="eastAsia" w:ascii="仿宋" w:hAnsi="仿宋" w:eastAsia="仿宋" w:cs="仿宋"/>
          <w:b/>
          <w:bCs/>
        </w:rPr>
        <w:t>注：该项目技术参数由采购人提供。</w:t>
      </w:r>
    </w:p>
    <w:p w14:paraId="35A4E480">
      <w:pPr>
        <w:pStyle w:val="11"/>
        <w:rPr>
          <w:rFonts w:ascii="仿宋" w:hAnsi="仿宋" w:eastAsia="仿宋" w:cs="仿宋"/>
          <w:b/>
          <w:bCs/>
          <w:szCs w:val="28"/>
        </w:rPr>
      </w:pPr>
    </w:p>
    <w:p w14:paraId="5DA47963">
      <w:pPr>
        <w:pageBreakBefore/>
        <w:spacing w:line="240" w:lineRule="auto"/>
        <w:jc w:val="center"/>
        <w:rPr>
          <w:rStyle w:val="28"/>
          <w:rFonts w:ascii="黑体" w:hAnsi="黑体" w:cs="黑体"/>
          <w:b w:val="0"/>
          <w:szCs w:val="32"/>
        </w:rPr>
      </w:pPr>
      <w:r>
        <w:rPr>
          <w:rStyle w:val="28"/>
          <w:rFonts w:hint="eastAsia" w:ascii="黑体" w:hAnsi="黑体" w:cs="黑体"/>
          <w:b w:val="0"/>
          <w:szCs w:val="32"/>
        </w:rPr>
        <w:t>第四章  合同草案条款</w:t>
      </w:r>
    </w:p>
    <w:p w14:paraId="41A05426">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b/>
          <w:bCs/>
          <w:color w:val="000000"/>
        </w:rPr>
      </w:pPr>
      <w:r>
        <w:rPr>
          <w:rFonts w:hint="eastAsia" w:ascii="华文仿宋" w:hAnsi="华文仿宋" w:cs="华文仿宋"/>
          <w:b/>
          <w:bCs/>
          <w:color w:val="000000"/>
        </w:rPr>
        <w:t>一、知识产权</w:t>
      </w:r>
    </w:p>
    <w:p w14:paraId="040C9501">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项目成果归延安市自然资源局所有，成交人应保证采购人在使用管理过程中，不承担任何涉及知识产权法律诉讼的责任。</w:t>
      </w:r>
    </w:p>
    <w:p w14:paraId="7D54EDDC">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color w:val="000000"/>
        </w:rPr>
      </w:pPr>
      <w:r>
        <w:rPr>
          <w:rFonts w:hint="eastAsia" w:ascii="华文仿宋" w:hAnsi="华文仿宋" w:cs="华文仿宋"/>
          <w:b/>
          <w:bCs/>
          <w:color w:val="000000"/>
        </w:rPr>
        <w:t>二、服务期</w:t>
      </w:r>
    </w:p>
    <w:p w14:paraId="732CB7BC">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bCs/>
          <w:color w:val="000000"/>
          <w:lang w:val="en-US" w:eastAsia="zh-CN"/>
        </w:rPr>
      </w:pPr>
      <w:r>
        <w:rPr>
          <w:rFonts w:hint="eastAsia" w:ascii="华文仿宋" w:hAnsi="华文仿宋" w:cs="华文仿宋"/>
          <w:b w:val="0"/>
          <w:bCs w:val="0"/>
          <w:color w:val="000000"/>
          <w:lang w:val="en-US" w:eastAsia="zh-CN"/>
        </w:rPr>
        <w:t>合同签订之日起至2026年12月31日。</w:t>
      </w:r>
    </w:p>
    <w:p w14:paraId="3C2EFC59">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b/>
          <w:bCs/>
          <w:color w:val="000000"/>
        </w:rPr>
      </w:pPr>
      <w:r>
        <w:rPr>
          <w:rFonts w:hint="eastAsia" w:ascii="华文仿宋" w:hAnsi="华文仿宋" w:cs="华文仿宋"/>
          <w:b/>
          <w:bCs/>
          <w:color w:val="000000"/>
        </w:rPr>
        <w:t>三、服务地点</w:t>
      </w:r>
    </w:p>
    <w:p w14:paraId="46C5255C">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采购人指定地点。</w:t>
      </w:r>
    </w:p>
    <w:p w14:paraId="77217F52">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b/>
          <w:bCs/>
          <w:color w:val="000000"/>
        </w:rPr>
      </w:pPr>
      <w:r>
        <w:rPr>
          <w:rFonts w:hint="eastAsia" w:ascii="华文仿宋" w:hAnsi="华文仿宋" w:cs="华文仿宋"/>
          <w:b/>
          <w:bCs/>
          <w:color w:val="000000"/>
        </w:rPr>
        <w:t>四、质量保证</w:t>
      </w:r>
    </w:p>
    <w:p w14:paraId="48256DD5">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成交供应商应当保证所提供的成果完全符合省、市相关技术标准规定的质量、内容等要求。</w:t>
      </w:r>
    </w:p>
    <w:p w14:paraId="4DE13989">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color w:val="000000"/>
        </w:rPr>
      </w:pPr>
      <w:r>
        <w:rPr>
          <w:rFonts w:hint="eastAsia" w:ascii="华文仿宋" w:hAnsi="华文仿宋" w:cs="华文仿宋"/>
          <w:b/>
          <w:bCs/>
          <w:color w:val="000000"/>
          <w:lang w:val="en-US" w:eastAsia="zh-CN"/>
        </w:rPr>
        <w:t>五</w:t>
      </w:r>
      <w:r>
        <w:rPr>
          <w:rFonts w:hint="eastAsia" w:ascii="华文仿宋" w:hAnsi="华文仿宋" w:cs="华文仿宋"/>
          <w:b/>
          <w:bCs/>
          <w:color w:val="000000"/>
        </w:rPr>
        <w:t>、双方的权利和义务</w:t>
      </w:r>
      <w:r>
        <w:rPr>
          <w:rFonts w:hint="eastAsia" w:ascii="华文仿宋" w:hAnsi="华文仿宋" w:cs="华文仿宋"/>
          <w:color w:val="000000"/>
        </w:rPr>
        <w:t xml:space="preserve"> </w:t>
      </w:r>
    </w:p>
    <w:p w14:paraId="1D591492">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 xml:space="preserve">1.遵守相关法律法规，提供专业意见，是成交供应商的责任；提供必要的资料并保证所提供资料的真实性、合法性、完整性，恰当使用成果是采购人的责任。成交供应商对采购人和其他成果使用者不当使用成果所造成的后果不承担责任。 </w:t>
      </w:r>
    </w:p>
    <w:p w14:paraId="55CC21AA">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 xml:space="preserve">2.采购人的权利和义务 </w:t>
      </w:r>
    </w:p>
    <w:p w14:paraId="524A8189">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 xml:space="preserve">（1）采购人应按本合同约定付款； </w:t>
      </w:r>
    </w:p>
    <w:p w14:paraId="2555E6F5">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 xml:space="preserve">（2）采购人将向成交供应商提供为完成服务工作所需要的信息、资料和其他相关协助，并对提供的文件、资料的真实性、准确性和合法性负责； </w:t>
      </w:r>
    </w:p>
    <w:p w14:paraId="5E282C30">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 xml:space="preserve">（3）采购人有权随时了解成交供应商的工作进展情况，并对工作进展情况进行监督检查； </w:t>
      </w:r>
    </w:p>
    <w:p w14:paraId="6A950E36">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（4）未按合同要求提供服务或质量不能满足技术要求，采购人有权终止合同，并对成交供应商违约行为进行追究，同时按《中华人民共和国政府采购法》的有关规定进行处罚；</w:t>
      </w:r>
    </w:p>
    <w:p w14:paraId="4EC682C7">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 xml:space="preserve">3.成交供应商的权利和义务 </w:t>
      </w:r>
    </w:p>
    <w:p w14:paraId="1DBA6922">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 xml:space="preserve">（1）成交供应商应根据本合同的约定，遵守职业道德规范，严格执行采购人委托的业务，并服从采购人的工作安排； </w:t>
      </w:r>
    </w:p>
    <w:p w14:paraId="5086735B">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 xml:space="preserve">（2）成交供应商应根据本合同的约定，坚持独立、客观、公正的原则进行工作，应按照国家有关法律法规的要求，对其所出具成果的真实性、准确性、合法合规性承担责任； </w:t>
      </w:r>
    </w:p>
    <w:p w14:paraId="7D2077E6">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（3）成交供应商提供服务不符合合同规定，也未得到采购人认可时，应负责更换或重新组织，并承担由此而引起的延误责任；</w:t>
      </w:r>
    </w:p>
    <w:p w14:paraId="0C19A0FF">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（4）成交供应商对于采购人的涉密级业务需求、技术资料、数据、保密信息等严格保密，并承担泄密造成的后果。</w:t>
      </w:r>
    </w:p>
    <w:p w14:paraId="3230D97C">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b/>
          <w:bCs/>
          <w:color w:val="000000"/>
        </w:rPr>
      </w:pPr>
      <w:r>
        <w:rPr>
          <w:rFonts w:hint="eastAsia" w:ascii="华文仿宋" w:hAnsi="华文仿宋" w:cs="华文仿宋"/>
          <w:b/>
          <w:bCs/>
          <w:color w:val="000000"/>
          <w:lang w:val="en-US" w:eastAsia="zh-CN"/>
        </w:rPr>
        <w:t>六</w:t>
      </w:r>
      <w:r>
        <w:rPr>
          <w:rFonts w:hint="eastAsia" w:ascii="华文仿宋" w:hAnsi="华文仿宋" w:cs="华文仿宋"/>
          <w:b/>
          <w:bCs/>
          <w:color w:val="000000"/>
        </w:rPr>
        <w:t>、售后服务</w:t>
      </w:r>
    </w:p>
    <w:p w14:paraId="0FE81426">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成交供应商在服务期内、外均应提供可靠的售后服务。</w:t>
      </w:r>
    </w:p>
    <w:p w14:paraId="287D6655">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b/>
          <w:bCs/>
          <w:color w:val="000000"/>
        </w:rPr>
      </w:pPr>
      <w:r>
        <w:rPr>
          <w:rFonts w:hint="eastAsia" w:ascii="华文仿宋" w:hAnsi="华文仿宋" w:cs="华文仿宋"/>
          <w:b/>
          <w:bCs/>
          <w:color w:val="000000"/>
          <w:lang w:val="en-US" w:eastAsia="zh-CN"/>
        </w:rPr>
        <w:t>七</w:t>
      </w:r>
      <w:r>
        <w:rPr>
          <w:rFonts w:hint="eastAsia" w:ascii="华文仿宋" w:hAnsi="华文仿宋" w:cs="华文仿宋"/>
          <w:b/>
          <w:bCs/>
          <w:color w:val="000000"/>
        </w:rPr>
        <w:t>、验收依据</w:t>
      </w:r>
    </w:p>
    <w:p w14:paraId="1F7BB096">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1.磋商文件及成交供应商的响应文件；</w:t>
      </w:r>
    </w:p>
    <w:p w14:paraId="1D29F96B">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2.国家相应的标准、规范。</w:t>
      </w:r>
    </w:p>
    <w:p w14:paraId="6BF2BFC5">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b/>
          <w:bCs/>
          <w:color w:val="000000"/>
        </w:rPr>
      </w:pPr>
      <w:r>
        <w:rPr>
          <w:rFonts w:hint="eastAsia" w:ascii="华文仿宋" w:hAnsi="华文仿宋" w:cs="华文仿宋"/>
          <w:b/>
          <w:bCs/>
          <w:color w:val="000000"/>
        </w:rPr>
        <w:t>八、</w:t>
      </w:r>
      <w:r>
        <w:rPr>
          <w:rFonts w:hint="eastAsia" w:ascii="华文仿宋" w:hAnsi="华文仿宋" w:cs="华文仿宋"/>
          <w:b/>
          <w:bCs/>
          <w:color w:val="000000"/>
          <w:lang w:val="en-US" w:eastAsia="zh-CN"/>
        </w:rPr>
        <w:t>合同价款及</w:t>
      </w:r>
      <w:r>
        <w:rPr>
          <w:rFonts w:hint="eastAsia" w:ascii="华文仿宋" w:hAnsi="华文仿宋" w:cs="华文仿宋"/>
          <w:b/>
          <w:bCs/>
          <w:color w:val="000000"/>
        </w:rPr>
        <w:t>付款方式</w:t>
      </w:r>
    </w:p>
    <w:p w14:paraId="318D5AEC">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cs="华文仿宋"/>
          <w:b w:val="0"/>
          <w:bCs w:val="0"/>
          <w:color w:val="000000"/>
          <w:lang w:val="en-US" w:eastAsia="zh-CN"/>
        </w:rPr>
      </w:pPr>
      <w:r>
        <w:rPr>
          <w:rFonts w:hint="eastAsia" w:ascii="华文仿宋" w:hAnsi="华文仿宋" w:cs="华文仿宋"/>
          <w:b w:val="0"/>
          <w:bCs w:val="0"/>
          <w:color w:val="000000"/>
          <w:lang w:val="en-US" w:eastAsia="zh-CN"/>
        </w:rPr>
        <w:t>采购资金由采购人结算，合同总价即成交金额，合同总价一次性包死，在合同执行过程中不受市场价格变化和其他任何因素的影响。付款方式为自合同签订之日起30日内预付合同总价款的40%，剩余款项在项目成果经验收通过后30日内一次性付清。</w:t>
      </w:r>
    </w:p>
    <w:p w14:paraId="14C40CCE">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b/>
          <w:bCs/>
          <w:color w:val="000000"/>
        </w:rPr>
      </w:pPr>
      <w:r>
        <w:rPr>
          <w:rFonts w:hint="eastAsia" w:ascii="华文仿宋" w:hAnsi="华文仿宋" w:cs="华文仿宋"/>
          <w:b/>
          <w:bCs/>
          <w:color w:val="000000"/>
        </w:rPr>
        <w:t>九、合同争议的解决</w:t>
      </w:r>
    </w:p>
    <w:p w14:paraId="3C532778">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合同执行中发生争议的，当事人双方应协商解决，协商达不成一致时，可向采购人所在地的人民法院提请诉讼。</w:t>
      </w:r>
    </w:p>
    <w:p w14:paraId="157E16AC">
      <w:pPr>
        <w:keepNext w:val="0"/>
        <w:keepLines w:val="0"/>
        <w:pageBreakBefore w:val="0"/>
        <w:widowControl/>
        <w:kinsoku/>
        <w:wordWrap/>
        <w:overflowPunct/>
        <w:topLinePunct w:val="0"/>
        <w:autoSpaceDE/>
        <w:autoSpaceDN/>
        <w:bidi w:val="0"/>
        <w:adjustRightInd/>
        <w:snapToGrid/>
        <w:spacing w:line="520" w:lineRule="exact"/>
        <w:ind w:firstLine="566" w:firstLineChars="200"/>
        <w:textAlignment w:val="auto"/>
        <w:rPr>
          <w:rFonts w:ascii="华文仿宋" w:hAnsi="华文仿宋" w:cs="华文仿宋"/>
          <w:b/>
          <w:bCs/>
          <w:color w:val="000000"/>
        </w:rPr>
      </w:pPr>
      <w:r>
        <w:rPr>
          <w:rFonts w:hint="eastAsia" w:ascii="华文仿宋" w:hAnsi="华文仿宋" w:cs="华文仿宋"/>
          <w:b/>
          <w:bCs/>
          <w:color w:val="000000"/>
        </w:rPr>
        <w:t xml:space="preserve">十、合同一经签订，不得擅自变更、中止或者终止合同。对确需变更、调整或者中止、终止合同的，应按规定履行相应的手续。 </w:t>
      </w:r>
    </w:p>
    <w:p w14:paraId="08C5AD77">
      <w:pPr>
        <w:keepNext w:val="0"/>
        <w:keepLines w:val="0"/>
        <w:pageBreakBefore w:val="0"/>
        <w:widowControl/>
        <w:kinsoku/>
        <w:wordWrap/>
        <w:overflowPunct/>
        <w:topLinePunct w:val="0"/>
        <w:autoSpaceDE/>
        <w:autoSpaceDN/>
        <w:bidi w:val="0"/>
        <w:adjustRightInd/>
        <w:snapToGrid/>
        <w:spacing w:line="520" w:lineRule="exact"/>
        <w:ind w:firstLine="567"/>
        <w:textAlignment w:val="auto"/>
        <w:rPr>
          <w:rFonts w:ascii="华文仿宋" w:hAnsi="华文仿宋" w:cs="华文仿宋"/>
          <w:b/>
          <w:bCs/>
          <w:color w:val="000000"/>
        </w:rPr>
      </w:pPr>
      <w:r>
        <w:rPr>
          <w:rFonts w:hint="eastAsia" w:ascii="华文仿宋" w:hAnsi="华文仿宋" w:cs="华文仿宋"/>
          <w:b/>
          <w:bCs/>
          <w:color w:val="000000"/>
        </w:rPr>
        <w:t xml:space="preserve">十一、本合同从签订之日起生效，合同规定的全部事宜和程序结束后终止。合同份数不低于四份，具体份数由采购人和成交人依需商定。 </w:t>
      </w:r>
    </w:p>
    <w:p w14:paraId="63144C6F">
      <w:pPr>
        <w:keepNext w:val="0"/>
        <w:keepLines w:val="0"/>
        <w:pageBreakBefore w:val="0"/>
        <w:widowControl/>
        <w:kinsoku/>
        <w:wordWrap/>
        <w:overflowPunct/>
        <w:topLinePunct w:val="0"/>
        <w:autoSpaceDE/>
        <w:autoSpaceDN/>
        <w:bidi w:val="0"/>
        <w:adjustRightInd/>
        <w:snapToGrid/>
        <w:spacing w:line="520" w:lineRule="exact"/>
        <w:ind w:firstLine="567"/>
        <w:textAlignment w:val="auto"/>
        <w:rPr>
          <w:rFonts w:ascii="华文仿宋" w:hAnsi="华文仿宋" w:cs="华文仿宋"/>
          <w:b/>
          <w:bCs/>
          <w:color w:val="000000"/>
        </w:rPr>
      </w:pPr>
      <w:r>
        <w:rPr>
          <w:rFonts w:hint="eastAsia" w:ascii="华文仿宋" w:hAnsi="华文仿宋" w:cs="华文仿宋"/>
          <w:b/>
          <w:bCs/>
          <w:color w:val="000000"/>
        </w:rPr>
        <w:t xml:space="preserve">十二、未尽事宜由双方在签订合同时具体明确，但不得超出磋商文件合同草案规定。 </w:t>
      </w:r>
    </w:p>
    <w:p w14:paraId="4667047C">
      <w:pPr>
        <w:spacing w:line="500" w:lineRule="exact"/>
        <w:ind w:firstLine="567"/>
        <w:rPr>
          <w:rFonts w:ascii="黑体" w:hAnsi="黑体" w:cs="黑体"/>
          <w:color w:val="000000"/>
          <w:szCs w:val="32"/>
        </w:rPr>
      </w:pPr>
      <w:r>
        <w:rPr>
          <w:rFonts w:hint="eastAsia" w:ascii="华文仿宋" w:hAnsi="华文仿宋" w:cs="华文仿宋"/>
          <w:b/>
          <w:bCs/>
          <w:color w:val="000000"/>
        </w:rPr>
        <w:t>本合同须经中心确认，否则无效。</w:t>
      </w:r>
    </w:p>
    <w:p w14:paraId="5E8D32C7">
      <w:pPr>
        <w:rPr>
          <w:rFonts w:ascii="黑体" w:hAnsi="黑体" w:cs="黑体"/>
          <w:color w:val="000000"/>
          <w:szCs w:val="32"/>
        </w:rPr>
      </w:pPr>
    </w:p>
    <w:p w14:paraId="76311E3C">
      <w:pPr>
        <w:pStyle w:val="9"/>
        <w:rPr>
          <w:rFonts w:ascii="黑体" w:hAnsi="黑体" w:cs="黑体"/>
          <w:color w:val="000000"/>
          <w:szCs w:val="32"/>
        </w:rPr>
      </w:pPr>
    </w:p>
    <w:p w14:paraId="2DA826CF">
      <w:pPr>
        <w:rPr>
          <w:rFonts w:ascii="黑体" w:hAnsi="黑体" w:cs="黑体"/>
          <w:color w:val="000000"/>
          <w:szCs w:val="32"/>
        </w:rPr>
      </w:pPr>
    </w:p>
    <w:p w14:paraId="37517CBE">
      <w:pPr>
        <w:pStyle w:val="9"/>
        <w:rPr>
          <w:rFonts w:ascii="黑体" w:hAnsi="黑体" w:cs="黑体"/>
          <w:color w:val="000000"/>
          <w:szCs w:val="32"/>
        </w:rPr>
      </w:pPr>
    </w:p>
    <w:p w14:paraId="3E343FF9">
      <w:pPr>
        <w:rPr>
          <w:rFonts w:ascii="黑体" w:hAnsi="黑体" w:cs="黑体"/>
          <w:color w:val="000000"/>
          <w:szCs w:val="32"/>
        </w:rPr>
      </w:pPr>
    </w:p>
    <w:p w14:paraId="7EF00F47">
      <w:pPr>
        <w:rPr>
          <w:rFonts w:ascii="黑体" w:hAnsi="黑体" w:cs="黑体"/>
          <w:color w:val="000000"/>
          <w:szCs w:val="32"/>
        </w:rPr>
      </w:pPr>
    </w:p>
    <w:p w14:paraId="45349119"/>
    <w:p w14:paraId="6A8DB530">
      <w:pPr>
        <w:pStyle w:val="2"/>
        <w:rPr>
          <w:rFonts w:ascii="黑体" w:hAnsi="黑体" w:cs="黑体"/>
          <w:b w:val="0"/>
          <w:szCs w:val="32"/>
        </w:rPr>
      </w:pPr>
    </w:p>
    <w:p w14:paraId="0E74896F">
      <w:pPr>
        <w:pStyle w:val="2"/>
        <w:rPr>
          <w:rFonts w:ascii="黑体" w:hAnsi="黑体" w:cs="黑体"/>
          <w:b w:val="0"/>
          <w:szCs w:val="32"/>
        </w:rPr>
      </w:pPr>
    </w:p>
    <w:p w14:paraId="1726AAF1">
      <w:pPr>
        <w:pStyle w:val="2"/>
        <w:rPr>
          <w:rFonts w:ascii="黑体" w:hAnsi="黑体" w:cs="黑体"/>
          <w:b w:val="0"/>
          <w:szCs w:val="32"/>
        </w:rPr>
      </w:pPr>
    </w:p>
    <w:p w14:paraId="66BA8D21">
      <w:pPr>
        <w:pStyle w:val="2"/>
        <w:rPr>
          <w:rFonts w:ascii="黑体" w:hAnsi="黑体" w:cs="黑体"/>
          <w:b w:val="0"/>
          <w:szCs w:val="32"/>
        </w:rPr>
      </w:pPr>
    </w:p>
    <w:p w14:paraId="45524503">
      <w:pPr>
        <w:pStyle w:val="2"/>
        <w:rPr>
          <w:rFonts w:ascii="黑体" w:hAnsi="黑体" w:cs="黑体"/>
          <w:b w:val="0"/>
          <w:szCs w:val="32"/>
        </w:rPr>
      </w:pPr>
    </w:p>
    <w:p w14:paraId="54D659E1">
      <w:pPr>
        <w:pStyle w:val="2"/>
        <w:rPr>
          <w:rFonts w:ascii="黑体" w:hAnsi="黑体" w:cs="黑体"/>
          <w:b w:val="0"/>
          <w:szCs w:val="32"/>
        </w:rPr>
      </w:pPr>
    </w:p>
    <w:p w14:paraId="56F25CB1">
      <w:pPr>
        <w:pStyle w:val="2"/>
        <w:rPr>
          <w:rFonts w:ascii="黑体" w:hAnsi="黑体" w:cs="黑体"/>
          <w:b w:val="0"/>
          <w:szCs w:val="32"/>
        </w:rPr>
      </w:pPr>
    </w:p>
    <w:p w14:paraId="106B6AC4">
      <w:pPr>
        <w:pStyle w:val="2"/>
        <w:rPr>
          <w:rFonts w:ascii="黑体" w:hAnsi="黑体" w:cs="黑体"/>
          <w:b w:val="0"/>
          <w:szCs w:val="32"/>
        </w:rPr>
      </w:pPr>
    </w:p>
    <w:p w14:paraId="078AEC93">
      <w:pPr>
        <w:pStyle w:val="2"/>
        <w:rPr>
          <w:rFonts w:ascii="黑体" w:hAnsi="黑体" w:cs="黑体"/>
          <w:b w:val="0"/>
          <w:szCs w:val="32"/>
        </w:rPr>
      </w:pPr>
    </w:p>
    <w:p w14:paraId="6A8C71E5">
      <w:pPr>
        <w:pStyle w:val="2"/>
        <w:jc w:val="both"/>
        <w:rPr>
          <w:rFonts w:ascii="黑体" w:hAnsi="黑体" w:cs="黑体"/>
          <w:b w:val="0"/>
          <w:szCs w:val="32"/>
        </w:rPr>
      </w:pPr>
    </w:p>
    <w:p w14:paraId="5B58279B">
      <w:pPr>
        <w:rPr>
          <w:rFonts w:ascii="黑体" w:hAnsi="黑体" w:cs="黑体"/>
          <w:b w:val="0"/>
          <w:szCs w:val="32"/>
        </w:rPr>
      </w:pPr>
    </w:p>
    <w:p w14:paraId="2071E15A">
      <w:pPr>
        <w:rPr>
          <w:rFonts w:ascii="黑体" w:hAnsi="黑体" w:cs="黑体"/>
          <w:b w:val="0"/>
          <w:szCs w:val="32"/>
        </w:rPr>
      </w:pPr>
    </w:p>
    <w:p w14:paraId="3C1620C7">
      <w:pPr>
        <w:rPr>
          <w:rFonts w:ascii="黑体" w:hAnsi="黑体" w:cs="黑体"/>
          <w:b w:val="0"/>
          <w:szCs w:val="32"/>
        </w:rPr>
      </w:pPr>
    </w:p>
    <w:p w14:paraId="180B9628">
      <w:pPr>
        <w:rPr>
          <w:rFonts w:ascii="黑体" w:hAnsi="黑体" w:cs="黑体"/>
          <w:b w:val="0"/>
          <w:szCs w:val="32"/>
        </w:rPr>
      </w:pPr>
    </w:p>
    <w:p w14:paraId="207B0BFB">
      <w:pPr>
        <w:rPr>
          <w:rFonts w:ascii="黑体" w:hAnsi="黑体" w:cs="黑体"/>
          <w:b w:val="0"/>
          <w:szCs w:val="32"/>
        </w:rPr>
      </w:pPr>
    </w:p>
    <w:p w14:paraId="1ADFFA50"/>
    <w:p w14:paraId="03023C93">
      <w:pPr>
        <w:pStyle w:val="2"/>
        <w:rPr>
          <w:rFonts w:ascii="黑体" w:hAnsi="黑体" w:cs="黑体"/>
          <w:b w:val="0"/>
          <w:szCs w:val="32"/>
        </w:rPr>
      </w:pPr>
      <w:r>
        <w:rPr>
          <w:rFonts w:hint="eastAsia" w:ascii="黑体" w:hAnsi="黑体" w:cs="黑体"/>
          <w:b w:val="0"/>
          <w:szCs w:val="32"/>
        </w:rPr>
        <w:t>第五章  电子响应文件构成及格式</w:t>
      </w:r>
    </w:p>
    <w:p w14:paraId="6F347E48">
      <w:pPr>
        <w:pStyle w:val="29"/>
      </w:pPr>
    </w:p>
    <w:p w14:paraId="5F90C344">
      <w:pPr>
        <w:pStyle w:val="29"/>
      </w:pPr>
    </w:p>
    <w:p w14:paraId="669ED847">
      <w:pPr>
        <w:pStyle w:val="29"/>
      </w:pPr>
    </w:p>
    <w:tbl>
      <w:tblPr>
        <w:tblStyle w:val="20"/>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61073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tcPr>
          <w:p w14:paraId="4C1F00C9">
            <w:pPr>
              <w:spacing w:before="120"/>
              <w:rPr>
                <w:rFonts w:ascii="仿宋" w:hAnsi="仿宋" w:eastAsia="仿宋" w:cs="仿宋"/>
                <w:color w:val="000000"/>
                <w:sz w:val="24"/>
                <w:szCs w:val="24"/>
              </w:rPr>
            </w:pPr>
            <w:r>
              <w:rPr>
                <w:rFonts w:hint="eastAsia" w:ascii="仿宋" w:hAnsi="仿宋" w:eastAsia="仿宋" w:cs="仿宋"/>
                <w:color w:val="000000"/>
                <w:sz w:val="24"/>
                <w:szCs w:val="24"/>
              </w:rPr>
              <w:t xml:space="preserve">注释： </w:t>
            </w:r>
          </w:p>
          <w:p w14:paraId="41987EFB">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1.本章分为三部分，是为方便供应商制作电子响应文件。第一、二部分应按要求或给定格式选择填报。</w:t>
            </w:r>
          </w:p>
          <w:p w14:paraId="4A683AD3">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2.第三部分响应方案格式仅供参考，供应商应根据项目特点，结合本次磋商要求，对有关表格进行补充或修改，但不得对实质性的相关条款作出变动。</w:t>
            </w:r>
          </w:p>
        </w:tc>
      </w:tr>
    </w:tbl>
    <w:p w14:paraId="6DEC28FB">
      <w:pPr>
        <w:pStyle w:val="29"/>
        <w:rPr>
          <w:sz w:val="20"/>
        </w:rPr>
      </w:pPr>
    </w:p>
    <w:p w14:paraId="0A179C25">
      <w:pPr>
        <w:pStyle w:val="26"/>
        <w:spacing w:line="240" w:lineRule="auto"/>
        <w:ind w:firstLine="253" w:firstLineChars="70"/>
        <w:jc w:val="center"/>
        <w:rPr>
          <w:rFonts w:ascii="宋体" w:hAnsi="宋体" w:eastAsia="宋体"/>
          <w:color w:val="000000"/>
          <w:sz w:val="36"/>
          <w:szCs w:val="36"/>
        </w:rPr>
      </w:pPr>
    </w:p>
    <w:p w14:paraId="0C26D553">
      <w:pPr>
        <w:pStyle w:val="26"/>
        <w:spacing w:line="240" w:lineRule="auto"/>
        <w:ind w:firstLine="253" w:firstLineChars="70"/>
        <w:jc w:val="center"/>
        <w:rPr>
          <w:color w:val="000000"/>
          <w:sz w:val="36"/>
          <w:szCs w:val="36"/>
        </w:rPr>
      </w:pPr>
      <w:r>
        <w:rPr>
          <w:rFonts w:ascii="宋体" w:hAnsi="宋体" w:eastAsia="宋体"/>
          <w:color w:val="000000"/>
          <w:sz w:val="36"/>
          <w:szCs w:val="36"/>
        </w:rPr>
        <w:br w:type="page"/>
      </w:r>
    </w:p>
    <w:p w14:paraId="7DD1B2CD">
      <w:pPr>
        <w:pStyle w:val="26"/>
        <w:spacing w:line="240" w:lineRule="auto"/>
        <w:ind w:firstLine="0" w:firstLineChars="0"/>
        <w:jc w:val="left"/>
        <w:rPr>
          <w:color w:val="000000"/>
          <w:sz w:val="32"/>
          <w:szCs w:val="32"/>
        </w:rPr>
      </w:pPr>
      <w:r>
        <w:rPr>
          <w:rFonts w:hint="eastAsia"/>
          <w:color w:val="000000"/>
          <w:sz w:val="32"/>
          <w:szCs w:val="32"/>
        </w:rPr>
        <w:t>（封面格式）</w:t>
      </w:r>
    </w:p>
    <w:p w14:paraId="43D77E34">
      <w:pPr>
        <w:spacing w:line="240" w:lineRule="auto"/>
        <w:jc w:val="center"/>
        <w:rPr>
          <w:rFonts w:ascii="华文中宋" w:hAnsi="华文中宋" w:eastAsia="华文中宋" w:cs="华文仿宋"/>
          <w:color w:val="000000"/>
          <w:w w:val="85"/>
          <w:sz w:val="56"/>
          <w:szCs w:val="56"/>
        </w:rPr>
      </w:pPr>
      <w:bookmarkStart w:id="145" w:name="_Toc23235"/>
      <w:bookmarkStart w:id="146" w:name="_Toc26349"/>
      <w:bookmarkStart w:id="147" w:name="_Toc6132"/>
      <w:bookmarkStart w:id="148" w:name="_Toc10248"/>
      <w:bookmarkStart w:id="149" w:name="_Toc26293"/>
      <w:bookmarkStart w:id="150" w:name="_Toc257"/>
      <w:bookmarkStart w:id="151" w:name="_Toc24786"/>
      <w:bookmarkStart w:id="152" w:name="_Toc20830"/>
    </w:p>
    <w:p w14:paraId="587875C3">
      <w:pPr>
        <w:spacing w:line="240" w:lineRule="auto"/>
        <w:jc w:val="center"/>
        <w:rPr>
          <w:color w:val="000000"/>
          <w:sz w:val="36"/>
          <w:szCs w:val="36"/>
        </w:rPr>
      </w:pPr>
      <w:r>
        <w:rPr>
          <w:rFonts w:hint="eastAsia" w:ascii="华文中宋" w:hAnsi="华文中宋" w:eastAsia="华文中宋" w:cs="华文仿宋"/>
          <w:color w:val="000000"/>
          <w:w w:val="85"/>
          <w:sz w:val="56"/>
          <w:szCs w:val="56"/>
        </w:rPr>
        <w:t>延安市政府采购货物和服务项目</w:t>
      </w:r>
      <w:bookmarkEnd w:id="145"/>
      <w:bookmarkEnd w:id="146"/>
      <w:bookmarkEnd w:id="147"/>
      <w:bookmarkEnd w:id="148"/>
      <w:bookmarkEnd w:id="149"/>
      <w:bookmarkEnd w:id="150"/>
      <w:bookmarkEnd w:id="151"/>
      <w:bookmarkEnd w:id="152"/>
    </w:p>
    <w:p w14:paraId="5EF96A7B">
      <w:pPr>
        <w:pStyle w:val="26"/>
        <w:spacing w:line="240" w:lineRule="auto"/>
        <w:ind w:firstLine="310" w:firstLineChars="70"/>
        <w:jc w:val="center"/>
        <w:rPr>
          <w:rFonts w:ascii="华文仿宋" w:hAnsi="华文仿宋" w:cs="华文仿宋"/>
          <w:color w:val="000000"/>
          <w:sz w:val="44"/>
          <w:szCs w:val="44"/>
        </w:rPr>
      </w:pPr>
    </w:p>
    <w:p w14:paraId="4F6244EE">
      <w:pPr>
        <w:pStyle w:val="26"/>
        <w:spacing w:line="240" w:lineRule="auto"/>
        <w:ind w:firstLine="253" w:firstLineChars="70"/>
        <w:jc w:val="center"/>
        <w:rPr>
          <w:rFonts w:ascii="华文仿宋" w:hAnsi="华文仿宋" w:cs="华文仿宋"/>
          <w:color w:val="000000"/>
          <w:sz w:val="36"/>
          <w:szCs w:val="36"/>
        </w:rPr>
      </w:pPr>
    </w:p>
    <w:p w14:paraId="2AB1967A">
      <w:pPr>
        <w:pStyle w:val="26"/>
        <w:spacing w:line="240" w:lineRule="auto"/>
        <w:ind w:firstLine="0" w:firstLineChars="0"/>
        <w:jc w:val="center"/>
        <w:rPr>
          <w:rFonts w:ascii="华文仿宋" w:hAnsi="华文仿宋" w:cs="华文仿宋"/>
          <w:color w:val="000000"/>
          <w:kern w:val="0"/>
          <w:sz w:val="96"/>
          <w:szCs w:val="96"/>
        </w:rPr>
      </w:pPr>
      <w:bookmarkStart w:id="153" w:name="_Toc13950"/>
      <w:bookmarkStart w:id="154" w:name="_Toc8257"/>
      <w:bookmarkStart w:id="155" w:name="_Toc26378"/>
      <w:bookmarkStart w:id="156" w:name="_Toc20481"/>
      <w:bookmarkStart w:id="157" w:name="_Toc16362"/>
      <w:bookmarkStart w:id="158" w:name="_Toc19569"/>
      <w:bookmarkStart w:id="159" w:name="_Toc76"/>
      <w:bookmarkStart w:id="160" w:name="_Toc17700"/>
      <w:r>
        <w:rPr>
          <w:rFonts w:hint="eastAsia" w:ascii="华文仿宋" w:hAnsi="华文仿宋" w:cs="华文仿宋"/>
          <w:color w:val="000000"/>
          <w:spacing w:val="323"/>
          <w:kern w:val="0"/>
          <w:sz w:val="96"/>
          <w:szCs w:val="96"/>
        </w:rPr>
        <w:t>电子响应文</w:t>
      </w:r>
      <w:r>
        <w:rPr>
          <w:rFonts w:hint="eastAsia" w:ascii="华文仿宋" w:hAnsi="华文仿宋" w:cs="华文仿宋"/>
          <w:color w:val="000000"/>
          <w:kern w:val="0"/>
          <w:sz w:val="96"/>
          <w:szCs w:val="96"/>
        </w:rPr>
        <w:t>件</w:t>
      </w:r>
      <w:bookmarkEnd w:id="153"/>
      <w:bookmarkEnd w:id="154"/>
      <w:bookmarkEnd w:id="155"/>
      <w:bookmarkEnd w:id="156"/>
      <w:bookmarkEnd w:id="157"/>
      <w:bookmarkEnd w:id="158"/>
      <w:bookmarkEnd w:id="159"/>
      <w:bookmarkEnd w:id="160"/>
    </w:p>
    <w:p w14:paraId="714B719E">
      <w:pPr>
        <w:pStyle w:val="26"/>
        <w:spacing w:line="240" w:lineRule="auto"/>
        <w:ind w:firstLine="0" w:firstLineChars="0"/>
        <w:jc w:val="center"/>
        <w:rPr>
          <w:rFonts w:ascii="华文仿宋" w:hAnsi="华文仿宋" w:cs="华文仿宋"/>
          <w:color w:val="000000"/>
          <w:sz w:val="36"/>
          <w:szCs w:val="36"/>
        </w:rPr>
      </w:pPr>
    </w:p>
    <w:p w14:paraId="794FBA0B">
      <w:pPr>
        <w:pStyle w:val="26"/>
        <w:spacing w:line="240" w:lineRule="auto"/>
        <w:ind w:firstLine="0" w:firstLineChars="0"/>
        <w:jc w:val="center"/>
        <w:rPr>
          <w:rFonts w:ascii="华文仿宋" w:hAnsi="华文仿宋" w:cs="华文仿宋"/>
          <w:color w:val="000000"/>
          <w:sz w:val="36"/>
          <w:szCs w:val="36"/>
        </w:rPr>
      </w:pPr>
    </w:p>
    <w:p w14:paraId="5C99613C">
      <w:pPr>
        <w:pStyle w:val="26"/>
        <w:spacing w:line="240" w:lineRule="auto"/>
        <w:ind w:firstLine="0" w:firstLineChars="0"/>
        <w:jc w:val="center"/>
        <w:rPr>
          <w:rFonts w:ascii="华文仿宋" w:hAnsi="华文仿宋" w:cs="华文仿宋"/>
          <w:color w:val="000000"/>
          <w:sz w:val="36"/>
          <w:szCs w:val="36"/>
        </w:rPr>
      </w:pPr>
    </w:p>
    <w:p w14:paraId="0587F7F5">
      <w:pPr>
        <w:pStyle w:val="26"/>
        <w:spacing w:line="240" w:lineRule="auto"/>
        <w:ind w:firstLine="0" w:firstLineChars="0"/>
        <w:jc w:val="center"/>
        <w:rPr>
          <w:rFonts w:ascii="华文仿宋" w:hAnsi="华文仿宋" w:cs="华文仿宋"/>
          <w:color w:val="000000"/>
          <w:sz w:val="36"/>
          <w:szCs w:val="36"/>
        </w:rPr>
      </w:pPr>
    </w:p>
    <w:p w14:paraId="60633EDB">
      <w:pPr>
        <w:pStyle w:val="26"/>
        <w:spacing w:line="240" w:lineRule="auto"/>
        <w:ind w:firstLine="0" w:firstLineChars="0"/>
        <w:jc w:val="center"/>
        <w:rPr>
          <w:rFonts w:ascii="华文仿宋" w:hAnsi="华文仿宋" w:cs="华文仿宋"/>
          <w:color w:val="000000"/>
          <w:sz w:val="36"/>
        </w:rPr>
      </w:pPr>
    </w:p>
    <w:p w14:paraId="598B3605">
      <w:pPr>
        <w:pStyle w:val="26"/>
        <w:spacing w:line="240" w:lineRule="auto"/>
        <w:ind w:firstLine="1452" w:firstLineChars="400"/>
        <w:rPr>
          <w:rFonts w:ascii="仿宋" w:hAnsi="仿宋" w:eastAsia="仿宋" w:cs="仿宋"/>
          <w:b/>
          <w:color w:val="000000"/>
          <w:sz w:val="36"/>
          <w:szCs w:val="36"/>
          <w:u w:val="single"/>
        </w:rPr>
      </w:pPr>
      <w:bookmarkStart w:id="161" w:name="_Toc15354"/>
      <w:bookmarkStart w:id="162" w:name="_Toc24486"/>
      <w:bookmarkStart w:id="163" w:name="_Toc12627"/>
      <w:bookmarkStart w:id="164" w:name="_Toc21212"/>
      <w:bookmarkStart w:id="165" w:name="_Toc24457"/>
      <w:bookmarkStart w:id="166" w:name="_Toc2030"/>
      <w:bookmarkStart w:id="167" w:name="_Toc22280"/>
      <w:bookmarkStart w:id="168" w:name="_Toc23171"/>
      <w:r>
        <w:rPr>
          <w:rFonts w:hint="eastAsia" w:ascii="仿宋" w:hAnsi="仿宋" w:eastAsia="仿宋" w:cs="仿宋"/>
          <w:bCs/>
          <w:color w:val="000000"/>
          <w:sz w:val="36"/>
          <w:szCs w:val="36"/>
        </w:rPr>
        <w:t>项目名称：</w:t>
      </w:r>
      <w:bookmarkEnd w:id="161"/>
      <w:bookmarkEnd w:id="162"/>
      <w:bookmarkEnd w:id="163"/>
      <w:bookmarkEnd w:id="164"/>
      <w:bookmarkEnd w:id="165"/>
      <w:bookmarkEnd w:id="166"/>
      <w:bookmarkEnd w:id="167"/>
      <w:bookmarkEnd w:id="168"/>
      <w:r>
        <w:rPr>
          <w:rFonts w:hint="eastAsia" w:ascii="仿宋" w:hAnsi="仿宋" w:eastAsia="仿宋" w:cs="仿宋"/>
          <w:bCs/>
          <w:color w:val="000000"/>
          <w:sz w:val="36"/>
          <w:szCs w:val="36"/>
          <w:u w:val="single"/>
        </w:rPr>
        <w:t xml:space="preserve">             </w:t>
      </w:r>
    </w:p>
    <w:p w14:paraId="24571321">
      <w:pPr>
        <w:pStyle w:val="26"/>
        <w:spacing w:line="240" w:lineRule="auto"/>
        <w:ind w:firstLine="1452" w:firstLineChars="400"/>
        <w:rPr>
          <w:rFonts w:ascii="仿宋" w:hAnsi="仿宋" w:eastAsia="仿宋" w:cs="仿宋"/>
          <w:color w:val="000000"/>
          <w:sz w:val="36"/>
          <w:szCs w:val="36"/>
          <w:u w:val="single"/>
        </w:rPr>
      </w:pPr>
      <w:bookmarkStart w:id="169" w:name="_Toc12638"/>
      <w:bookmarkStart w:id="170" w:name="_Toc27644"/>
      <w:bookmarkStart w:id="171" w:name="_Toc13586"/>
      <w:bookmarkStart w:id="172" w:name="_Toc10738"/>
      <w:bookmarkStart w:id="173" w:name="_Toc346"/>
      <w:bookmarkStart w:id="174" w:name="_Toc4485"/>
      <w:bookmarkStart w:id="175" w:name="_Toc6740"/>
      <w:bookmarkStart w:id="176" w:name="_Toc3140"/>
      <w:r>
        <w:rPr>
          <w:rFonts w:hint="eastAsia" w:ascii="仿宋" w:hAnsi="仿宋" w:eastAsia="仿宋" w:cs="仿宋"/>
          <w:color w:val="000000"/>
          <w:sz w:val="36"/>
          <w:szCs w:val="36"/>
        </w:rPr>
        <w:t>项目编号：</w:t>
      </w:r>
      <w:bookmarkEnd w:id="169"/>
      <w:bookmarkEnd w:id="170"/>
      <w:bookmarkEnd w:id="171"/>
      <w:bookmarkEnd w:id="172"/>
      <w:bookmarkEnd w:id="173"/>
      <w:bookmarkEnd w:id="174"/>
      <w:bookmarkEnd w:id="175"/>
      <w:bookmarkEnd w:id="176"/>
      <w:r>
        <w:rPr>
          <w:rFonts w:hint="eastAsia" w:ascii="仿宋" w:hAnsi="仿宋" w:eastAsia="仿宋" w:cs="仿宋"/>
          <w:color w:val="000000"/>
          <w:sz w:val="36"/>
          <w:szCs w:val="36"/>
          <w:u w:val="single"/>
        </w:rPr>
        <w:t xml:space="preserve">             </w:t>
      </w:r>
    </w:p>
    <w:p w14:paraId="6F4CF7F7">
      <w:pPr>
        <w:pStyle w:val="26"/>
        <w:spacing w:line="240" w:lineRule="auto"/>
        <w:ind w:firstLine="1452" w:firstLineChars="400"/>
        <w:rPr>
          <w:rFonts w:ascii="仿宋" w:hAnsi="仿宋" w:eastAsia="仿宋" w:cs="仿宋"/>
          <w:color w:val="000000"/>
          <w:sz w:val="36"/>
        </w:rPr>
      </w:pPr>
      <w:bookmarkStart w:id="177" w:name="_Toc11267"/>
      <w:bookmarkStart w:id="178" w:name="_Toc15987"/>
      <w:bookmarkStart w:id="179" w:name="_Toc5428"/>
      <w:bookmarkStart w:id="180" w:name="_Toc1120"/>
      <w:bookmarkStart w:id="181" w:name="_Toc29966"/>
      <w:bookmarkStart w:id="182" w:name="_Toc21054"/>
      <w:bookmarkStart w:id="183" w:name="_Toc7640"/>
      <w:bookmarkStart w:id="184" w:name="_Toc22519"/>
      <w:r>
        <w:rPr>
          <w:rFonts w:hint="eastAsia" w:ascii="仿宋" w:hAnsi="仿宋" w:eastAsia="仿宋" w:cs="仿宋"/>
          <w:color w:val="000000"/>
          <w:sz w:val="36"/>
        </w:rPr>
        <w:t>供 应 商：</w:t>
      </w:r>
      <w:r>
        <w:rPr>
          <w:rFonts w:hint="eastAsia" w:ascii="仿宋" w:hAnsi="仿宋" w:eastAsia="仿宋" w:cs="仿宋"/>
          <w:color w:val="000000"/>
          <w:sz w:val="36"/>
          <w:u w:val="single"/>
        </w:rPr>
        <w:t xml:space="preserve">             </w:t>
      </w:r>
      <w:r>
        <w:rPr>
          <w:rFonts w:hint="eastAsia" w:ascii="仿宋" w:hAnsi="仿宋" w:eastAsia="仿宋" w:cs="仿宋"/>
          <w:color w:val="000000"/>
          <w:sz w:val="36"/>
        </w:rPr>
        <w:t>（公章）</w:t>
      </w:r>
      <w:bookmarkEnd w:id="177"/>
      <w:bookmarkEnd w:id="178"/>
      <w:bookmarkEnd w:id="179"/>
      <w:bookmarkEnd w:id="180"/>
      <w:bookmarkEnd w:id="181"/>
      <w:bookmarkEnd w:id="182"/>
      <w:bookmarkEnd w:id="183"/>
      <w:bookmarkEnd w:id="184"/>
    </w:p>
    <w:p w14:paraId="67A24D1F">
      <w:pPr>
        <w:pStyle w:val="26"/>
        <w:spacing w:line="240" w:lineRule="auto"/>
        <w:ind w:firstLine="1452" w:firstLineChars="400"/>
        <w:jc w:val="left"/>
        <w:rPr>
          <w:rFonts w:ascii="仿宋" w:hAnsi="仿宋" w:eastAsia="仿宋" w:cs="仿宋"/>
          <w:color w:val="000000"/>
          <w:sz w:val="36"/>
          <w:szCs w:val="36"/>
          <w:u w:val="single"/>
        </w:rPr>
      </w:pPr>
      <w:bookmarkStart w:id="185" w:name="_Toc2899"/>
      <w:bookmarkStart w:id="186" w:name="_Toc21702"/>
      <w:bookmarkStart w:id="187" w:name="_Toc7734"/>
      <w:bookmarkStart w:id="188" w:name="_Toc880"/>
      <w:bookmarkStart w:id="189" w:name="_Toc5243"/>
      <w:bookmarkStart w:id="190" w:name="_Toc15429"/>
      <w:bookmarkStart w:id="191" w:name="_Toc24294"/>
      <w:bookmarkStart w:id="192" w:name="_Toc26250"/>
      <w:r>
        <w:rPr>
          <w:rFonts w:hint="eastAsia" w:ascii="仿宋" w:hAnsi="仿宋" w:eastAsia="仿宋" w:cs="仿宋"/>
          <w:color w:val="000000"/>
          <w:sz w:val="36"/>
        </w:rPr>
        <w:t>时　  间：</w:t>
      </w:r>
      <w:bookmarkEnd w:id="185"/>
      <w:bookmarkEnd w:id="186"/>
      <w:bookmarkEnd w:id="187"/>
      <w:bookmarkEnd w:id="188"/>
      <w:bookmarkEnd w:id="189"/>
      <w:bookmarkEnd w:id="190"/>
      <w:bookmarkEnd w:id="191"/>
      <w:bookmarkEnd w:id="192"/>
      <w:r>
        <w:rPr>
          <w:rFonts w:hint="eastAsia" w:ascii="仿宋" w:hAnsi="仿宋" w:eastAsia="仿宋" w:cs="仿宋"/>
          <w:color w:val="000000"/>
          <w:sz w:val="36"/>
          <w:u w:val="single"/>
        </w:rPr>
        <w:t xml:space="preserve">             </w:t>
      </w:r>
    </w:p>
    <w:p w14:paraId="3063744A">
      <w:pPr>
        <w:pStyle w:val="26"/>
        <w:spacing w:line="240" w:lineRule="auto"/>
        <w:ind w:firstLine="1452" w:firstLineChars="400"/>
        <w:jc w:val="left"/>
        <w:rPr>
          <w:rFonts w:ascii="仿宋" w:hAnsi="仿宋" w:eastAsia="仿宋" w:cs="仿宋"/>
          <w:color w:val="000000"/>
          <w:sz w:val="36"/>
          <w:szCs w:val="36"/>
          <w:u w:val="single"/>
        </w:rPr>
      </w:pPr>
    </w:p>
    <w:p w14:paraId="10851D45">
      <w:pPr>
        <w:pStyle w:val="30"/>
        <w:ind w:firstLine="888"/>
        <w:outlineLvl w:val="9"/>
        <w:rPr>
          <w:rFonts w:ascii="Calibri Light" w:hAnsi="Calibri Light"/>
          <w:color w:val="000000"/>
          <w:sz w:val="36"/>
          <w:szCs w:val="36"/>
        </w:rPr>
      </w:pPr>
      <w:bookmarkStart w:id="193" w:name="_Toc2071_WPSOffice_Level1"/>
      <w:bookmarkStart w:id="194" w:name="_Toc21571_WPSOffice_Level1"/>
      <w:bookmarkStart w:id="195" w:name="_Toc22476_WPSOffice_Level1"/>
      <w:bookmarkStart w:id="196" w:name="_Toc24906"/>
      <w:bookmarkStart w:id="197" w:name="_Toc31082_WPSOffice_Level1"/>
      <w:bookmarkStart w:id="198" w:name="_Toc23450"/>
      <w:bookmarkStart w:id="199" w:name="_Toc10193"/>
      <w:bookmarkStart w:id="200" w:name="_Toc11156"/>
      <w:bookmarkStart w:id="201" w:name="_Toc3838"/>
      <w:r>
        <w:rPr>
          <w:rFonts w:hint="eastAsia" w:ascii="华文仿宋" w:hAnsi="华文仿宋" w:cs="华文仿宋"/>
          <w:color w:val="000000"/>
          <w:sz w:val="44"/>
          <w:szCs w:val="44"/>
        </w:rPr>
        <w:br w:type="page"/>
      </w:r>
      <w:bookmarkStart w:id="202" w:name="_Toc580"/>
      <w:r>
        <w:rPr>
          <w:rFonts w:hint="eastAsia" w:ascii="华文仿宋" w:hAnsi="华文仿宋" w:cs="华文仿宋"/>
          <w:color w:val="000000"/>
          <w:sz w:val="44"/>
          <w:szCs w:val="44"/>
        </w:rPr>
        <w:t>目  录</w:t>
      </w:r>
      <w:bookmarkEnd w:id="193"/>
      <w:bookmarkEnd w:id="194"/>
      <w:bookmarkEnd w:id="195"/>
      <w:bookmarkEnd w:id="196"/>
      <w:bookmarkEnd w:id="197"/>
      <w:bookmarkEnd w:id="198"/>
      <w:bookmarkEnd w:id="199"/>
      <w:bookmarkEnd w:id="200"/>
      <w:bookmarkEnd w:id="201"/>
      <w:bookmarkEnd w:id="202"/>
    </w:p>
    <w:p w14:paraId="36D3297C">
      <w:pPr>
        <w:tabs>
          <w:tab w:val="right" w:leader="hyphen" w:pos="8504"/>
        </w:tabs>
        <w:spacing w:line="500" w:lineRule="exact"/>
        <w:ind w:left="1981" w:leftChars="200" w:right="849" w:rightChars="300" w:hanging="1415" w:hangingChars="500"/>
        <w:rPr>
          <w:rFonts w:ascii="黑体" w:hAnsi="黑体" w:eastAsia="黑体" w:cs="黑体"/>
          <w:color w:val="000000"/>
        </w:rPr>
      </w:pPr>
      <w:bookmarkStart w:id="203" w:name="_Toc19993_WPSOffice_Level1"/>
      <w:bookmarkStart w:id="204" w:name="_Toc26192_WPSOffice_Level1"/>
      <w:bookmarkStart w:id="205" w:name="_Toc8294_WPSOffice_Level1"/>
      <w:bookmarkStart w:id="206" w:name="_Toc25537_WPSOffice_Level1"/>
      <w:r>
        <w:rPr>
          <w:rFonts w:hint="eastAsia" w:ascii="黑体" w:hAnsi="黑体" w:eastAsia="黑体" w:cs="黑体"/>
          <w:color w:val="000000"/>
        </w:rPr>
        <w:t>第一部分  资格证明文件</w:t>
      </w:r>
      <w:r>
        <w:rPr>
          <w:rFonts w:hint="eastAsia" w:ascii="黑体" w:hAnsi="黑体" w:eastAsia="黑体" w:cs="黑体"/>
          <w:color w:val="000000"/>
        </w:rPr>
        <w:tab/>
      </w:r>
      <w:r>
        <w:rPr>
          <w:rFonts w:hint="eastAsia"/>
          <w:color w:val="000000"/>
        </w:rPr>
        <w:t>X</w:t>
      </w:r>
      <w:bookmarkEnd w:id="203"/>
      <w:bookmarkEnd w:id="204"/>
      <w:bookmarkEnd w:id="205"/>
      <w:bookmarkEnd w:id="206"/>
    </w:p>
    <w:p w14:paraId="3B7D14B3">
      <w:pPr>
        <w:tabs>
          <w:tab w:val="right" w:leader="hyphen" w:pos="8504"/>
        </w:tabs>
        <w:spacing w:line="500" w:lineRule="exact"/>
        <w:ind w:left="1981" w:leftChars="200" w:right="849" w:rightChars="300" w:hanging="1415" w:hangingChars="500"/>
        <w:rPr>
          <w:color w:val="000000"/>
        </w:rPr>
      </w:pPr>
      <w:r>
        <w:rPr>
          <w:color w:val="000000"/>
        </w:rPr>
        <w:t>　　　</w:t>
      </w:r>
      <w:bookmarkStart w:id="207" w:name="_Toc14464_WPSOffice_Level2"/>
      <w:bookmarkStart w:id="208" w:name="_Toc25969_WPSOffice_Level2"/>
      <w:bookmarkStart w:id="209" w:name="_Toc19993_WPSOffice_Level2"/>
      <w:bookmarkStart w:id="210" w:name="_Toc31082_WPSOffice_Level2"/>
      <w:r>
        <w:rPr>
          <w:rFonts w:hint="eastAsia"/>
          <w:color w:val="000000"/>
        </w:rPr>
        <w:t>一、营业执照等主体资格证明文件</w:t>
      </w:r>
      <w:r>
        <w:rPr>
          <w:color w:val="000000"/>
        </w:rPr>
        <w:tab/>
      </w:r>
      <w:r>
        <w:rPr>
          <w:color w:val="000000"/>
        </w:rPr>
        <w:t>X</w:t>
      </w:r>
      <w:bookmarkEnd w:id="207"/>
      <w:bookmarkEnd w:id="208"/>
      <w:bookmarkEnd w:id="209"/>
      <w:bookmarkEnd w:id="210"/>
    </w:p>
    <w:p w14:paraId="1817E550">
      <w:pPr>
        <w:tabs>
          <w:tab w:val="right" w:leader="hyphen" w:pos="8504"/>
        </w:tabs>
        <w:spacing w:line="500" w:lineRule="exact"/>
        <w:ind w:right="849" w:rightChars="300" w:firstLine="1415" w:firstLineChars="500"/>
        <w:rPr>
          <w:color w:val="000000"/>
        </w:rPr>
      </w:pPr>
      <w:bookmarkStart w:id="211" w:name="_Toc5830_WPSOffice_Level2"/>
      <w:bookmarkStart w:id="212" w:name="_Toc27026_WPSOffice_Level2"/>
      <w:bookmarkStart w:id="213" w:name="_Toc10078_WPSOffice_Level2"/>
      <w:bookmarkStart w:id="214" w:name="_Toc25537_WPSOffice_Level2"/>
      <w:r>
        <w:rPr>
          <w:rFonts w:hint="eastAsia"/>
          <w:color w:val="000000"/>
        </w:rPr>
        <w:t>二、财务状况、社保缴纳、税收缴纳承诺函</w:t>
      </w:r>
      <w:r>
        <w:rPr>
          <w:color w:val="000000"/>
        </w:rPr>
        <w:tab/>
      </w:r>
      <w:r>
        <w:rPr>
          <w:color w:val="000000"/>
        </w:rPr>
        <w:t>X</w:t>
      </w:r>
      <w:bookmarkEnd w:id="211"/>
      <w:bookmarkEnd w:id="212"/>
      <w:bookmarkEnd w:id="213"/>
      <w:bookmarkEnd w:id="214"/>
    </w:p>
    <w:p w14:paraId="5F27CAF5">
      <w:pPr>
        <w:tabs>
          <w:tab w:val="right" w:leader="hyphen" w:pos="8504"/>
        </w:tabs>
        <w:spacing w:line="500" w:lineRule="exact"/>
        <w:ind w:left="1981" w:leftChars="500" w:right="849" w:rightChars="300" w:hanging="566" w:hangingChars="200"/>
        <w:rPr>
          <w:color w:val="000000"/>
        </w:rPr>
      </w:pPr>
      <w:r>
        <w:rPr>
          <w:rFonts w:hint="eastAsia"/>
          <w:color w:val="000000"/>
        </w:rPr>
        <w:t>三、信用记录</w:t>
      </w:r>
      <w:r>
        <w:rPr>
          <w:rFonts w:hint="eastAsia"/>
          <w:color w:val="000000"/>
        </w:rPr>
        <w:tab/>
      </w:r>
      <w:r>
        <w:rPr>
          <w:rFonts w:hint="eastAsia"/>
          <w:color w:val="000000"/>
        </w:rPr>
        <w:t>X</w:t>
      </w:r>
    </w:p>
    <w:p w14:paraId="3F9D499C">
      <w:pPr>
        <w:tabs>
          <w:tab w:val="right" w:leader="hyphen" w:pos="8504"/>
        </w:tabs>
        <w:spacing w:line="500" w:lineRule="exact"/>
        <w:ind w:left="1981" w:leftChars="500" w:right="849" w:rightChars="300" w:hanging="566" w:hangingChars="200"/>
        <w:rPr>
          <w:color w:val="000000"/>
        </w:rPr>
      </w:pPr>
      <w:r>
        <w:rPr>
          <w:rFonts w:hint="eastAsia"/>
          <w:color w:val="000000"/>
        </w:rPr>
        <w:t>四、控股管理关系</w:t>
      </w:r>
      <w:r>
        <w:rPr>
          <w:rFonts w:hint="eastAsia"/>
          <w:color w:val="000000"/>
        </w:rPr>
        <w:tab/>
      </w:r>
      <w:r>
        <w:rPr>
          <w:rFonts w:hint="eastAsia"/>
          <w:color w:val="000000"/>
        </w:rPr>
        <w:t>X</w:t>
      </w:r>
    </w:p>
    <w:p w14:paraId="6BAF6F8F">
      <w:pPr>
        <w:tabs>
          <w:tab w:val="right" w:leader="hyphen" w:pos="8504"/>
        </w:tabs>
        <w:spacing w:line="500" w:lineRule="exact"/>
        <w:ind w:left="1981" w:leftChars="500" w:right="849" w:rightChars="300" w:hanging="566" w:hangingChars="200"/>
        <w:rPr>
          <w:color w:val="000000"/>
        </w:rPr>
      </w:pPr>
      <w:r>
        <w:rPr>
          <w:rFonts w:hint="eastAsia"/>
          <w:color w:val="000000"/>
        </w:rPr>
        <w:t>五、书面声明</w:t>
      </w:r>
      <w:r>
        <w:rPr>
          <w:rFonts w:hint="eastAsia"/>
          <w:color w:val="000000"/>
        </w:rPr>
        <w:tab/>
      </w:r>
      <w:r>
        <w:rPr>
          <w:rFonts w:hint="eastAsia"/>
          <w:color w:val="000000"/>
        </w:rPr>
        <w:t>X</w:t>
      </w:r>
    </w:p>
    <w:p w14:paraId="5D0971B2">
      <w:pPr>
        <w:tabs>
          <w:tab w:val="right" w:leader="hyphen" w:pos="8504"/>
        </w:tabs>
        <w:spacing w:line="500" w:lineRule="exact"/>
        <w:ind w:left="1981" w:leftChars="200" w:right="849" w:rightChars="300" w:hanging="1415" w:hangingChars="500"/>
        <w:rPr>
          <w:color w:val="000000"/>
        </w:rPr>
      </w:pPr>
      <w:r>
        <w:rPr>
          <w:rFonts w:hint="eastAsia"/>
          <w:color w:val="000000"/>
        </w:rPr>
        <w:t>　　　六、法定代表人授权委托书及法定代表人证明书</w:t>
      </w:r>
      <w:r>
        <w:rPr>
          <w:rFonts w:hint="eastAsia"/>
          <w:color w:val="000000"/>
        </w:rPr>
        <w:tab/>
      </w:r>
      <w:r>
        <w:rPr>
          <w:rFonts w:hint="eastAsia"/>
          <w:color w:val="000000"/>
        </w:rPr>
        <w:t>X</w:t>
      </w:r>
    </w:p>
    <w:p w14:paraId="3EB99405">
      <w:pPr>
        <w:tabs>
          <w:tab w:val="right" w:leader="hyphen" w:pos="8504"/>
        </w:tabs>
        <w:spacing w:line="500" w:lineRule="exact"/>
        <w:ind w:left="1981" w:leftChars="500" w:right="849" w:rightChars="300" w:hanging="566" w:hangingChars="200"/>
        <w:rPr>
          <w:color w:val="000000"/>
        </w:rPr>
      </w:pPr>
      <w:r>
        <w:rPr>
          <w:rFonts w:hint="eastAsia"/>
          <w:color w:val="000000"/>
        </w:rPr>
        <w:t>七、不接受联合体响应，不允许分包</w:t>
      </w:r>
      <w:r>
        <w:rPr>
          <w:rFonts w:hint="eastAsia"/>
          <w:color w:val="000000"/>
        </w:rPr>
        <w:tab/>
      </w:r>
      <w:r>
        <w:rPr>
          <w:rFonts w:hint="eastAsia"/>
          <w:color w:val="000000"/>
        </w:rPr>
        <w:t>X</w:t>
      </w:r>
    </w:p>
    <w:p w14:paraId="263BEAB5">
      <w:pPr>
        <w:tabs>
          <w:tab w:val="right" w:leader="hyphen" w:pos="8504"/>
        </w:tabs>
        <w:spacing w:line="500" w:lineRule="exact"/>
        <w:ind w:left="1981" w:leftChars="500" w:right="849" w:rightChars="300" w:hanging="566" w:hangingChars="200"/>
        <w:rPr>
          <w:color w:val="000000"/>
        </w:rPr>
      </w:pPr>
      <w:r>
        <w:rPr>
          <w:rFonts w:hint="eastAsia"/>
          <w:color w:val="000000"/>
        </w:rPr>
        <w:t>八、特定资格要求</w:t>
      </w:r>
      <w:r>
        <w:rPr>
          <w:rFonts w:hint="eastAsia" w:ascii="黑体" w:hAnsi="黑体" w:eastAsia="黑体" w:cs="黑体"/>
          <w:color w:val="000000"/>
        </w:rPr>
        <w:tab/>
      </w:r>
      <w:r>
        <w:rPr>
          <w:rFonts w:hint="eastAsia"/>
          <w:color w:val="000000"/>
        </w:rPr>
        <w:t>X</w:t>
      </w:r>
    </w:p>
    <w:p w14:paraId="1B91676E">
      <w:pPr>
        <w:tabs>
          <w:tab w:val="right" w:leader="hyphen" w:pos="8504"/>
        </w:tabs>
        <w:spacing w:line="500" w:lineRule="exact"/>
        <w:ind w:left="1981" w:leftChars="200" w:right="849" w:rightChars="300" w:hanging="1415" w:hangingChars="500"/>
        <w:rPr>
          <w:rFonts w:ascii="黑体" w:hAnsi="黑体" w:eastAsia="黑体" w:cs="黑体"/>
          <w:color w:val="000000"/>
        </w:rPr>
      </w:pPr>
      <w:r>
        <w:rPr>
          <w:rFonts w:hint="eastAsia" w:ascii="黑体" w:hAnsi="黑体" w:eastAsia="黑体" w:cs="黑体"/>
          <w:color w:val="000000"/>
        </w:rPr>
        <w:t>第二部分  符合性证明文件</w:t>
      </w:r>
      <w:r>
        <w:rPr>
          <w:color w:val="000000"/>
        </w:rPr>
        <w:tab/>
      </w:r>
      <w:r>
        <w:rPr>
          <w:color w:val="000000"/>
        </w:rPr>
        <w:t>X</w:t>
      </w:r>
    </w:p>
    <w:p w14:paraId="4EE5D89E">
      <w:pPr>
        <w:tabs>
          <w:tab w:val="right" w:leader="hyphen" w:pos="8504"/>
        </w:tabs>
        <w:spacing w:line="500" w:lineRule="exact"/>
        <w:ind w:right="849" w:rightChars="300" w:firstLine="1415" w:firstLineChars="500"/>
        <w:rPr>
          <w:color w:val="000000"/>
        </w:rPr>
      </w:pPr>
      <w:bookmarkStart w:id="215" w:name="_Toc5795_WPSOffice_Level2"/>
      <w:bookmarkStart w:id="216" w:name="_Toc7348_WPSOffice_Level2"/>
      <w:bookmarkStart w:id="217" w:name="_Toc183_WPSOffice_Level2"/>
      <w:bookmarkStart w:id="218" w:name="_Toc28631_WPSOffice_Level2"/>
      <w:r>
        <w:rPr>
          <w:rFonts w:hint="eastAsia"/>
          <w:color w:val="000000"/>
        </w:rPr>
        <w:t>一、响应</w:t>
      </w:r>
      <w:r>
        <w:rPr>
          <w:color w:val="000000"/>
        </w:rPr>
        <w:t>函</w:t>
      </w:r>
      <w:r>
        <w:rPr>
          <w:rFonts w:hint="eastAsia"/>
          <w:color w:val="000000"/>
        </w:rPr>
        <w:t>格式</w:t>
      </w:r>
      <w:r>
        <w:rPr>
          <w:color w:val="000000"/>
        </w:rPr>
        <w:tab/>
      </w:r>
      <w:r>
        <w:rPr>
          <w:color w:val="000000"/>
        </w:rPr>
        <w:t>X</w:t>
      </w:r>
      <w:bookmarkEnd w:id="215"/>
      <w:bookmarkEnd w:id="216"/>
      <w:bookmarkEnd w:id="217"/>
      <w:bookmarkEnd w:id="218"/>
    </w:p>
    <w:p w14:paraId="38612E30">
      <w:pPr>
        <w:tabs>
          <w:tab w:val="right" w:leader="hyphen" w:pos="8504"/>
        </w:tabs>
        <w:spacing w:line="500" w:lineRule="exact"/>
        <w:ind w:right="849" w:rightChars="300" w:firstLine="1415" w:firstLineChars="500"/>
        <w:rPr>
          <w:color w:val="000000"/>
        </w:rPr>
      </w:pPr>
      <w:bookmarkStart w:id="219" w:name="_Toc8116_WPSOffice_Level2"/>
      <w:bookmarkStart w:id="220" w:name="_Toc9021_WPSOffice_Level2"/>
      <w:bookmarkStart w:id="221" w:name="_Toc1168_WPSOffice_Level2"/>
      <w:bookmarkStart w:id="222" w:name="_Toc27223_WPSOffice_Level2"/>
      <w:r>
        <w:rPr>
          <w:rFonts w:hint="eastAsia"/>
          <w:color w:val="000000"/>
        </w:rPr>
        <w:t>二、</w:t>
      </w:r>
      <w:r>
        <w:rPr>
          <w:rFonts w:hint="eastAsia" w:ascii="华文仿宋" w:hAnsi="华文仿宋" w:cs="华文仿宋"/>
          <w:color w:val="000000"/>
        </w:rPr>
        <w:t>落实的政府采购政策</w:t>
      </w:r>
      <w:r>
        <w:rPr>
          <w:color w:val="000000"/>
        </w:rPr>
        <w:tab/>
      </w:r>
      <w:r>
        <w:rPr>
          <w:color w:val="000000"/>
        </w:rPr>
        <w:t>X</w:t>
      </w:r>
    </w:p>
    <w:p w14:paraId="531E4C4D">
      <w:pPr>
        <w:tabs>
          <w:tab w:val="right" w:leader="hyphen" w:pos="8504"/>
        </w:tabs>
        <w:spacing w:line="500" w:lineRule="exact"/>
        <w:ind w:left="1734" w:leftChars="513" w:right="849" w:rightChars="300" w:hanging="283" w:hangingChars="100"/>
        <w:rPr>
          <w:color w:val="000000"/>
        </w:rPr>
      </w:pPr>
      <w:r>
        <w:rPr>
          <w:rFonts w:hint="eastAsia"/>
          <w:color w:val="000000"/>
        </w:rPr>
        <w:t>三、第一次磋商报价表</w:t>
      </w:r>
      <w:r>
        <w:rPr>
          <w:color w:val="000000"/>
        </w:rPr>
        <w:tab/>
      </w:r>
      <w:r>
        <w:rPr>
          <w:color w:val="000000"/>
        </w:rPr>
        <w:t>X</w:t>
      </w:r>
      <w:bookmarkEnd w:id="219"/>
      <w:bookmarkEnd w:id="220"/>
      <w:bookmarkEnd w:id="221"/>
      <w:bookmarkEnd w:id="222"/>
    </w:p>
    <w:p w14:paraId="764BDD89">
      <w:pPr>
        <w:tabs>
          <w:tab w:val="right" w:leader="hyphen" w:pos="8504"/>
        </w:tabs>
        <w:spacing w:line="500" w:lineRule="exact"/>
        <w:ind w:left="1981" w:leftChars="200" w:right="849" w:rightChars="300" w:hanging="1415" w:hangingChars="500"/>
        <w:rPr>
          <w:color w:val="000000"/>
        </w:rPr>
      </w:pPr>
      <w:r>
        <w:rPr>
          <w:color w:val="000000"/>
        </w:rPr>
        <w:t>　　　</w:t>
      </w:r>
      <w:r>
        <w:rPr>
          <w:rFonts w:hint="eastAsia"/>
          <w:color w:val="000000"/>
        </w:rPr>
        <w:t xml:space="preserve">    </w:t>
      </w:r>
      <w:r>
        <w:rPr>
          <w:color w:val="000000"/>
        </w:rPr>
        <w:t>分项报价表</w:t>
      </w:r>
      <w:r>
        <w:rPr>
          <w:color w:val="000000"/>
        </w:rPr>
        <w:tab/>
      </w:r>
      <w:r>
        <w:rPr>
          <w:color w:val="000000"/>
        </w:rPr>
        <w:t>X</w:t>
      </w:r>
    </w:p>
    <w:p w14:paraId="4EBF5A0C">
      <w:pPr>
        <w:tabs>
          <w:tab w:val="right" w:leader="hyphen" w:pos="8504"/>
        </w:tabs>
        <w:spacing w:line="500" w:lineRule="exact"/>
        <w:ind w:left="1981" w:leftChars="500" w:right="849" w:rightChars="300" w:hanging="566" w:hangingChars="200"/>
        <w:rPr>
          <w:color w:val="000000"/>
        </w:rPr>
      </w:pPr>
      <w:bookmarkStart w:id="223" w:name="_Toc29414_WPSOffice_Level2"/>
      <w:bookmarkStart w:id="224" w:name="_Toc11630_WPSOffice_Level2"/>
      <w:bookmarkStart w:id="225" w:name="_Toc3525_WPSOffice_Level2"/>
      <w:bookmarkStart w:id="226" w:name="_Toc27170_WPSOffice_Level2"/>
      <w:r>
        <w:rPr>
          <w:rFonts w:hint="eastAsia"/>
          <w:color w:val="000000"/>
        </w:rPr>
        <w:t>四、供应</w:t>
      </w:r>
      <w:r>
        <w:rPr>
          <w:color w:val="000000"/>
        </w:rPr>
        <w:t>商承诺书</w:t>
      </w:r>
      <w:r>
        <w:rPr>
          <w:color w:val="000000"/>
        </w:rPr>
        <w:tab/>
      </w:r>
      <w:r>
        <w:rPr>
          <w:color w:val="000000"/>
        </w:rPr>
        <w:t>X</w:t>
      </w:r>
      <w:bookmarkEnd w:id="223"/>
      <w:bookmarkEnd w:id="224"/>
      <w:bookmarkEnd w:id="225"/>
      <w:bookmarkEnd w:id="226"/>
    </w:p>
    <w:p w14:paraId="681C2D51">
      <w:pPr>
        <w:tabs>
          <w:tab w:val="right" w:leader="hyphen" w:pos="8504"/>
        </w:tabs>
        <w:spacing w:line="480" w:lineRule="exact"/>
        <w:ind w:right="849" w:rightChars="300" w:firstLine="1415" w:firstLineChars="500"/>
        <w:rPr>
          <w:color w:val="000000"/>
        </w:rPr>
      </w:pPr>
      <w:bookmarkStart w:id="227" w:name="_Toc18811_WPSOffice_Level2"/>
      <w:bookmarkStart w:id="228" w:name="_Toc20504_WPSOffice_Level2"/>
      <w:bookmarkStart w:id="229" w:name="_Toc1782_WPSOffice_Level2"/>
      <w:bookmarkStart w:id="230" w:name="_Toc31457_WPSOffice_Level2"/>
      <w:r>
        <w:rPr>
          <w:rFonts w:hint="eastAsia"/>
          <w:color w:val="000000"/>
        </w:rPr>
        <w:t>五、</w:t>
      </w:r>
      <w:bookmarkEnd w:id="227"/>
      <w:bookmarkEnd w:id="228"/>
      <w:bookmarkEnd w:id="229"/>
      <w:bookmarkEnd w:id="230"/>
      <w:r>
        <w:rPr>
          <w:rFonts w:hint="eastAsia" w:ascii="华文仿宋" w:hAnsi="华文仿宋" w:cs="华文仿宋"/>
          <w:color w:val="000000"/>
        </w:rPr>
        <w:t>技术服务偏差表</w:t>
      </w:r>
      <w:r>
        <w:rPr>
          <w:rFonts w:cs="Times New Roman"/>
          <w:color w:val="000000"/>
        </w:rPr>
        <w:tab/>
      </w:r>
      <w:r>
        <w:rPr>
          <w:color w:val="000000"/>
        </w:rPr>
        <w:t>X</w:t>
      </w:r>
    </w:p>
    <w:p w14:paraId="29B54539">
      <w:pPr>
        <w:tabs>
          <w:tab w:val="right" w:leader="hyphen" w:pos="8504"/>
        </w:tabs>
        <w:spacing w:line="480" w:lineRule="exact"/>
        <w:ind w:right="849" w:rightChars="300" w:firstLine="1981" w:firstLineChars="700"/>
        <w:rPr>
          <w:rFonts w:ascii="华文仿宋" w:hAnsi="华文仿宋" w:cs="华文仿宋"/>
          <w:color w:val="000000"/>
        </w:rPr>
      </w:pPr>
      <w:r>
        <w:rPr>
          <w:rFonts w:hint="eastAsia" w:ascii="华文仿宋" w:hAnsi="华文仿宋" w:cs="华文仿宋"/>
          <w:color w:val="000000"/>
        </w:rPr>
        <w:t>（一）实质性条款响应表</w:t>
      </w:r>
      <w:r>
        <w:rPr>
          <w:rFonts w:hint="eastAsia" w:ascii="华文仿宋" w:hAnsi="华文仿宋" w:cs="华文仿宋"/>
          <w:color w:val="000000"/>
        </w:rPr>
        <w:tab/>
      </w:r>
      <w:r>
        <w:rPr>
          <w:color w:val="000000"/>
        </w:rPr>
        <w:t>X</w:t>
      </w:r>
    </w:p>
    <w:p w14:paraId="4D266ED9">
      <w:pPr>
        <w:tabs>
          <w:tab w:val="right" w:leader="hyphen" w:pos="8504"/>
        </w:tabs>
        <w:spacing w:line="480" w:lineRule="exact"/>
        <w:ind w:right="849" w:rightChars="300" w:firstLine="1981" w:firstLineChars="700"/>
        <w:rPr>
          <w:color w:val="000000"/>
        </w:rPr>
      </w:pPr>
      <w:r>
        <w:rPr>
          <w:rFonts w:hint="eastAsia" w:ascii="华文仿宋" w:hAnsi="华文仿宋" w:cs="华文仿宋"/>
          <w:color w:val="000000"/>
        </w:rPr>
        <w:t>（二）其他资料</w:t>
      </w:r>
      <w:r>
        <w:rPr>
          <w:rFonts w:hint="eastAsia" w:ascii="华文仿宋" w:hAnsi="华文仿宋" w:cs="华文仿宋"/>
          <w:color w:val="000000"/>
        </w:rPr>
        <w:tab/>
      </w:r>
      <w:r>
        <w:rPr>
          <w:color w:val="000000"/>
        </w:rPr>
        <w:t>X</w:t>
      </w:r>
    </w:p>
    <w:p w14:paraId="1DB055A9">
      <w:pPr>
        <w:tabs>
          <w:tab w:val="right" w:leader="hyphen" w:pos="8504"/>
        </w:tabs>
        <w:spacing w:line="500" w:lineRule="exact"/>
        <w:ind w:left="1734" w:leftChars="513" w:right="849" w:rightChars="300" w:hanging="283" w:hangingChars="100"/>
        <w:rPr>
          <w:color w:val="000000"/>
        </w:rPr>
      </w:pPr>
      <w:bookmarkStart w:id="231" w:name="_Toc19486_WPSOffice_Level2"/>
      <w:bookmarkStart w:id="232" w:name="_Toc28279_WPSOffice_Level2"/>
      <w:bookmarkStart w:id="233" w:name="_Toc13258_WPSOffice_Level2"/>
      <w:bookmarkStart w:id="234" w:name="_Toc17428_WPSOffice_Level2"/>
      <w:r>
        <w:rPr>
          <w:rFonts w:hint="eastAsia"/>
          <w:color w:val="000000"/>
        </w:rPr>
        <w:t>六、合同草案条款响应</w:t>
      </w:r>
      <w:r>
        <w:rPr>
          <w:color w:val="000000"/>
        </w:rPr>
        <w:tab/>
      </w:r>
      <w:r>
        <w:rPr>
          <w:color w:val="000000"/>
        </w:rPr>
        <w:t>X</w:t>
      </w:r>
      <w:bookmarkEnd w:id="231"/>
      <w:bookmarkEnd w:id="232"/>
      <w:bookmarkEnd w:id="233"/>
      <w:bookmarkEnd w:id="234"/>
    </w:p>
    <w:p w14:paraId="5F30D3C7">
      <w:pPr>
        <w:tabs>
          <w:tab w:val="right" w:leader="hyphen" w:pos="8504"/>
        </w:tabs>
        <w:spacing w:line="500" w:lineRule="exact"/>
        <w:ind w:right="849" w:rightChars="300" w:firstLine="566" w:firstLineChars="200"/>
        <w:rPr>
          <w:rFonts w:ascii="黑体" w:hAnsi="黑体" w:eastAsia="黑体" w:cs="黑体"/>
          <w:color w:val="000000"/>
        </w:rPr>
      </w:pPr>
      <w:bookmarkStart w:id="235" w:name="_Toc27464_WPSOffice_Level1"/>
      <w:bookmarkStart w:id="236" w:name="_Toc22808_WPSOffice_Level1"/>
      <w:bookmarkStart w:id="237" w:name="_Toc21905_WPSOffice_Level1"/>
      <w:bookmarkStart w:id="238" w:name="_Toc23092_WPSOffice_Level1"/>
      <w:r>
        <w:rPr>
          <w:rFonts w:hint="eastAsia" w:ascii="黑体" w:hAnsi="黑体" w:eastAsia="黑体" w:cs="黑体"/>
          <w:color w:val="000000"/>
        </w:rPr>
        <w:t>第三部分  响应方案</w:t>
      </w:r>
      <w:bookmarkEnd w:id="235"/>
      <w:bookmarkEnd w:id="236"/>
      <w:bookmarkEnd w:id="237"/>
      <w:bookmarkEnd w:id="238"/>
      <w:r>
        <w:rPr>
          <w:rFonts w:hint="eastAsia" w:ascii="黑体" w:hAnsi="黑体" w:eastAsia="黑体" w:cs="黑体"/>
          <w:color w:val="000000"/>
        </w:rPr>
        <w:tab/>
      </w:r>
      <w:r>
        <w:rPr>
          <w:rFonts w:hint="eastAsia"/>
          <w:color w:val="000000"/>
        </w:rPr>
        <w:t>X</w:t>
      </w:r>
    </w:p>
    <w:p w14:paraId="570AF885">
      <w:pPr>
        <w:tabs>
          <w:tab w:val="right" w:leader="hyphen" w:pos="8504"/>
        </w:tabs>
        <w:spacing w:line="500" w:lineRule="exact"/>
        <w:ind w:left="1734" w:leftChars="513" w:right="849" w:rightChars="300" w:hanging="283" w:hangingChars="100"/>
        <w:rPr>
          <w:color w:val="000000"/>
        </w:rPr>
      </w:pPr>
      <w:bookmarkStart w:id="239" w:name="_Toc7951_WPSOffice_Level2"/>
      <w:bookmarkStart w:id="240" w:name="_Toc7544_WPSOffice_Level2"/>
      <w:bookmarkStart w:id="241" w:name="_Toc8316_WPSOffice_Level2"/>
      <w:bookmarkStart w:id="242" w:name="_Toc980_WPSOffice_Level2"/>
      <w:r>
        <w:rPr>
          <w:rFonts w:hint="eastAsia"/>
          <w:color w:val="000000"/>
        </w:rPr>
        <w:t>一、供应</w:t>
      </w:r>
      <w:r>
        <w:rPr>
          <w:color w:val="000000"/>
        </w:rPr>
        <w:t>商</w:t>
      </w:r>
      <w:bookmarkEnd w:id="239"/>
      <w:r>
        <w:rPr>
          <w:rFonts w:hint="eastAsia"/>
          <w:color w:val="000000"/>
        </w:rPr>
        <w:t>概况</w:t>
      </w:r>
      <w:r>
        <w:rPr>
          <w:color w:val="000000"/>
        </w:rPr>
        <w:tab/>
      </w:r>
      <w:r>
        <w:rPr>
          <w:color w:val="000000"/>
        </w:rPr>
        <w:t>X</w:t>
      </w:r>
      <w:bookmarkEnd w:id="240"/>
      <w:bookmarkEnd w:id="241"/>
      <w:bookmarkEnd w:id="242"/>
    </w:p>
    <w:p w14:paraId="7D7917E1">
      <w:pPr>
        <w:tabs>
          <w:tab w:val="right" w:leader="hyphen" w:pos="8504"/>
        </w:tabs>
        <w:spacing w:line="500" w:lineRule="exact"/>
        <w:ind w:left="849" w:leftChars="300" w:right="849" w:rightChars="300" w:firstLine="566" w:firstLineChars="200"/>
        <w:rPr>
          <w:color w:val="000000"/>
        </w:rPr>
      </w:pPr>
      <w:bookmarkStart w:id="243" w:name="_Toc10127_WPSOffice_Level2"/>
      <w:bookmarkStart w:id="244" w:name="_Toc2999_WPSOffice_Level2"/>
      <w:bookmarkStart w:id="245" w:name="_Toc15474_WPSOffice_Level2"/>
      <w:bookmarkStart w:id="246" w:name="_Toc2987_WPSOffice_Level2"/>
      <w:r>
        <w:rPr>
          <w:rFonts w:hint="eastAsia"/>
          <w:color w:val="000000"/>
        </w:rPr>
        <w:t>二、响应</w:t>
      </w:r>
      <w:r>
        <w:rPr>
          <w:color w:val="000000"/>
        </w:rPr>
        <w:t>方案</w:t>
      </w:r>
      <w:r>
        <w:rPr>
          <w:color w:val="000000"/>
        </w:rPr>
        <w:tab/>
      </w:r>
      <w:r>
        <w:rPr>
          <w:color w:val="000000"/>
        </w:rPr>
        <w:t>X</w:t>
      </w:r>
      <w:bookmarkEnd w:id="243"/>
      <w:bookmarkEnd w:id="244"/>
      <w:bookmarkEnd w:id="245"/>
      <w:bookmarkEnd w:id="246"/>
    </w:p>
    <w:p w14:paraId="5DF07960">
      <w:pPr>
        <w:numPr>
          <w:ilvl w:val="0"/>
          <w:numId w:val="6"/>
        </w:numPr>
        <w:tabs>
          <w:tab w:val="right" w:leader="hyphen" w:pos="8504"/>
        </w:tabs>
        <w:spacing w:line="500" w:lineRule="exact"/>
        <w:ind w:left="1981" w:leftChars="500" w:right="849" w:rightChars="300" w:hanging="566" w:hangingChars="200"/>
        <w:rPr>
          <w:color w:val="000000"/>
        </w:rPr>
      </w:pPr>
      <w:bookmarkStart w:id="247" w:name="_Toc22913_WPSOffice_Level2"/>
      <w:bookmarkStart w:id="248" w:name="_Toc13401_WPSOffice_Level2"/>
      <w:bookmarkStart w:id="249" w:name="_Toc28542_WPSOffice_Level2"/>
      <w:bookmarkStart w:id="250" w:name="_Toc15492_WPSOffice_Level2"/>
      <w:r>
        <w:rPr>
          <w:rFonts w:hint="eastAsia"/>
          <w:color w:val="000000"/>
        </w:rPr>
        <w:t>参考样表</w:t>
      </w:r>
      <w:r>
        <w:rPr>
          <w:color w:val="000000"/>
        </w:rPr>
        <w:tab/>
      </w:r>
      <w:r>
        <w:rPr>
          <w:color w:val="000000"/>
        </w:rPr>
        <w:t>X</w:t>
      </w:r>
      <w:bookmarkEnd w:id="247"/>
      <w:bookmarkEnd w:id="248"/>
      <w:bookmarkEnd w:id="249"/>
      <w:bookmarkEnd w:id="250"/>
    </w:p>
    <w:p w14:paraId="76A394F7">
      <w:pPr>
        <w:spacing w:line="240" w:lineRule="auto"/>
        <w:jc w:val="center"/>
        <w:outlineLvl w:val="1"/>
        <w:rPr>
          <w:rFonts w:ascii="黑体" w:hAnsi="黑体" w:eastAsia="黑体"/>
          <w:color w:val="000000"/>
        </w:rPr>
      </w:pPr>
      <w:r>
        <w:rPr>
          <w:rFonts w:ascii="黑体" w:hAnsi="黑体" w:eastAsia="黑体"/>
          <w:b/>
          <w:color w:val="000000"/>
        </w:rPr>
        <w:br w:type="page"/>
      </w:r>
      <w:bookmarkStart w:id="251" w:name="_Toc1807"/>
      <w:bookmarkStart w:id="252" w:name="_Toc13654"/>
      <w:bookmarkStart w:id="253" w:name="_Toc31057"/>
      <w:r>
        <w:rPr>
          <w:rStyle w:val="31"/>
          <w:rFonts w:hint="eastAsia" w:ascii="黑体" w:hAnsi="黑体" w:eastAsia="黑体"/>
          <w:b w:val="0"/>
          <w:bCs w:val="0"/>
          <w:color w:val="000000"/>
        </w:rPr>
        <w:t>第一部分  资格证明文件</w:t>
      </w:r>
      <w:bookmarkEnd w:id="251"/>
      <w:bookmarkEnd w:id="252"/>
      <w:bookmarkEnd w:id="253"/>
    </w:p>
    <w:p w14:paraId="77DA964D">
      <w:pPr>
        <w:spacing w:line="500" w:lineRule="exact"/>
        <w:ind w:firstLine="566" w:firstLineChars="200"/>
        <w:rPr>
          <w:color w:val="000000"/>
        </w:rPr>
      </w:pPr>
      <w:r>
        <w:rPr>
          <w:rFonts w:hint="eastAsia"/>
          <w:color w:val="000000"/>
        </w:rPr>
        <w:t>供应</w:t>
      </w:r>
      <w:r>
        <w:rPr>
          <w:color w:val="000000"/>
        </w:rPr>
        <w:t>商应按照</w:t>
      </w:r>
      <w:r>
        <w:rPr>
          <w:rFonts w:hint="eastAsia"/>
          <w:color w:val="000000"/>
        </w:rPr>
        <w:t>电子磋商文件</w:t>
      </w:r>
      <w:r>
        <w:rPr>
          <w:color w:val="000000"/>
        </w:rPr>
        <w:t>第一章第</w:t>
      </w:r>
      <w:r>
        <w:rPr>
          <w:rFonts w:hint="eastAsia"/>
          <w:color w:val="000000"/>
        </w:rPr>
        <w:t>十</w:t>
      </w:r>
      <w:r>
        <w:rPr>
          <w:color w:val="000000"/>
        </w:rPr>
        <w:t>项所列</w:t>
      </w:r>
      <w:r>
        <w:rPr>
          <w:rFonts w:hint="eastAsia"/>
          <w:color w:val="000000"/>
        </w:rPr>
        <w:t>“供应商资格要求”逐一</w:t>
      </w:r>
      <w:r>
        <w:rPr>
          <w:color w:val="000000"/>
        </w:rPr>
        <w:t>提供全部资格证明文件。</w:t>
      </w:r>
      <w:r>
        <w:rPr>
          <w:rFonts w:hint="eastAsia"/>
          <w:color w:val="000000"/>
        </w:rPr>
        <w:t>缺少其中任何一项，其电子响应文件将被视为无效文件。</w:t>
      </w:r>
    </w:p>
    <w:p w14:paraId="55537474">
      <w:pPr>
        <w:spacing w:line="500" w:lineRule="exact"/>
        <w:ind w:firstLine="562"/>
        <w:jc w:val="left"/>
        <w:rPr>
          <w:rFonts w:ascii="仿宋" w:hAnsi="仿宋" w:eastAsia="仿宋"/>
          <w:b/>
          <w:color w:val="000000"/>
        </w:rPr>
      </w:pPr>
      <w:r>
        <w:rPr>
          <w:rFonts w:hint="eastAsia"/>
          <w:color w:val="000000"/>
        </w:rPr>
        <w:t>其中，《供应商信用记录书面声明函》、《承诺函》、《法定代表人授权委托书》、《书面声明》、《残疾人福利性单位声明函》、《非联合体不分包投标声明》须按下文给定格式填写。特别说明，法定代表人亲自参加磋商的，可不提供法定代表人授权委托书，但须提供其本人身份证（正反面）扫描件。</w:t>
      </w:r>
    </w:p>
    <w:p w14:paraId="3B473EA1">
      <w:pPr>
        <w:spacing w:line="500" w:lineRule="exact"/>
        <w:ind w:firstLine="562"/>
        <w:outlineLvl w:val="2"/>
        <w:rPr>
          <w:b/>
          <w:bCs/>
          <w:color w:val="000000"/>
        </w:rPr>
      </w:pPr>
      <w:r>
        <w:rPr>
          <w:rFonts w:hint="eastAsia"/>
          <w:b/>
          <w:bCs/>
          <w:color w:val="000000"/>
        </w:rPr>
        <w:t>一、营业执照等主体资格证明文件</w:t>
      </w:r>
    </w:p>
    <w:p w14:paraId="250246F9">
      <w:pPr>
        <w:spacing w:line="500" w:lineRule="exact"/>
        <w:ind w:firstLine="562"/>
        <w:outlineLvl w:val="2"/>
        <w:rPr>
          <w:rFonts w:ascii="仿宋" w:hAnsi="仿宋" w:eastAsia="仿宋"/>
          <w:b/>
          <w:color w:val="000000"/>
        </w:rPr>
      </w:pPr>
    </w:p>
    <w:p w14:paraId="7BDB8DC2">
      <w:pPr>
        <w:spacing w:line="500" w:lineRule="exact"/>
        <w:ind w:firstLine="562"/>
        <w:outlineLvl w:val="2"/>
        <w:rPr>
          <w:rFonts w:ascii="仿宋" w:hAnsi="仿宋" w:eastAsia="仿宋"/>
          <w:b/>
          <w:color w:val="000000"/>
        </w:rPr>
      </w:pPr>
    </w:p>
    <w:p w14:paraId="03AD40FA">
      <w:pPr>
        <w:spacing w:line="500" w:lineRule="exact"/>
        <w:ind w:firstLine="562"/>
        <w:outlineLvl w:val="2"/>
        <w:rPr>
          <w:rFonts w:ascii="仿宋" w:hAnsi="仿宋" w:eastAsia="仿宋"/>
          <w:b/>
          <w:color w:val="000000"/>
        </w:rPr>
      </w:pPr>
    </w:p>
    <w:p w14:paraId="34F69768">
      <w:pPr>
        <w:spacing w:line="500" w:lineRule="exact"/>
        <w:ind w:firstLine="562"/>
        <w:outlineLvl w:val="2"/>
        <w:rPr>
          <w:rFonts w:ascii="仿宋" w:hAnsi="仿宋" w:eastAsia="仿宋"/>
          <w:b/>
          <w:color w:val="000000"/>
        </w:rPr>
      </w:pPr>
    </w:p>
    <w:p w14:paraId="2478D257">
      <w:pPr>
        <w:spacing w:line="500" w:lineRule="exact"/>
        <w:ind w:firstLine="562"/>
        <w:outlineLvl w:val="2"/>
        <w:rPr>
          <w:rFonts w:ascii="仿宋" w:hAnsi="仿宋" w:eastAsia="仿宋"/>
          <w:b/>
          <w:color w:val="000000"/>
        </w:rPr>
      </w:pPr>
    </w:p>
    <w:p w14:paraId="33D0656A">
      <w:pPr>
        <w:spacing w:line="500" w:lineRule="exact"/>
        <w:ind w:firstLine="562"/>
        <w:outlineLvl w:val="2"/>
        <w:rPr>
          <w:rFonts w:ascii="仿宋" w:hAnsi="仿宋" w:eastAsia="仿宋"/>
          <w:b/>
          <w:color w:val="000000"/>
        </w:rPr>
      </w:pPr>
    </w:p>
    <w:p w14:paraId="2C59B19C">
      <w:pPr>
        <w:spacing w:line="500" w:lineRule="exact"/>
        <w:ind w:firstLine="562"/>
        <w:outlineLvl w:val="2"/>
        <w:rPr>
          <w:rFonts w:ascii="仿宋" w:hAnsi="仿宋" w:eastAsia="仿宋"/>
          <w:b/>
          <w:color w:val="000000"/>
        </w:rPr>
      </w:pPr>
    </w:p>
    <w:p w14:paraId="63F93341">
      <w:pPr>
        <w:spacing w:line="500" w:lineRule="exact"/>
        <w:ind w:firstLine="562"/>
        <w:outlineLvl w:val="2"/>
        <w:rPr>
          <w:rFonts w:ascii="仿宋" w:hAnsi="仿宋" w:eastAsia="仿宋"/>
          <w:b/>
          <w:color w:val="000000"/>
        </w:rPr>
      </w:pPr>
    </w:p>
    <w:p w14:paraId="608FE702">
      <w:pPr>
        <w:spacing w:line="500" w:lineRule="exact"/>
        <w:ind w:firstLine="562"/>
        <w:outlineLvl w:val="2"/>
        <w:rPr>
          <w:rFonts w:ascii="仿宋" w:hAnsi="仿宋" w:eastAsia="仿宋"/>
          <w:b/>
          <w:color w:val="000000"/>
        </w:rPr>
      </w:pPr>
    </w:p>
    <w:p w14:paraId="016ADC62">
      <w:pPr>
        <w:spacing w:line="500" w:lineRule="exact"/>
        <w:ind w:firstLine="562"/>
        <w:outlineLvl w:val="2"/>
        <w:rPr>
          <w:rFonts w:ascii="仿宋" w:hAnsi="仿宋" w:eastAsia="仿宋"/>
          <w:b/>
          <w:color w:val="000000"/>
        </w:rPr>
      </w:pPr>
    </w:p>
    <w:p w14:paraId="15BBCC92">
      <w:pPr>
        <w:spacing w:line="500" w:lineRule="exact"/>
        <w:ind w:firstLine="562"/>
        <w:outlineLvl w:val="2"/>
        <w:rPr>
          <w:rFonts w:ascii="仿宋" w:hAnsi="仿宋" w:eastAsia="仿宋"/>
          <w:b/>
          <w:color w:val="000000"/>
        </w:rPr>
      </w:pPr>
    </w:p>
    <w:p w14:paraId="2BC84CB7">
      <w:pPr>
        <w:spacing w:line="500" w:lineRule="exact"/>
        <w:ind w:firstLine="562"/>
        <w:outlineLvl w:val="2"/>
        <w:rPr>
          <w:rFonts w:ascii="仿宋" w:hAnsi="仿宋" w:eastAsia="仿宋"/>
          <w:b/>
          <w:color w:val="000000"/>
        </w:rPr>
      </w:pPr>
    </w:p>
    <w:p w14:paraId="08423AEE">
      <w:pPr>
        <w:spacing w:line="500" w:lineRule="exact"/>
        <w:ind w:firstLine="562"/>
        <w:outlineLvl w:val="2"/>
        <w:rPr>
          <w:rFonts w:ascii="仿宋" w:hAnsi="仿宋" w:eastAsia="仿宋"/>
          <w:b/>
          <w:color w:val="000000"/>
        </w:rPr>
      </w:pPr>
    </w:p>
    <w:p w14:paraId="7CAB279E">
      <w:pPr>
        <w:spacing w:line="500" w:lineRule="exact"/>
        <w:ind w:firstLine="562"/>
        <w:outlineLvl w:val="2"/>
        <w:rPr>
          <w:rFonts w:ascii="仿宋" w:hAnsi="仿宋" w:eastAsia="仿宋"/>
          <w:b/>
          <w:color w:val="000000"/>
        </w:rPr>
      </w:pPr>
    </w:p>
    <w:p w14:paraId="409A8050">
      <w:pPr>
        <w:spacing w:line="500" w:lineRule="exact"/>
        <w:ind w:firstLine="562"/>
        <w:outlineLvl w:val="2"/>
        <w:rPr>
          <w:rFonts w:ascii="仿宋" w:hAnsi="仿宋" w:eastAsia="仿宋"/>
          <w:b/>
          <w:color w:val="000000"/>
        </w:rPr>
      </w:pPr>
    </w:p>
    <w:p w14:paraId="22A570C3">
      <w:pPr>
        <w:spacing w:line="500" w:lineRule="exact"/>
        <w:ind w:firstLine="562"/>
        <w:outlineLvl w:val="2"/>
        <w:rPr>
          <w:rFonts w:ascii="仿宋" w:hAnsi="仿宋" w:eastAsia="仿宋"/>
          <w:b/>
          <w:color w:val="000000"/>
        </w:rPr>
      </w:pPr>
    </w:p>
    <w:p w14:paraId="791BCE55">
      <w:pPr>
        <w:spacing w:line="500" w:lineRule="exact"/>
        <w:outlineLvl w:val="2"/>
        <w:rPr>
          <w:rFonts w:ascii="仿宋" w:hAnsi="仿宋" w:eastAsia="仿宋"/>
          <w:b/>
          <w:color w:val="000000"/>
        </w:rPr>
      </w:pPr>
    </w:p>
    <w:p w14:paraId="11D0E3A3">
      <w:pPr>
        <w:spacing w:line="500" w:lineRule="exact"/>
        <w:ind w:firstLine="562"/>
        <w:outlineLvl w:val="2"/>
        <w:rPr>
          <w:b/>
          <w:bCs/>
          <w:color w:val="000000"/>
        </w:rPr>
      </w:pPr>
      <w:r>
        <w:rPr>
          <w:rFonts w:hint="eastAsia" w:ascii="仿宋" w:hAnsi="仿宋" w:eastAsia="仿宋"/>
          <w:b/>
          <w:color w:val="000000"/>
        </w:rPr>
        <w:t>二、</w:t>
      </w:r>
      <w:r>
        <w:rPr>
          <w:rFonts w:hint="eastAsia"/>
          <w:b/>
          <w:bCs/>
          <w:color w:val="000000"/>
        </w:rPr>
        <w:t>财务状况、社保缴纳、税收缴纳承诺函</w:t>
      </w:r>
    </w:p>
    <w:p w14:paraId="25BC79A9">
      <w:pPr>
        <w:spacing w:line="360" w:lineRule="atLeast"/>
        <w:jc w:val="center"/>
        <w:rPr>
          <w:rFonts w:ascii="宋体" w:hAnsi="宋体" w:eastAsia="宋体" w:cs="Times New Roman"/>
          <w:b/>
          <w:sz w:val="32"/>
          <w:szCs w:val="32"/>
        </w:rPr>
      </w:pPr>
      <w:r>
        <w:rPr>
          <w:rFonts w:hint="eastAsia" w:ascii="宋体" w:hAnsi="宋体" w:eastAsia="宋体" w:cs="Times New Roman"/>
          <w:b/>
          <w:sz w:val="32"/>
          <w:szCs w:val="32"/>
        </w:rPr>
        <w:t>承诺函（格式）</w:t>
      </w:r>
    </w:p>
    <w:p w14:paraId="055203D9">
      <w:pPr>
        <w:pStyle w:val="9"/>
      </w:pPr>
    </w:p>
    <w:p w14:paraId="6F33360F">
      <w:pPr>
        <w:spacing w:line="360" w:lineRule="auto"/>
        <w:ind w:firstLine="364" w:firstLineChars="150"/>
        <w:rPr>
          <w:rFonts w:ascii="宋体" w:hAnsi="宋体" w:eastAsia="宋体" w:cs="Times New Roman"/>
          <w:sz w:val="24"/>
        </w:rPr>
      </w:pPr>
      <w:r>
        <w:rPr>
          <w:rFonts w:hint="eastAsia" w:ascii="宋体" w:hAnsi="宋体" w:eastAsia="宋体" w:cs="Times New Roman"/>
          <w:sz w:val="24"/>
        </w:rPr>
        <w:t>我公司承诺，我公司财务状况、依法缴纳税收和社会保障资金良好。</w:t>
      </w:r>
    </w:p>
    <w:p w14:paraId="386BB9A2">
      <w:pPr>
        <w:spacing w:line="360" w:lineRule="auto"/>
        <w:ind w:firstLine="364" w:firstLineChars="150"/>
        <w:rPr>
          <w:rFonts w:ascii="宋体" w:hAnsi="宋体" w:eastAsia="宋体" w:cs="Times New Roman"/>
          <w:sz w:val="24"/>
        </w:rPr>
      </w:pPr>
      <w:r>
        <w:rPr>
          <w:rFonts w:hint="eastAsia" w:ascii="宋体" w:hAnsi="宋体" w:eastAsia="宋体" w:cs="Times New Roman"/>
          <w:sz w:val="24"/>
        </w:rPr>
        <w:t>如有隐瞒实情，愿承担一切责任及后果。</w:t>
      </w:r>
    </w:p>
    <w:p w14:paraId="57DF9B67">
      <w:pPr>
        <w:spacing w:line="360" w:lineRule="auto"/>
        <w:ind w:firstLine="364" w:firstLineChars="150"/>
        <w:rPr>
          <w:rFonts w:ascii="宋体" w:hAnsi="宋体" w:eastAsia="宋体" w:cs="Times New Roman"/>
          <w:sz w:val="24"/>
        </w:rPr>
      </w:pPr>
    </w:p>
    <w:p w14:paraId="55ED81F6">
      <w:pPr>
        <w:spacing w:line="360" w:lineRule="auto"/>
        <w:ind w:firstLine="364" w:firstLineChars="150"/>
        <w:rPr>
          <w:rFonts w:ascii="宋体" w:hAnsi="宋体" w:eastAsia="宋体" w:cs="Times New Roman"/>
          <w:sz w:val="24"/>
        </w:rPr>
      </w:pPr>
      <w:r>
        <w:rPr>
          <w:rFonts w:hint="eastAsia" w:ascii="宋体" w:hAnsi="宋体" w:eastAsia="宋体" w:cs="Times New Roman"/>
          <w:sz w:val="24"/>
        </w:rPr>
        <w:t>承诺单位：（盖章）</w:t>
      </w:r>
    </w:p>
    <w:p w14:paraId="2DD60DD5">
      <w:pPr>
        <w:spacing w:line="360" w:lineRule="auto"/>
        <w:ind w:firstLine="364" w:firstLineChars="150"/>
        <w:rPr>
          <w:rFonts w:ascii="宋体" w:hAnsi="宋体" w:eastAsia="宋体" w:cs="Times New Roman"/>
          <w:sz w:val="24"/>
        </w:rPr>
      </w:pPr>
    </w:p>
    <w:p w14:paraId="7E199D00">
      <w:pPr>
        <w:spacing w:line="360" w:lineRule="auto"/>
        <w:ind w:firstLine="364" w:firstLineChars="150"/>
        <w:rPr>
          <w:rFonts w:ascii="宋体" w:hAnsi="宋体" w:eastAsia="宋体" w:cs="Times New Roman"/>
          <w:sz w:val="24"/>
        </w:rPr>
      </w:pPr>
      <w:r>
        <w:rPr>
          <w:rFonts w:hint="eastAsia" w:ascii="宋体" w:hAnsi="宋体" w:eastAsia="宋体" w:cs="Times New Roman"/>
          <w:sz w:val="24"/>
        </w:rPr>
        <w:t>法定代表人或全权代表：（</w:t>
      </w:r>
      <w:r>
        <w:rPr>
          <w:rFonts w:hint="eastAsia" w:ascii="宋体" w:hAnsi="宋体" w:eastAsia="宋体" w:cs="Times New Roman"/>
          <w:b/>
          <w:bCs/>
          <w:sz w:val="24"/>
        </w:rPr>
        <w:t>签字或盖章</w:t>
      </w:r>
      <w:r>
        <w:rPr>
          <w:rFonts w:hint="eastAsia" w:ascii="宋体" w:hAnsi="宋体" w:eastAsia="宋体" w:cs="Times New Roman"/>
          <w:sz w:val="24"/>
        </w:rPr>
        <w:t>）</w:t>
      </w:r>
    </w:p>
    <w:p w14:paraId="5BC3EF02">
      <w:pPr>
        <w:spacing w:line="360" w:lineRule="auto"/>
        <w:ind w:firstLine="364" w:firstLineChars="150"/>
        <w:rPr>
          <w:rFonts w:ascii="宋体" w:hAnsi="宋体" w:eastAsia="宋体" w:cs="Times New Roman"/>
          <w:sz w:val="24"/>
        </w:rPr>
      </w:pPr>
    </w:p>
    <w:p w14:paraId="64B3B353">
      <w:pPr>
        <w:spacing w:line="360" w:lineRule="auto"/>
        <w:ind w:firstLine="364" w:firstLineChars="150"/>
        <w:rPr>
          <w:rFonts w:ascii="宋体" w:hAnsi="宋体" w:eastAsia="宋体" w:cs="Times New Roman"/>
          <w:sz w:val="24"/>
        </w:rPr>
      </w:pPr>
      <w:r>
        <w:rPr>
          <w:rFonts w:hint="eastAsia" w:ascii="宋体" w:hAnsi="宋体" w:eastAsia="宋体" w:cs="Times New Roman"/>
          <w:sz w:val="24"/>
        </w:rPr>
        <w:t xml:space="preserve">地址：                   </w:t>
      </w:r>
    </w:p>
    <w:p w14:paraId="7236177C">
      <w:pPr>
        <w:spacing w:line="360" w:lineRule="auto"/>
        <w:ind w:firstLine="364" w:firstLineChars="150"/>
        <w:rPr>
          <w:rFonts w:ascii="宋体" w:hAnsi="宋体" w:eastAsia="宋体" w:cs="Times New Roman"/>
          <w:sz w:val="24"/>
        </w:rPr>
      </w:pPr>
    </w:p>
    <w:p w14:paraId="0B7D37D6">
      <w:pPr>
        <w:spacing w:line="360" w:lineRule="auto"/>
        <w:ind w:firstLine="364" w:firstLineChars="150"/>
        <w:rPr>
          <w:rFonts w:ascii="宋体" w:hAnsi="宋体" w:eastAsia="宋体" w:cs="Times New Roman"/>
          <w:sz w:val="24"/>
        </w:rPr>
      </w:pPr>
      <w:r>
        <w:rPr>
          <w:rFonts w:hint="eastAsia" w:ascii="宋体" w:hAnsi="宋体" w:eastAsia="宋体" w:cs="Times New Roman"/>
          <w:sz w:val="24"/>
        </w:rPr>
        <w:t>邮编：</w:t>
      </w:r>
    </w:p>
    <w:p w14:paraId="02B6CEB4">
      <w:pPr>
        <w:spacing w:line="360" w:lineRule="auto"/>
        <w:ind w:firstLine="364" w:firstLineChars="150"/>
        <w:rPr>
          <w:rFonts w:ascii="宋体" w:hAnsi="宋体" w:eastAsia="宋体" w:cs="Times New Roman"/>
          <w:sz w:val="24"/>
        </w:rPr>
      </w:pPr>
    </w:p>
    <w:p w14:paraId="53DF269C">
      <w:pPr>
        <w:spacing w:line="360" w:lineRule="auto"/>
        <w:ind w:firstLine="364" w:firstLineChars="150"/>
        <w:rPr>
          <w:rFonts w:ascii="宋体" w:hAnsi="宋体" w:eastAsia="宋体" w:cs="Times New Roman"/>
          <w:sz w:val="24"/>
        </w:rPr>
      </w:pPr>
      <w:r>
        <w:rPr>
          <w:rFonts w:hint="eastAsia" w:ascii="宋体" w:hAnsi="宋体" w:eastAsia="宋体" w:cs="Times New Roman"/>
          <w:sz w:val="24"/>
        </w:rPr>
        <w:t>电话：</w:t>
      </w:r>
    </w:p>
    <w:p w14:paraId="30AB1B8B">
      <w:pPr>
        <w:spacing w:line="360" w:lineRule="auto"/>
        <w:ind w:firstLine="364" w:firstLineChars="150"/>
        <w:rPr>
          <w:rFonts w:ascii="宋体" w:hAnsi="宋体" w:eastAsia="宋体" w:cs="Times New Roman"/>
          <w:sz w:val="24"/>
        </w:rPr>
      </w:pPr>
      <w:r>
        <w:rPr>
          <w:rFonts w:hint="eastAsia" w:ascii="宋体" w:hAnsi="宋体" w:eastAsia="宋体" w:cs="Times New Roman"/>
          <w:sz w:val="24"/>
        </w:rPr>
        <w:t xml:space="preserve">                                                 年    月    日</w:t>
      </w:r>
    </w:p>
    <w:p w14:paraId="3667EE30">
      <w:pPr>
        <w:spacing w:line="500" w:lineRule="exact"/>
        <w:ind w:firstLine="566" w:firstLineChars="200"/>
        <w:outlineLvl w:val="2"/>
        <w:rPr>
          <w:b/>
          <w:bCs/>
          <w:color w:val="000000"/>
        </w:rPr>
      </w:pPr>
    </w:p>
    <w:p w14:paraId="21873646">
      <w:pPr>
        <w:spacing w:line="500" w:lineRule="exact"/>
        <w:ind w:firstLine="566" w:firstLineChars="200"/>
        <w:outlineLvl w:val="2"/>
        <w:rPr>
          <w:b/>
          <w:bCs/>
          <w:color w:val="000000"/>
        </w:rPr>
      </w:pPr>
    </w:p>
    <w:p w14:paraId="79D689AA">
      <w:pPr>
        <w:spacing w:line="500" w:lineRule="exact"/>
        <w:ind w:firstLine="566" w:firstLineChars="200"/>
        <w:outlineLvl w:val="2"/>
        <w:rPr>
          <w:b/>
          <w:bCs/>
          <w:color w:val="000000"/>
        </w:rPr>
      </w:pPr>
    </w:p>
    <w:p w14:paraId="789DA763">
      <w:pPr>
        <w:spacing w:line="500" w:lineRule="exact"/>
        <w:ind w:firstLine="566" w:firstLineChars="200"/>
        <w:outlineLvl w:val="2"/>
        <w:rPr>
          <w:b/>
          <w:bCs/>
          <w:color w:val="000000"/>
        </w:rPr>
      </w:pPr>
    </w:p>
    <w:p w14:paraId="7625C5F2">
      <w:pPr>
        <w:spacing w:line="500" w:lineRule="exact"/>
        <w:ind w:firstLine="566" w:firstLineChars="200"/>
        <w:outlineLvl w:val="2"/>
        <w:rPr>
          <w:b/>
          <w:bCs/>
          <w:color w:val="000000"/>
        </w:rPr>
      </w:pPr>
    </w:p>
    <w:p w14:paraId="10DBEFF7">
      <w:pPr>
        <w:spacing w:line="500" w:lineRule="exact"/>
        <w:ind w:firstLine="566" w:firstLineChars="200"/>
        <w:outlineLvl w:val="2"/>
        <w:rPr>
          <w:b/>
          <w:bCs/>
          <w:color w:val="000000"/>
        </w:rPr>
      </w:pPr>
    </w:p>
    <w:p w14:paraId="06B8D405">
      <w:pPr>
        <w:spacing w:line="500" w:lineRule="exact"/>
        <w:ind w:firstLine="566" w:firstLineChars="200"/>
        <w:outlineLvl w:val="2"/>
        <w:rPr>
          <w:b/>
          <w:bCs/>
          <w:color w:val="000000"/>
        </w:rPr>
      </w:pPr>
    </w:p>
    <w:p w14:paraId="7DA42C9B">
      <w:pPr>
        <w:spacing w:line="500" w:lineRule="exact"/>
        <w:ind w:firstLine="566" w:firstLineChars="200"/>
        <w:outlineLvl w:val="2"/>
        <w:rPr>
          <w:b/>
          <w:bCs/>
          <w:color w:val="000000"/>
        </w:rPr>
      </w:pPr>
    </w:p>
    <w:p w14:paraId="416685D1">
      <w:pPr>
        <w:spacing w:line="500" w:lineRule="exact"/>
        <w:ind w:firstLine="566" w:firstLineChars="200"/>
        <w:outlineLvl w:val="2"/>
        <w:rPr>
          <w:b/>
          <w:bCs/>
          <w:color w:val="000000"/>
        </w:rPr>
      </w:pPr>
    </w:p>
    <w:p w14:paraId="31419834">
      <w:pPr>
        <w:spacing w:line="500" w:lineRule="exact"/>
        <w:ind w:firstLine="566" w:firstLineChars="200"/>
        <w:outlineLvl w:val="2"/>
        <w:rPr>
          <w:b/>
          <w:bCs/>
          <w:color w:val="000000"/>
        </w:rPr>
      </w:pPr>
    </w:p>
    <w:p w14:paraId="689AA0B4">
      <w:pPr>
        <w:spacing w:line="500" w:lineRule="exact"/>
        <w:ind w:firstLine="566" w:firstLineChars="200"/>
        <w:outlineLvl w:val="2"/>
        <w:rPr>
          <w:rFonts w:ascii="仿宋" w:hAnsi="仿宋" w:eastAsia="仿宋"/>
          <w:b/>
          <w:color w:val="000000"/>
        </w:rPr>
      </w:pPr>
      <w:r>
        <w:rPr>
          <w:rFonts w:hint="eastAsia"/>
          <w:b/>
          <w:bCs/>
          <w:color w:val="000000"/>
        </w:rPr>
        <w:t>三、信用记录</w:t>
      </w:r>
    </w:p>
    <w:p w14:paraId="59EB6DC7">
      <w:pPr>
        <w:pStyle w:val="18"/>
        <w:ind w:firstLine="0" w:firstLineChars="0"/>
        <w:rPr>
          <w:rFonts w:ascii="仿宋" w:hAnsi="仿宋" w:eastAsia="仿宋"/>
          <w:b/>
          <w:color w:val="000000"/>
        </w:rPr>
      </w:pPr>
    </w:p>
    <w:p w14:paraId="680EB57E">
      <w:pPr>
        <w:pStyle w:val="32"/>
        <w:ind w:firstLine="607"/>
        <w:jc w:val="center"/>
        <w:outlineLvl w:val="9"/>
        <w:rPr>
          <w:rFonts w:ascii="华文仿宋" w:hAnsi="华文仿宋" w:cs="华文仿宋"/>
          <w:color w:val="000000"/>
        </w:rPr>
      </w:pPr>
      <w:r>
        <w:rPr>
          <w:rFonts w:hint="eastAsia" w:ascii="华文仿宋" w:hAnsi="华文仿宋" w:cs="华文仿宋"/>
          <w:color w:val="000000"/>
        </w:rPr>
        <w:t>供应</w:t>
      </w:r>
      <w:r>
        <w:rPr>
          <w:rFonts w:hint="eastAsia" w:ascii="华文仿宋" w:hAnsi="华文仿宋" w:cs="华文仿宋"/>
        </w:rPr>
        <w:t>商信用记录书面声明函</w:t>
      </w:r>
      <w:r>
        <w:rPr>
          <w:rFonts w:hint="eastAsia" w:ascii="仿宋" w:hAnsi="仿宋" w:eastAsia="仿宋" w:cs="仿宋"/>
          <w:szCs w:val="30"/>
        </w:rPr>
        <w:t>（格式）</w:t>
      </w:r>
    </w:p>
    <w:p w14:paraId="661A43B9">
      <w:pPr>
        <w:spacing w:line="500" w:lineRule="exact"/>
        <w:rPr>
          <w:rFonts w:ascii="华文仿宋" w:hAnsi="华文仿宋" w:cs="华文仿宋"/>
          <w:color w:val="000000"/>
        </w:rPr>
      </w:pPr>
    </w:p>
    <w:p w14:paraId="51E742EB">
      <w:pPr>
        <w:spacing w:line="500" w:lineRule="exact"/>
        <w:rPr>
          <w:color w:val="000000"/>
        </w:rPr>
      </w:pPr>
      <w:r>
        <w:rPr>
          <w:rFonts w:hint="eastAsia" w:ascii="华文仿宋" w:hAnsi="华文仿宋" w:cs="华文仿宋"/>
          <w:color w:val="000000"/>
        </w:rPr>
        <w:t>延安市公共资源交易中心（延安市市直单位政府采购中心）</w:t>
      </w:r>
      <w:r>
        <w:rPr>
          <w:color w:val="000000"/>
        </w:rPr>
        <w:t>：</w:t>
      </w:r>
    </w:p>
    <w:p w14:paraId="67909B52">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华文仿宋" w:hAnsi="华文仿宋" w:cs="华文仿宋"/>
        </w:rPr>
        <w:t>《</w:t>
      </w:r>
      <w:r>
        <w:rPr>
          <w:rFonts w:hint="eastAsia" w:ascii="华文仿宋" w:hAnsi="华文仿宋" w:cs="华文仿宋"/>
          <w:u w:val="single"/>
        </w:rPr>
        <w:t>项目名称</w:t>
      </w:r>
      <w:r>
        <w:rPr>
          <w:rFonts w:hint="eastAsia" w:ascii="华文仿宋" w:hAnsi="华文仿宋" w:cs="华文仿宋"/>
        </w:rPr>
        <w:t>》</w:t>
      </w:r>
      <w:r>
        <w:rPr>
          <w:rFonts w:hint="eastAsia" w:ascii="仿宋" w:hAnsi="仿宋" w:eastAsia="仿宋" w:cs="仿宋"/>
          <w:color w:val="000000"/>
        </w:rPr>
        <w:t>（项目编号：</w:t>
      </w:r>
      <w:r>
        <w:rPr>
          <w:rFonts w:hint="eastAsia" w:ascii="仿宋" w:hAnsi="仿宋" w:eastAsia="仿宋" w:cs="仿宋"/>
          <w:color w:val="000000"/>
          <w:u w:val="single"/>
        </w:rPr>
        <w:t xml:space="preserve">       </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037B7EFD">
      <w:pPr>
        <w:spacing w:line="500" w:lineRule="exact"/>
        <w:ind w:firstLine="566" w:firstLineChars="200"/>
        <w:rPr>
          <w:rFonts w:ascii="仿宋" w:hAnsi="仿宋" w:eastAsia="仿宋" w:cs="仿宋"/>
          <w:color w:val="000000"/>
        </w:rPr>
      </w:pPr>
      <w:r>
        <w:rPr>
          <w:rFonts w:hint="eastAsia" w:ascii="仿宋" w:hAnsi="仿宋" w:eastAsia="仿宋" w:cs="仿宋"/>
          <w:color w:val="000000"/>
        </w:rPr>
        <w:t>1.在参加本次政府采购活动前3年内的经营活动中</w:t>
      </w:r>
      <w:r>
        <w:rPr>
          <w:rFonts w:hint="eastAsia" w:ascii="仿宋" w:hAnsi="仿宋" w:eastAsia="仿宋" w:cs="仿宋"/>
          <w:color w:val="000000"/>
          <w:u w:val="single"/>
        </w:rPr>
        <w:t xml:space="preserve">      </w:t>
      </w:r>
      <w:r>
        <w:rPr>
          <w:rFonts w:hint="eastAsia" w:ascii="仿宋" w:hAnsi="仿宋" w:eastAsia="仿宋" w:cs="仿宋"/>
          <w:color w:val="000000"/>
        </w:rPr>
        <w:t>（填“没有”或“有”）重大违法记录。</w:t>
      </w:r>
      <w:r>
        <w:rPr>
          <w:rFonts w:hint="eastAsia" w:ascii="仿宋" w:hAnsi="仿宋" w:eastAsia="仿宋" w:cs="仿宋"/>
          <w:b/>
          <w:bCs/>
          <w:color w:val="000000"/>
        </w:rPr>
        <w:t>供应商在参加政府采购活动前3年内因违法经营被禁止在一定期限内参加政府采购活动，期限届满的，可以参加政府采购活动，但应提供期限届满的证明材料。</w:t>
      </w:r>
    </w:p>
    <w:p w14:paraId="14F791EC">
      <w:pPr>
        <w:spacing w:line="500" w:lineRule="exact"/>
        <w:ind w:firstLine="566" w:firstLineChars="200"/>
        <w:rPr>
          <w:rFonts w:ascii="仿宋" w:hAnsi="仿宋" w:eastAsia="仿宋" w:cs="仿宋"/>
          <w:color w:val="000000"/>
        </w:rPr>
      </w:pPr>
      <w:r>
        <w:rPr>
          <w:rFonts w:hint="eastAsia" w:ascii="仿宋" w:hAnsi="仿宋" w:eastAsia="仿宋" w:cs="仿宋"/>
          <w:color w:val="000000"/>
        </w:rPr>
        <w:t>2.我方</w:t>
      </w:r>
      <w:r>
        <w:rPr>
          <w:rFonts w:hint="eastAsia" w:ascii="仿宋" w:hAnsi="仿宋" w:eastAsia="仿宋" w:cs="仿宋"/>
          <w:color w:val="000000"/>
          <w:u w:val="single"/>
        </w:rPr>
        <w:t xml:space="preserve">       </w:t>
      </w:r>
      <w:r>
        <w:rPr>
          <w:rFonts w:hint="eastAsia" w:ascii="仿宋" w:hAnsi="仿宋" w:eastAsia="仿宋" w:cs="仿宋"/>
          <w:color w:val="000000"/>
        </w:rPr>
        <w:t>（填“未被列入”或“被列入”）失信被执行人名单。</w:t>
      </w:r>
    </w:p>
    <w:p w14:paraId="56EE9825">
      <w:pPr>
        <w:spacing w:line="500" w:lineRule="exact"/>
        <w:ind w:firstLine="566" w:firstLineChars="200"/>
        <w:rPr>
          <w:rFonts w:ascii="仿宋" w:hAnsi="仿宋" w:eastAsia="仿宋" w:cs="仿宋"/>
          <w:color w:val="000000"/>
        </w:rPr>
      </w:pPr>
      <w:r>
        <w:rPr>
          <w:rFonts w:hint="eastAsia" w:ascii="仿宋" w:hAnsi="仿宋" w:eastAsia="仿宋" w:cs="仿宋"/>
          <w:color w:val="000000"/>
        </w:rPr>
        <w:t>3.我方</w:t>
      </w:r>
      <w:r>
        <w:rPr>
          <w:rFonts w:hint="eastAsia" w:ascii="仿宋" w:hAnsi="仿宋" w:eastAsia="仿宋" w:cs="仿宋"/>
          <w:color w:val="000000"/>
          <w:u w:val="single"/>
        </w:rPr>
        <w:t xml:space="preserve">       </w:t>
      </w:r>
      <w:r>
        <w:rPr>
          <w:rFonts w:hint="eastAsia" w:ascii="仿宋" w:hAnsi="仿宋" w:eastAsia="仿宋" w:cs="仿宋"/>
          <w:color w:val="000000"/>
        </w:rPr>
        <w:t>（填“未被列入”或“被列入”）重大税收违法失信主体名单。</w:t>
      </w:r>
    </w:p>
    <w:p w14:paraId="704C8C7E">
      <w:pPr>
        <w:spacing w:line="500" w:lineRule="exact"/>
        <w:ind w:firstLine="566" w:firstLineChars="200"/>
        <w:rPr>
          <w:rFonts w:ascii="仿宋" w:hAnsi="仿宋" w:eastAsia="仿宋" w:cs="仿宋"/>
          <w:color w:val="000000"/>
        </w:rPr>
      </w:pPr>
      <w:r>
        <w:rPr>
          <w:rFonts w:hint="eastAsia" w:ascii="仿宋" w:hAnsi="仿宋" w:eastAsia="仿宋" w:cs="仿宋"/>
          <w:color w:val="000000"/>
        </w:rPr>
        <w:t>4.我方</w:t>
      </w:r>
      <w:r>
        <w:rPr>
          <w:rFonts w:hint="eastAsia" w:ascii="仿宋" w:hAnsi="仿宋" w:eastAsia="仿宋" w:cs="仿宋"/>
          <w:color w:val="000000"/>
          <w:u w:val="single"/>
        </w:rPr>
        <w:t xml:space="preserve">       </w:t>
      </w:r>
      <w:r>
        <w:rPr>
          <w:rFonts w:hint="eastAsia" w:ascii="仿宋" w:hAnsi="仿宋" w:eastAsia="仿宋" w:cs="仿宋"/>
          <w:color w:val="000000"/>
        </w:rPr>
        <w:t>（填“未被列入”或“被列入”）政府采购严重违法失信行为记录名单。</w:t>
      </w:r>
    </w:p>
    <w:p w14:paraId="24A4D689">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0E07EB4D">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129AFA82">
      <w:pPr>
        <w:spacing w:line="500" w:lineRule="exact"/>
        <w:ind w:firstLine="4245" w:firstLineChars="15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rPr>
        <w:t>（加盖公章）</w:t>
      </w:r>
    </w:p>
    <w:p w14:paraId="3321A90F">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687B794A">
      <w:pPr>
        <w:spacing w:line="500" w:lineRule="exact"/>
        <w:ind w:firstLine="566" w:firstLineChars="200"/>
        <w:rPr>
          <w:rFonts w:ascii="仿宋" w:hAnsi="仿宋" w:eastAsia="仿宋" w:cs="仿宋"/>
          <w:color w:val="000000"/>
          <w:highlight w:val="yellow"/>
        </w:rPr>
      </w:pPr>
    </w:p>
    <w:p w14:paraId="3AA290A1">
      <w:pPr>
        <w:spacing w:line="500" w:lineRule="exact"/>
        <w:ind w:firstLine="566" w:firstLineChars="200"/>
        <w:rPr>
          <w:rFonts w:ascii="仿宋" w:hAnsi="仿宋" w:eastAsia="仿宋" w:cs="仿宋"/>
          <w:color w:val="000000"/>
          <w:highlight w:val="yellow"/>
        </w:rPr>
      </w:pPr>
    </w:p>
    <w:p w14:paraId="2706B67B">
      <w:pPr>
        <w:spacing w:line="500" w:lineRule="exact"/>
        <w:ind w:firstLine="426" w:firstLineChars="200"/>
        <w:rPr>
          <w:color w:val="000000"/>
        </w:rPr>
      </w:pPr>
      <w:r>
        <w:rPr>
          <w:rFonts w:hint="eastAsia" w:ascii="宋体" w:hAnsi="宋体" w:eastAsia="宋体" w:cs="宋体"/>
          <w:color w:val="000000"/>
          <w:sz w:val="21"/>
          <w:szCs w:val="21"/>
        </w:rPr>
        <w:t>备注：项目不分标段的，第___标段空白处填写“/”。</w:t>
      </w:r>
    </w:p>
    <w:p w14:paraId="53515A59">
      <w:pPr>
        <w:spacing w:line="240" w:lineRule="auto"/>
        <w:jc w:val="left"/>
        <w:rPr>
          <w:color w:val="000000"/>
          <w:sz w:val="30"/>
          <w:szCs w:val="30"/>
        </w:rPr>
      </w:pPr>
    </w:p>
    <w:p w14:paraId="2A862EC6">
      <w:pPr>
        <w:pStyle w:val="7"/>
        <w:rPr>
          <w:color w:val="000000"/>
          <w:sz w:val="30"/>
          <w:szCs w:val="30"/>
        </w:rPr>
      </w:pPr>
    </w:p>
    <w:p w14:paraId="0F52C79B">
      <w:pPr>
        <w:pStyle w:val="7"/>
        <w:rPr>
          <w:color w:val="000000"/>
          <w:sz w:val="30"/>
          <w:szCs w:val="30"/>
        </w:rPr>
      </w:pPr>
    </w:p>
    <w:p w14:paraId="18F96C19"/>
    <w:p w14:paraId="3387A76E">
      <w:pPr>
        <w:pStyle w:val="7"/>
        <w:rPr>
          <w:color w:val="000000"/>
          <w:sz w:val="30"/>
          <w:szCs w:val="30"/>
        </w:rPr>
      </w:pPr>
    </w:p>
    <w:p w14:paraId="2EBC8D83">
      <w:pPr>
        <w:pStyle w:val="18"/>
        <w:ind w:firstLine="606" w:firstLineChars="200"/>
        <w:outlineLvl w:val="2"/>
        <w:rPr>
          <w:rFonts w:ascii="仿宋" w:hAnsi="仿宋" w:eastAsia="仿宋" w:cs="仿宋"/>
          <w:b/>
          <w:bCs/>
          <w:color w:val="000000"/>
          <w:sz w:val="30"/>
          <w:szCs w:val="30"/>
        </w:rPr>
      </w:pPr>
      <w:r>
        <w:rPr>
          <w:rFonts w:hint="eastAsia" w:ascii="仿宋" w:hAnsi="仿宋" w:eastAsia="仿宋" w:cs="仿宋"/>
          <w:b/>
          <w:bCs/>
          <w:color w:val="000000"/>
          <w:sz w:val="30"/>
          <w:szCs w:val="30"/>
        </w:rPr>
        <w:t>四、控股管理关系</w:t>
      </w:r>
    </w:p>
    <w:p w14:paraId="7B5EAEB8">
      <w:pPr>
        <w:pStyle w:val="18"/>
        <w:ind w:firstLine="606" w:firstLineChars="200"/>
        <w:rPr>
          <w:rFonts w:ascii="仿宋" w:hAnsi="仿宋" w:eastAsia="仿宋" w:cs="仿宋"/>
          <w:b/>
          <w:bCs/>
          <w:color w:val="000000"/>
          <w:sz w:val="30"/>
          <w:szCs w:val="30"/>
        </w:rPr>
      </w:pPr>
      <w:r>
        <w:rPr>
          <w:rFonts w:hint="eastAsia" w:ascii="仿宋" w:hAnsi="仿宋" w:eastAsia="仿宋" w:cs="仿宋"/>
          <w:b/>
          <w:bCs/>
          <w:color w:val="000000"/>
          <w:sz w:val="30"/>
          <w:szCs w:val="30"/>
        </w:rPr>
        <w:t>供应商提供直接控股和管理关系清单，格式不限。</w:t>
      </w:r>
    </w:p>
    <w:p w14:paraId="3FF5A404">
      <w:pPr>
        <w:pStyle w:val="18"/>
        <w:ind w:firstLine="606" w:firstLineChars="200"/>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控股管理关系（样表）</w:t>
      </w:r>
    </w:p>
    <w:p w14:paraId="69000774">
      <w:pPr>
        <w:spacing w:line="500" w:lineRule="exact"/>
        <w:rPr>
          <w:rFonts w:ascii="仿宋" w:hAnsi="仿宋" w:eastAsia="仿宋" w:cs="仿宋"/>
          <w:color w:val="000000"/>
        </w:rPr>
      </w:pPr>
      <w:r>
        <w:rPr>
          <w:rFonts w:hint="eastAsia" w:ascii="仿宋" w:hAnsi="仿宋" w:eastAsia="仿宋" w:cs="仿宋"/>
          <w:color w:val="000000"/>
        </w:rPr>
        <w:t>延安市公共资源交易中心（延安市市直单位政府采购中心）：</w:t>
      </w:r>
    </w:p>
    <w:p w14:paraId="55A71CE8">
      <w:pPr>
        <w:spacing w:line="500" w:lineRule="exact"/>
        <w:ind w:firstLine="566" w:firstLineChars="200"/>
        <w:rPr>
          <w:rFonts w:ascii="仿宋" w:hAnsi="仿宋" w:eastAsia="仿宋" w:cs="仿宋"/>
          <w:b/>
          <w:bCs/>
          <w:sz w:val="30"/>
          <w:szCs w:val="30"/>
        </w:rPr>
      </w:pPr>
      <w:r>
        <w:rPr>
          <w:rFonts w:hint="eastAsia" w:ascii="仿宋" w:hAnsi="仿宋" w:eastAsia="仿宋" w:cs="仿宋"/>
        </w:rPr>
        <w:t>我方与以下供应商存在直接控股、管理关系：</w:t>
      </w:r>
    </w:p>
    <w:tbl>
      <w:tblPr>
        <w:tblStyle w:val="20"/>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646"/>
        <w:gridCol w:w="1993"/>
      </w:tblGrid>
      <w:tr w14:paraId="68B3F1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4E46D0E6">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存在直接控股、管理关系的相关供应商</w:t>
            </w:r>
          </w:p>
        </w:tc>
      </w:tr>
      <w:tr w14:paraId="5FC096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13869D59">
            <w:pPr>
              <w:autoSpaceDE w:val="0"/>
              <w:autoSpaceDN w:val="0"/>
              <w:adjustRightInd w:val="0"/>
              <w:spacing w:line="320" w:lineRule="exact"/>
              <w:jc w:val="center"/>
              <w:rPr>
                <w:rFonts w:ascii="仿宋" w:hAnsi="仿宋" w:eastAsia="仿宋" w:cs="仿宋"/>
                <w:b/>
                <w:kern w:val="0"/>
                <w:sz w:val="24"/>
                <w:szCs w:val="24"/>
              </w:rPr>
            </w:pPr>
            <w:r>
              <w:rPr>
                <w:rFonts w:hint="eastAsia" w:ascii="仿宋" w:hAnsi="仿宋" w:eastAsia="仿宋" w:cs="仿宋"/>
                <w:b/>
                <w:kern w:val="0"/>
                <w:sz w:val="24"/>
                <w:szCs w:val="24"/>
              </w:rPr>
              <w:t>序号</w:t>
            </w:r>
          </w:p>
        </w:tc>
        <w:tc>
          <w:tcPr>
            <w:tcW w:w="2855" w:type="dxa"/>
            <w:tcBorders>
              <w:right w:val="single" w:color="auto" w:sz="4" w:space="0"/>
            </w:tcBorders>
            <w:noWrap/>
            <w:vAlign w:val="center"/>
          </w:tcPr>
          <w:p w14:paraId="4480E58E">
            <w:pPr>
              <w:autoSpaceDE w:val="0"/>
              <w:autoSpaceDN w:val="0"/>
              <w:adjustRightInd w:val="0"/>
              <w:spacing w:line="320" w:lineRule="exact"/>
              <w:jc w:val="center"/>
              <w:rPr>
                <w:rFonts w:ascii="仿宋" w:hAnsi="仿宋" w:eastAsia="仿宋" w:cs="仿宋"/>
                <w:b/>
                <w:kern w:val="0"/>
                <w:sz w:val="24"/>
                <w:szCs w:val="24"/>
              </w:rPr>
            </w:pPr>
            <w:r>
              <w:rPr>
                <w:rFonts w:hint="eastAsia" w:ascii="仿宋" w:hAnsi="仿宋" w:eastAsia="仿宋" w:cs="仿宋"/>
                <w:b/>
                <w:kern w:val="0"/>
                <w:sz w:val="24"/>
                <w:szCs w:val="24"/>
              </w:rPr>
              <w:t>直接控股股东名称及出资比例</w:t>
            </w:r>
          </w:p>
        </w:tc>
        <w:tc>
          <w:tcPr>
            <w:tcW w:w="2646" w:type="dxa"/>
            <w:tcBorders>
              <w:left w:val="single" w:color="auto" w:sz="4" w:space="0"/>
              <w:right w:val="single" w:color="auto" w:sz="4" w:space="0"/>
            </w:tcBorders>
            <w:noWrap/>
            <w:vAlign w:val="center"/>
          </w:tcPr>
          <w:p w14:paraId="362FCC4E">
            <w:pPr>
              <w:autoSpaceDE w:val="0"/>
              <w:autoSpaceDN w:val="0"/>
              <w:adjustRightInd w:val="0"/>
              <w:spacing w:line="320" w:lineRule="exact"/>
              <w:jc w:val="center"/>
              <w:rPr>
                <w:rFonts w:ascii="仿宋" w:hAnsi="仿宋" w:eastAsia="仿宋" w:cs="仿宋"/>
                <w:b/>
                <w:kern w:val="0"/>
                <w:sz w:val="24"/>
                <w:szCs w:val="24"/>
              </w:rPr>
            </w:pPr>
            <w:r>
              <w:rPr>
                <w:rFonts w:hint="eastAsia" w:ascii="仿宋" w:hAnsi="仿宋" w:eastAsia="仿宋" w:cs="仿宋"/>
                <w:b/>
                <w:kern w:val="0"/>
                <w:sz w:val="24"/>
                <w:szCs w:val="24"/>
              </w:rPr>
              <w:t>直接管理关系单位名称</w:t>
            </w:r>
          </w:p>
        </w:tc>
        <w:tc>
          <w:tcPr>
            <w:tcW w:w="1993" w:type="dxa"/>
            <w:tcBorders>
              <w:left w:val="single" w:color="auto" w:sz="4" w:space="0"/>
              <w:right w:val="single" w:color="auto" w:sz="12" w:space="0"/>
            </w:tcBorders>
            <w:noWrap/>
            <w:vAlign w:val="center"/>
          </w:tcPr>
          <w:p w14:paraId="388716F8">
            <w:pPr>
              <w:autoSpaceDE w:val="0"/>
              <w:autoSpaceDN w:val="0"/>
              <w:adjustRightInd w:val="0"/>
              <w:spacing w:line="320" w:lineRule="exact"/>
              <w:jc w:val="center"/>
              <w:rPr>
                <w:rFonts w:ascii="仿宋" w:hAnsi="仿宋" w:eastAsia="仿宋" w:cs="仿宋"/>
                <w:b/>
                <w:kern w:val="0"/>
                <w:sz w:val="24"/>
                <w:szCs w:val="24"/>
              </w:rPr>
            </w:pPr>
            <w:r>
              <w:rPr>
                <w:rFonts w:hint="eastAsia" w:ascii="仿宋" w:hAnsi="仿宋" w:eastAsia="仿宋" w:cs="仿宋"/>
                <w:b/>
                <w:kern w:val="0"/>
                <w:sz w:val="24"/>
                <w:szCs w:val="24"/>
              </w:rPr>
              <w:t>备注</w:t>
            </w:r>
          </w:p>
        </w:tc>
      </w:tr>
      <w:tr w14:paraId="20609B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F2D25FD">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1</w:t>
            </w:r>
          </w:p>
        </w:tc>
        <w:tc>
          <w:tcPr>
            <w:tcW w:w="2855" w:type="dxa"/>
            <w:tcBorders>
              <w:right w:val="single" w:color="auto" w:sz="4" w:space="0"/>
            </w:tcBorders>
            <w:noWrap/>
            <w:vAlign w:val="center"/>
          </w:tcPr>
          <w:p w14:paraId="00B31D20">
            <w:pPr>
              <w:autoSpaceDE w:val="0"/>
              <w:autoSpaceDN w:val="0"/>
              <w:adjustRightInd w:val="0"/>
              <w:spacing w:line="320" w:lineRule="exact"/>
              <w:rPr>
                <w:rFonts w:ascii="仿宋" w:hAnsi="仿宋" w:eastAsia="仿宋" w:cs="仿宋"/>
                <w:bCs/>
                <w:kern w:val="0"/>
                <w:sz w:val="24"/>
                <w:szCs w:val="24"/>
              </w:rPr>
            </w:pPr>
          </w:p>
        </w:tc>
        <w:tc>
          <w:tcPr>
            <w:tcW w:w="2646" w:type="dxa"/>
            <w:tcBorders>
              <w:left w:val="single" w:color="auto" w:sz="4" w:space="0"/>
              <w:right w:val="single" w:color="auto" w:sz="4" w:space="0"/>
            </w:tcBorders>
            <w:noWrap/>
            <w:vAlign w:val="center"/>
          </w:tcPr>
          <w:p w14:paraId="5B71B460">
            <w:pPr>
              <w:autoSpaceDE w:val="0"/>
              <w:autoSpaceDN w:val="0"/>
              <w:adjustRightInd w:val="0"/>
              <w:spacing w:line="320" w:lineRule="exact"/>
              <w:rPr>
                <w:rFonts w:ascii="仿宋" w:hAnsi="仿宋" w:eastAsia="仿宋" w:cs="仿宋"/>
                <w:bCs/>
                <w:kern w:val="0"/>
                <w:sz w:val="24"/>
                <w:szCs w:val="24"/>
              </w:rPr>
            </w:pPr>
          </w:p>
        </w:tc>
        <w:tc>
          <w:tcPr>
            <w:tcW w:w="1993" w:type="dxa"/>
            <w:tcBorders>
              <w:left w:val="single" w:color="auto" w:sz="4" w:space="0"/>
              <w:right w:val="single" w:color="auto" w:sz="12" w:space="0"/>
            </w:tcBorders>
            <w:noWrap/>
            <w:vAlign w:val="center"/>
          </w:tcPr>
          <w:p w14:paraId="3CEDFF73">
            <w:pPr>
              <w:autoSpaceDE w:val="0"/>
              <w:autoSpaceDN w:val="0"/>
              <w:adjustRightInd w:val="0"/>
              <w:spacing w:line="320" w:lineRule="exact"/>
              <w:rPr>
                <w:rFonts w:ascii="仿宋" w:hAnsi="仿宋" w:eastAsia="仿宋" w:cs="仿宋"/>
                <w:bCs/>
                <w:kern w:val="0"/>
                <w:sz w:val="24"/>
                <w:szCs w:val="24"/>
              </w:rPr>
            </w:pPr>
          </w:p>
        </w:tc>
      </w:tr>
      <w:tr w14:paraId="4C04F9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5FDA8708">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2</w:t>
            </w:r>
          </w:p>
        </w:tc>
        <w:tc>
          <w:tcPr>
            <w:tcW w:w="2855" w:type="dxa"/>
            <w:tcBorders>
              <w:right w:val="single" w:color="auto" w:sz="4" w:space="0"/>
            </w:tcBorders>
            <w:noWrap/>
            <w:vAlign w:val="center"/>
          </w:tcPr>
          <w:p w14:paraId="6E081659">
            <w:pPr>
              <w:autoSpaceDE w:val="0"/>
              <w:autoSpaceDN w:val="0"/>
              <w:adjustRightInd w:val="0"/>
              <w:spacing w:line="320" w:lineRule="exact"/>
              <w:rPr>
                <w:rFonts w:ascii="仿宋" w:hAnsi="仿宋" w:eastAsia="仿宋" w:cs="仿宋"/>
                <w:bCs/>
                <w:kern w:val="0"/>
                <w:sz w:val="24"/>
                <w:szCs w:val="24"/>
              </w:rPr>
            </w:pPr>
          </w:p>
        </w:tc>
        <w:tc>
          <w:tcPr>
            <w:tcW w:w="2646" w:type="dxa"/>
            <w:tcBorders>
              <w:left w:val="single" w:color="auto" w:sz="4" w:space="0"/>
              <w:right w:val="single" w:color="auto" w:sz="4" w:space="0"/>
            </w:tcBorders>
            <w:noWrap/>
            <w:vAlign w:val="center"/>
          </w:tcPr>
          <w:p w14:paraId="586EBB42">
            <w:pPr>
              <w:autoSpaceDE w:val="0"/>
              <w:autoSpaceDN w:val="0"/>
              <w:adjustRightInd w:val="0"/>
              <w:spacing w:line="320" w:lineRule="exact"/>
              <w:rPr>
                <w:rFonts w:ascii="仿宋" w:hAnsi="仿宋" w:eastAsia="仿宋" w:cs="仿宋"/>
                <w:bCs/>
                <w:kern w:val="0"/>
                <w:sz w:val="24"/>
                <w:szCs w:val="24"/>
              </w:rPr>
            </w:pPr>
          </w:p>
        </w:tc>
        <w:tc>
          <w:tcPr>
            <w:tcW w:w="1993" w:type="dxa"/>
            <w:tcBorders>
              <w:left w:val="single" w:color="auto" w:sz="4" w:space="0"/>
              <w:right w:val="single" w:color="auto" w:sz="12" w:space="0"/>
            </w:tcBorders>
            <w:noWrap/>
            <w:vAlign w:val="center"/>
          </w:tcPr>
          <w:p w14:paraId="1D8D47C0">
            <w:pPr>
              <w:autoSpaceDE w:val="0"/>
              <w:autoSpaceDN w:val="0"/>
              <w:adjustRightInd w:val="0"/>
              <w:spacing w:line="320" w:lineRule="exact"/>
              <w:rPr>
                <w:rFonts w:ascii="仿宋" w:hAnsi="仿宋" w:eastAsia="仿宋" w:cs="仿宋"/>
                <w:bCs/>
                <w:kern w:val="0"/>
                <w:sz w:val="24"/>
                <w:szCs w:val="24"/>
              </w:rPr>
            </w:pPr>
          </w:p>
        </w:tc>
      </w:tr>
      <w:tr w14:paraId="52E0B0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B88D30C">
            <w:pPr>
              <w:autoSpaceDE w:val="0"/>
              <w:autoSpaceDN w:val="0"/>
              <w:adjustRightInd w:val="0"/>
              <w:spacing w:line="320" w:lineRule="exact"/>
              <w:jc w:val="center"/>
              <w:rPr>
                <w:rFonts w:ascii="仿宋" w:hAnsi="仿宋" w:eastAsia="仿宋" w:cs="仿宋"/>
                <w:kern w:val="0"/>
                <w:sz w:val="24"/>
                <w:szCs w:val="24"/>
              </w:rPr>
            </w:pPr>
            <w:r>
              <w:rPr>
                <w:rFonts w:hint="eastAsia" w:ascii="仿宋" w:hAnsi="仿宋" w:eastAsia="仿宋" w:cs="仿宋"/>
                <w:kern w:val="0"/>
                <w:sz w:val="24"/>
                <w:szCs w:val="24"/>
              </w:rPr>
              <w:t>3</w:t>
            </w:r>
          </w:p>
        </w:tc>
        <w:tc>
          <w:tcPr>
            <w:tcW w:w="2855" w:type="dxa"/>
            <w:tcBorders>
              <w:right w:val="single" w:color="auto" w:sz="4" w:space="0"/>
            </w:tcBorders>
            <w:noWrap/>
            <w:vAlign w:val="center"/>
          </w:tcPr>
          <w:p w14:paraId="19B5AD29">
            <w:pPr>
              <w:autoSpaceDE w:val="0"/>
              <w:autoSpaceDN w:val="0"/>
              <w:adjustRightInd w:val="0"/>
              <w:spacing w:line="320" w:lineRule="exact"/>
              <w:rPr>
                <w:rFonts w:ascii="仿宋" w:hAnsi="仿宋" w:eastAsia="仿宋" w:cs="仿宋"/>
                <w:bCs/>
                <w:kern w:val="0"/>
                <w:sz w:val="24"/>
                <w:szCs w:val="24"/>
              </w:rPr>
            </w:pPr>
          </w:p>
        </w:tc>
        <w:tc>
          <w:tcPr>
            <w:tcW w:w="2646" w:type="dxa"/>
            <w:tcBorders>
              <w:left w:val="single" w:color="auto" w:sz="4" w:space="0"/>
              <w:right w:val="single" w:color="auto" w:sz="4" w:space="0"/>
            </w:tcBorders>
            <w:noWrap/>
            <w:vAlign w:val="center"/>
          </w:tcPr>
          <w:p w14:paraId="4F5D3688">
            <w:pPr>
              <w:autoSpaceDE w:val="0"/>
              <w:autoSpaceDN w:val="0"/>
              <w:adjustRightInd w:val="0"/>
              <w:spacing w:line="320" w:lineRule="exact"/>
              <w:rPr>
                <w:rFonts w:ascii="仿宋" w:hAnsi="仿宋" w:eastAsia="仿宋" w:cs="仿宋"/>
                <w:bCs/>
                <w:kern w:val="0"/>
                <w:sz w:val="24"/>
                <w:szCs w:val="24"/>
              </w:rPr>
            </w:pPr>
          </w:p>
        </w:tc>
        <w:tc>
          <w:tcPr>
            <w:tcW w:w="1993" w:type="dxa"/>
            <w:tcBorders>
              <w:left w:val="single" w:color="auto" w:sz="4" w:space="0"/>
              <w:right w:val="single" w:color="auto" w:sz="12" w:space="0"/>
            </w:tcBorders>
            <w:noWrap/>
            <w:vAlign w:val="center"/>
          </w:tcPr>
          <w:p w14:paraId="15A5DA7B">
            <w:pPr>
              <w:autoSpaceDE w:val="0"/>
              <w:autoSpaceDN w:val="0"/>
              <w:adjustRightInd w:val="0"/>
              <w:spacing w:line="320" w:lineRule="exact"/>
              <w:rPr>
                <w:rFonts w:ascii="仿宋" w:hAnsi="仿宋" w:eastAsia="仿宋" w:cs="仿宋"/>
                <w:bCs/>
                <w:kern w:val="0"/>
                <w:sz w:val="24"/>
                <w:szCs w:val="24"/>
              </w:rPr>
            </w:pPr>
          </w:p>
        </w:tc>
      </w:tr>
      <w:tr w14:paraId="753073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613470A1">
            <w:pPr>
              <w:autoSpaceDE w:val="0"/>
              <w:autoSpaceDN w:val="0"/>
              <w:adjustRightInd w:val="0"/>
              <w:spacing w:line="320" w:lineRule="exact"/>
              <w:jc w:val="center"/>
              <w:rPr>
                <w:rFonts w:ascii="仿宋" w:hAnsi="仿宋" w:eastAsia="仿宋" w:cs="仿宋"/>
                <w:kern w:val="0"/>
                <w:sz w:val="24"/>
                <w:szCs w:val="24"/>
              </w:rPr>
            </w:pPr>
            <w:r>
              <w:rPr>
                <w:rFonts w:hint="eastAsia" w:ascii="宋体" w:hAnsi="宋体" w:cs="宋体"/>
                <w:color w:val="000000"/>
                <w:kern w:val="0"/>
                <w:sz w:val="24"/>
              </w:rPr>
              <w:t>……</w:t>
            </w:r>
          </w:p>
        </w:tc>
        <w:tc>
          <w:tcPr>
            <w:tcW w:w="2855" w:type="dxa"/>
            <w:tcBorders>
              <w:right w:val="single" w:color="auto" w:sz="4" w:space="0"/>
            </w:tcBorders>
            <w:noWrap/>
            <w:vAlign w:val="center"/>
          </w:tcPr>
          <w:p w14:paraId="7EC56804">
            <w:pPr>
              <w:autoSpaceDE w:val="0"/>
              <w:autoSpaceDN w:val="0"/>
              <w:adjustRightInd w:val="0"/>
              <w:spacing w:line="320" w:lineRule="exact"/>
              <w:rPr>
                <w:rFonts w:ascii="仿宋" w:hAnsi="仿宋" w:eastAsia="仿宋" w:cs="仿宋"/>
                <w:bCs/>
                <w:kern w:val="0"/>
                <w:sz w:val="24"/>
                <w:szCs w:val="24"/>
              </w:rPr>
            </w:pPr>
          </w:p>
        </w:tc>
        <w:tc>
          <w:tcPr>
            <w:tcW w:w="2646" w:type="dxa"/>
            <w:tcBorders>
              <w:left w:val="single" w:color="auto" w:sz="4" w:space="0"/>
              <w:right w:val="single" w:color="auto" w:sz="4" w:space="0"/>
            </w:tcBorders>
            <w:noWrap/>
            <w:vAlign w:val="center"/>
          </w:tcPr>
          <w:p w14:paraId="1CC4B7E8">
            <w:pPr>
              <w:autoSpaceDE w:val="0"/>
              <w:autoSpaceDN w:val="0"/>
              <w:adjustRightInd w:val="0"/>
              <w:spacing w:line="320" w:lineRule="exact"/>
              <w:rPr>
                <w:rFonts w:ascii="仿宋" w:hAnsi="仿宋" w:eastAsia="仿宋" w:cs="仿宋"/>
                <w:bCs/>
                <w:kern w:val="0"/>
                <w:sz w:val="24"/>
                <w:szCs w:val="24"/>
              </w:rPr>
            </w:pPr>
          </w:p>
        </w:tc>
        <w:tc>
          <w:tcPr>
            <w:tcW w:w="1993" w:type="dxa"/>
            <w:tcBorders>
              <w:left w:val="single" w:color="auto" w:sz="4" w:space="0"/>
              <w:right w:val="single" w:color="auto" w:sz="12" w:space="0"/>
            </w:tcBorders>
            <w:noWrap/>
            <w:vAlign w:val="center"/>
          </w:tcPr>
          <w:p w14:paraId="30E4AB92">
            <w:pPr>
              <w:autoSpaceDE w:val="0"/>
              <w:autoSpaceDN w:val="0"/>
              <w:adjustRightInd w:val="0"/>
              <w:spacing w:line="320" w:lineRule="exact"/>
              <w:rPr>
                <w:rFonts w:ascii="仿宋" w:hAnsi="仿宋" w:eastAsia="仿宋" w:cs="仿宋"/>
                <w:bCs/>
                <w:kern w:val="0"/>
                <w:sz w:val="24"/>
                <w:szCs w:val="24"/>
              </w:rPr>
            </w:pPr>
          </w:p>
        </w:tc>
      </w:tr>
    </w:tbl>
    <w:p w14:paraId="194163CB">
      <w:pPr>
        <w:spacing w:line="500" w:lineRule="exact"/>
        <w:ind w:firstLine="4528" w:firstLineChars="1600"/>
        <w:rPr>
          <w:rFonts w:ascii="仿宋" w:hAnsi="仿宋" w:eastAsia="仿宋" w:cs="仿宋"/>
        </w:rPr>
      </w:pPr>
    </w:p>
    <w:p w14:paraId="095ED72A">
      <w:pPr>
        <w:spacing w:line="500" w:lineRule="exact"/>
        <w:ind w:firstLine="4528" w:firstLineChars="1600"/>
        <w:rPr>
          <w:rFonts w:ascii="仿宋" w:hAnsi="仿宋" w:eastAsia="仿宋" w:cs="仿宋"/>
        </w:rPr>
      </w:pPr>
      <w:r>
        <w:rPr>
          <w:rFonts w:hint="eastAsia" w:ascii="仿宋" w:hAnsi="仿宋" w:eastAsia="仿宋" w:cs="仿宋"/>
        </w:rPr>
        <w:t xml:space="preserve">供应商： </w:t>
      </w:r>
      <w:r>
        <w:rPr>
          <w:rFonts w:hint="eastAsia" w:ascii="仿宋" w:hAnsi="仿宋" w:eastAsia="仿宋" w:cs="仿宋"/>
          <w:u w:val="single"/>
        </w:rPr>
        <w:t>名称</w:t>
      </w:r>
      <w:r>
        <w:rPr>
          <w:rFonts w:hint="eastAsia" w:ascii="仿宋" w:hAnsi="仿宋" w:eastAsia="仿宋" w:cs="仿宋"/>
        </w:rPr>
        <w:t>（加盖公章）</w:t>
      </w:r>
    </w:p>
    <w:p w14:paraId="7F6B8F2C">
      <w:pPr>
        <w:spacing w:line="500" w:lineRule="exact"/>
        <w:ind w:firstLine="4528" w:firstLineChars="1600"/>
        <w:rPr>
          <w:rFonts w:ascii="仿宋" w:hAnsi="仿宋" w:eastAsia="仿宋" w:cs="仿宋"/>
        </w:rPr>
      </w:pPr>
      <w:r>
        <w:rPr>
          <w:rFonts w:hint="eastAsia" w:ascii="仿宋" w:hAnsi="仿宋" w:eastAsia="仿宋" w:cs="仿宋"/>
        </w:rPr>
        <w:t>日期：  年  月  日</w:t>
      </w:r>
    </w:p>
    <w:p w14:paraId="0F2F95FE">
      <w:pPr>
        <w:pStyle w:val="7"/>
        <w:rPr>
          <w:rFonts w:ascii="仿宋" w:hAnsi="仿宋" w:eastAsia="仿宋" w:cs="仿宋"/>
        </w:rPr>
      </w:pPr>
    </w:p>
    <w:p w14:paraId="543899B7">
      <w:pPr>
        <w:pStyle w:val="18"/>
        <w:wordWrap w:val="0"/>
        <w:spacing w:line="500" w:lineRule="exact"/>
        <w:ind w:firstLine="426" w:firstLineChars="200"/>
        <w:rPr>
          <w:rFonts w:ascii="宋体" w:hAnsi="宋体" w:eastAsia="宋体" w:cs="宋体"/>
          <w:sz w:val="21"/>
          <w:szCs w:val="21"/>
        </w:rPr>
      </w:pPr>
      <w:r>
        <w:rPr>
          <w:rFonts w:hint="eastAsia" w:ascii="宋体" w:hAnsi="宋体" w:eastAsia="宋体" w:cs="宋体"/>
          <w:sz w:val="21"/>
          <w:szCs w:val="21"/>
        </w:rPr>
        <w:t>备注：</w:t>
      </w:r>
    </w:p>
    <w:p w14:paraId="3FC7C0BB">
      <w:pPr>
        <w:pStyle w:val="18"/>
        <w:numPr>
          <w:ilvl w:val="255"/>
          <w:numId w:val="0"/>
        </w:numPr>
        <w:wordWrap w:val="0"/>
        <w:spacing w:line="400" w:lineRule="exact"/>
        <w:ind w:firstLine="426" w:firstLineChars="200"/>
        <w:rPr>
          <w:rFonts w:ascii="宋体" w:hAnsi="宋体" w:eastAsia="宋体" w:cs="宋体"/>
          <w:sz w:val="21"/>
          <w:szCs w:val="21"/>
        </w:rPr>
      </w:pPr>
      <w:r>
        <w:rPr>
          <w:rFonts w:hint="eastAsia" w:ascii="宋体" w:hAnsi="宋体" w:eastAsia="宋体" w:cs="宋体"/>
          <w:sz w:val="21"/>
          <w:szCs w:val="21"/>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008EE628">
      <w:pPr>
        <w:pStyle w:val="18"/>
        <w:numPr>
          <w:ilvl w:val="255"/>
          <w:numId w:val="0"/>
        </w:numPr>
        <w:wordWrap w:val="0"/>
        <w:spacing w:line="400" w:lineRule="exact"/>
        <w:ind w:firstLine="426" w:firstLineChars="200"/>
        <w:rPr>
          <w:rFonts w:ascii="宋体" w:hAnsi="宋体" w:eastAsia="宋体" w:cs="宋体"/>
          <w:sz w:val="21"/>
          <w:szCs w:val="21"/>
        </w:rPr>
      </w:pPr>
      <w:r>
        <w:rPr>
          <w:rFonts w:hint="eastAsia" w:ascii="宋体" w:hAnsi="宋体" w:eastAsia="宋体" w:cs="宋体"/>
          <w:sz w:val="21"/>
          <w:szCs w:val="21"/>
        </w:rPr>
        <w:t>2.管理关系：是指不具有出资持股关系的其他单位之间存在的管理与被管理关系，如一些上下级关系的事业单位和团体组织。</w:t>
      </w:r>
    </w:p>
    <w:p w14:paraId="49497996">
      <w:pPr>
        <w:pStyle w:val="18"/>
        <w:wordWrap w:val="0"/>
        <w:spacing w:line="400" w:lineRule="exact"/>
        <w:ind w:firstLine="426" w:firstLineChars="200"/>
        <w:rPr>
          <w:rFonts w:ascii="宋体" w:hAnsi="宋体" w:eastAsia="宋体" w:cs="宋体"/>
          <w:sz w:val="21"/>
          <w:szCs w:val="21"/>
        </w:rPr>
      </w:pPr>
      <w:r>
        <w:rPr>
          <w:rFonts w:hint="eastAsia" w:ascii="宋体" w:hAnsi="宋体" w:eastAsia="宋体" w:cs="宋体"/>
          <w:sz w:val="21"/>
          <w:szCs w:val="21"/>
        </w:rPr>
        <w:t>3.本表所指的控股、管理关系仅限于直接控股、直接管理关系，不包括间接的控股或管理关系。公司实际控制人与公司之间的关系不属于本表所指的直接控股关系。</w:t>
      </w:r>
    </w:p>
    <w:p w14:paraId="50547EBD">
      <w:pPr>
        <w:pStyle w:val="18"/>
        <w:wordWrap w:val="0"/>
        <w:spacing w:line="400" w:lineRule="exact"/>
        <w:ind w:firstLine="426" w:firstLineChars="200"/>
        <w:rPr>
          <w:rFonts w:ascii="宋体" w:hAnsi="宋体" w:eastAsia="宋体" w:cs="宋体"/>
          <w:sz w:val="21"/>
          <w:szCs w:val="21"/>
        </w:rPr>
      </w:pPr>
      <w:r>
        <w:rPr>
          <w:rFonts w:hint="eastAsia" w:ascii="宋体" w:hAnsi="宋体" w:eastAsia="宋体" w:cs="宋体"/>
          <w:sz w:val="21"/>
          <w:szCs w:val="21"/>
        </w:rPr>
        <w:t>4.供应商如不存在直接控股股东的，则在“直接控股股东名称及出资比例”处填写“无”或“/”。供应商不存在直接管理关系的，则在“直接管理关系单位名称”中填“无”或“/”。</w:t>
      </w:r>
    </w:p>
    <w:p w14:paraId="701CF74D">
      <w:pPr>
        <w:spacing w:line="500" w:lineRule="exact"/>
        <w:ind w:firstLine="606" w:firstLineChars="200"/>
        <w:outlineLvl w:val="2"/>
        <w:rPr>
          <w:b/>
          <w:bCs/>
          <w:color w:val="000000"/>
          <w:sz w:val="30"/>
          <w:szCs w:val="30"/>
        </w:rPr>
      </w:pPr>
      <w:r>
        <w:rPr>
          <w:color w:val="000000"/>
          <w:sz w:val="30"/>
          <w:szCs w:val="30"/>
        </w:rPr>
        <w:br w:type="page"/>
      </w:r>
      <w:r>
        <w:rPr>
          <w:rFonts w:hint="eastAsia"/>
          <w:b/>
          <w:bCs/>
          <w:color w:val="000000"/>
          <w:sz w:val="30"/>
          <w:szCs w:val="30"/>
        </w:rPr>
        <w:t>五、书面声明</w:t>
      </w:r>
    </w:p>
    <w:p w14:paraId="299A826D">
      <w:pPr>
        <w:pStyle w:val="9"/>
      </w:pPr>
    </w:p>
    <w:p w14:paraId="7E4DF802">
      <w:pPr>
        <w:spacing w:line="500" w:lineRule="exact"/>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书面声明（格式）</w:t>
      </w:r>
    </w:p>
    <w:p w14:paraId="7FDB4DED">
      <w:pPr>
        <w:spacing w:line="500" w:lineRule="exact"/>
        <w:rPr>
          <w:rFonts w:ascii="仿宋" w:hAnsi="仿宋" w:eastAsia="仿宋" w:cs="仿宋"/>
          <w:color w:val="000000"/>
        </w:rPr>
      </w:pPr>
      <w:r>
        <w:rPr>
          <w:rFonts w:hint="eastAsia" w:ascii="仿宋" w:hAnsi="仿宋" w:eastAsia="仿宋" w:cs="仿宋"/>
          <w:color w:val="000000"/>
        </w:rPr>
        <w:t>延安市公共资源交易中心（延安市市直单位政府采购中心）：</w:t>
      </w:r>
    </w:p>
    <w:p w14:paraId="01008AB3">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仿宋" w:hAnsi="仿宋" w:eastAsia="仿宋" w:cs="仿宋"/>
          <w:color w:val="000000"/>
          <w:u w:val="single"/>
        </w:rPr>
        <w:t>项目名称</w:t>
      </w:r>
      <w:r>
        <w:rPr>
          <w:rFonts w:hint="eastAsia" w:ascii="仿宋" w:hAnsi="仿宋" w:eastAsia="仿宋" w:cs="仿宋"/>
          <w:color w:val="000000"/>
        </w:rPr>
        <w:t>》</w:t>
      </w:r>
      <w:r>
        <w:rPr>
          <w:rFonts w:hint="eastAsia" w:ascii="仿宋" w:hAnsi="仿宋" w:eastAsia="仿宋" w:cs="仿宋"/>
        </w:rPr>
        <w:t>（项目编号：</w:t>
      </w:r>
      <w:r>
        <w:rPr>
          <w:rFonts w:hint="eastAsia" w:ascii="仿宋" w:hAnsi="仿宋" w:eastAsia="仿宋" w:cs="仿宋"/>
          <w:u w:val="single"/>
        </w:rPr>
        <w:t xml:space="preserve">        </w:t>
      </w:r>
      <w:r>
        <w:rPr>
          <w:rFonts w:hint="eastAsia" w:ascii="仿宋" w:hAnsi="仿宋" w:eastAsia="仿宋" w:cs="仿宋"/>
        </w:rPr>
        <w:t>）</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73D88AAA">
      <w:pPr>
        <w:numPr>
          <w:ilvl w:val="255"/>
          <w:numId w:val="0"/>
        </w:numPr>
        <w:spacing w:line="500" w:lineRule="exact"/>
        <w:ind w:firstLine="566" w:firstLineChars="200"/>
        <w:rPr>
          <w:rFonts w:ascii="仿宋" w:hAnsi="仿宋" w:eastAsia="仿宋" w:cs="仿宋"/>
          <w:color w:val="000000"/>
        </w:rPr>
      </w:pPr>
      <w:r>
        <w:rPr>
          <w:rFonts w:hint="eastAsia" w:ascii="仿宋" w:hAnsi="仿宋" w:eastAsia="仿宋" w:cs="仿宋"/>
          <w:color w:val="000000"/>
        </w:rPr>
        <w:t>1.我方具备履行合同所必须的设备和专业技术能力。</w:t>
      </w:r>
    </w:p>
    <w:p w14:paraId="3E254A88">
      <w:pPr>
        <w:spacing w:line="500" w:lineRule="exact"/>
        <w:ind w:firstLine="566" w:firstLineChars="200"/>
        <w:rPr>
          <w:rFonts w:ascii="仿宋" w:hAnsi="仿宋" w:eastAsia="仿宋" w:cs="仿宋"/>
          <w:color w:val="000000"/>
        </w:rPr>
      </w:pPr>
      <w:r>
        <w:rPr>
          <w:rFonts w:hint="eastAsia" w:ascii="仿宋" w:hAnsi="仿宋" w:eastAsia="仿宋" w:cs="仿宋"/>
          <w:color w:val="000000"/>
        </w:rPr>
        <w:t>2.我方未为本项目提供整体设计、规范编制或者项目管理、监理、检测等服务。</w:t>
      </w:r>
    </w:p>
    <w:p w14:paraId="70A880F4">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1A8E2E2F">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6642EE95">
      <w:pPr>
        <w:spacing w:line="500" w:lineRule="exact"/>
        <w:ind w:firstLine="4528" w:firstLineChars="1600"/>
        <w:rPr>
          <w:rFonts w:ascii="仿宋" w:hAnsi="仿宋" w:eastAsia="仿宋" w:cs="仿宋"/>
          <w:color w:val="000000"/>
        </w:rPr>
      </w:pPr>
    </w:p>
    <w:p w14:paraId="396BE65A">
      <w:pPr>
        <w:pStyle w:val="9"/>
        <w:rPr>
          <w:color w:val="000000"/>
        </w:rPr>
      </w:pPr>
    </w:p>
    <w:p w14:paraId="16575E4A">
      <w:pPr>
        <w:spacing w:line="500" w:lineRule="exact"/>
        <w:ind w:firstLine="4528" w:firstLineChars="1600"/>
        <w:rPr>
          <w:rFonts w:ascii="仿宋" w:hAnsi="仿宋" w:eastAsia="仿宋" w:cs="仿宋"/>
          <w:color w:val="000000"/>
        </w:rPr>
      </w:pPr>
      <w:r>
        <w:rPr>
          <w:rFonts w:hint="eastAsia" w:ascii="仿宋" w:hAnsi="仿宋" w:eastAsia="仿宋" w:cs="仿宋"/>
          <w:color w:val="000000"/>
        </w:rPr>
        <w:t xml:space="preserve">供应商： </w:t>
      </w:r>
      <w:r>
        <w:rPr>
          <w:rFonts w:hint="eastAsia" w:ascii="仿宋" w:hAnsi="仿宋" w:eastAsia="仿宋" w:cs="仿宋"/>
          <w:color w:val="000000"/>
          <w:u w:val="single"/>
        </w:rPr>
        <w:t>名称</w:t>
      </w:r>
      <w:r>
        <w:rPr>
          <w:rFonts w:hint="eastAsia" w:ascii="仿宋" w:hAnsi="仿宋" w:eastAsia="仿宋" w:cs="仿宋"/>
          <w:color w:val="000000"/>
        </w:rPr>
        <w:t>（加盖公章）</w:t>
      </w:r>
    </w:p>
    <w:p w14:paraId="06CA95F9">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25B9C8A5">
      <w:pPr>
        <w:spacing w:line="500" w:lineRule="exact"/>
        <w:rPr>
          <w:rFonts w:ascii="宋体" w:hAnsi="宋体" w:eastAsia="宋体" w:cs="宋体"/>
          <w:color w:val="000000"/>
          <w:sz w:val="21"/>
          <w:szCs w:val="21"/>
        </w:rPr>
      </w:pPr>
    </w:p>
    <w:p w14:paraId="444274F5">
      <w:pPr>
        <w:spacing w:line="500" w:lineRule="exact"/>
        <w:rPr>
          <w:rFonts w:ascii="宋体" w:hAnsi="宋体" w:eastAsia="宋体" w:cs="宋体"/>
          <w:color w:val="000000"/>
          <w:sz w:val="21"/>
          <w:szCs w:val="21"/>
        </w:rPr>
      </w:pPr>
    </w:p>
    <w:p w14:paraId="03C66D8E">
      <w:pPr>
        <w:spacing w:line="500" w:lineRule="exact"/>
        <w:rPr>
          <w:rFonts w:ascii="仿宋" w:hAnsi="仿宋" w:eastAsia="仿宋" w:cs="仿宋"/>
          <w:b/>
          <w:bCs/>
          <w:color w:val="000000"/>
          <w:sz w:val="30"/>
          <w:szCs w:val="30"/>
        </w:rPr>
      </w:pPr>
      <w:r>
        <w:rPr>
          <w:rFonts w:hint="eastAsia" w:ascii="宋体" w:hAnsi="宋体" w:eastAsia="宋体" w:cs="宋体"/>
          <w:color w:val="000000"/>
          <w:sz w:val="21"/>
          <w:szCs w:val="21"/>
        </w:rPr>
        <w:t>备注：项目不分标段的，第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标段空白处填写“/”。 </w:t>
      </w:r>
    </w:p>
    <w:p w14:paraId="43EDEB82">
      <w:pPr>
        <w:spacing w:line="240" w:lineRule="auto"/>
        <w:ind w:firstLine="606" w:firstLineChars="200"/>
        <w:jc w:val="left"/>
        <w:outlineLvl w:val="2"/>
        <w:rPr>
          <w:b/>
          <w:bCs/>
          <w:color w:val="000000"/>
          <w:sz w:val="30"/>
          <w:szCs w:val="30"/>
        </w:rPr>
      </w:pPr>
      <w:r>
        <w:rPr>
          <w:color w:val="000000"/>
          <w:sz w:val="30"/>
          <w:szCs w:val="30"/>
        </w:rPr>
        <w:br w:type="page"/>
      </w:r>
      <w:r>
        <w:rPr>
          <w:rFonts w:hint="eastAsia"/>
          <w:b/>
          <w:bCs/>
          <w:color w:val="000000"/>
          <w:sz w:val="30"/>
          <w:szCs w:val="30"/>
        </w:rPr>
        <w:t>六、</w:t>
      </w:r>
      <w:r>
        <w:rPr>
          <w:b/>
          <w:bCs/>
          <w:color w:val="000000"/>
          <w:sz w:val="30"/>
          <w:szCs w:val="30"/>
        </w:rPr>
        <w:t>法定代表人授权委托书</w:t>
      </w:r>
      <w:r>
        <w:rPr>
          <w:rFonts w:hint="eastAsia"/>
          <w:b/>
          <w:bCs/>
          <w:color w:val="000000"/>
          <w:sz w:val="30"/>
          <w:szCs w:val="30"/>
        </w:rPr>
        <w:t>及</w:t>
      </w:r>
      <w:r>
        <w:rPr>
          <w:b/>
          <w:bCs/>
          <w:color w:val="000000"/>
          <w:sz w:val="30"/>
          <w:szCs w:val="30"/>
        </w:rPr>
        <w:t>法定代表人</w:t>
      </w:r>
      <w:r>
        <w:rPr>
          <w:rFonts w:hint="eastAsia"/>
          <w:b/>
          <w:bCs/>
          <w:color w:val="000000"/>
          <w:sz w:val="30"/>
          <w:szCs w:val="30"/>
        </w:rPr>
        <w:t>证明书</w:t>
      </w:r>
    </w:p>
    <w:p w14:paraId="218E2D08">
      <w:pPr>
        <w:pStyle w:val="32"/>
        <w:spacing w:line="500" w:lineRule="atLeast"/>
        <w:ind w:firstLine="607"/>
        <w:jc w:val="center"/>
        <w:outlineLvl w:val="9"/>
        <w:rPr>
          <w:rFonts w:cs="Times New Roman"/>
          <w:color w:val="000000"/>
          <w:szCs w:val="30"/>
        </w:rPr>
      </w:pPr>
      <w:bookmarkStart w:id="254" w:name="_Toc15591"/>
      <w:bookmarkStart w:id="255" w:name="_Toc19326"/>
      <w:bookmarkStart w:id="256" w:name="_Toc18044"/>
      <w:bookmarkStart w:id="257" w:name="_Toc29822"/>
      <w:bookmarkStart w:id="258" w:name="_Toc12408"/>
      <w:bookmarkStart w:id="259" w:name="_Toc9004"/>
      <w:bookmarkStart w:id="260" w:name="_Toc17482"/>
      <w:bookmarkStart w:id="261" w:name="_Toc13312"/>
      <w:r>
        <w:rPr>
          <w:rFonts w:hint="eastAsia" w:cs="华文仿宋"/>
          <w:color w:val="000000"/>
          <w:szCs w:val="30"/>
        </w:rPr>
        <w:t>法定代表人授权委托书</w:t>
      </w:r>
      <w:bookmarkEnd w:id="254"/>
      <w:bookmarkEnd w:id="255"/>
      <w:bookmarkEnd w:id="256"/>
      <w:r>
        <w:rPr>
          <w:rFonts w:hint="eastAsia" w:ascii="仿宋" w:hAnsi="仿宋" w:eastAsia="仿宋" w:cs="仿宋"/>
          <w:color w:val="000000"/>
          <w:szCs w:val="30"/>
        </w:rPr>
        <w:t>（格式）</w:t>
      </w:r>
      <w:bookmarkEnd w:id="257"/>
    </w:p>
    <w:bookmarkEnd w:id="258"/>
    <w:bookmarkEnd w:id="259"/>
    <w:bookmarkEnd w:id="260"/>
    <w:bookmarkEnd w:id="261"/>
    <w:p w14:paraId="0A770D59">
      <w:pPr>
        <w:snapToGrid w:val="0"/>
        <w:spacing w:line="500" w:lineRule="exact"/>
        <w:rPr>
          <w:rFonts w:ascii="华文仿宋" w:hAnsi="华文仿宋" w:cs="华文仿宋"/>
          <w:color w:val="000000"/>
        </w:rPr>
      </w:pPr>
      <w:r>
        <w:rPr>
          <w:rFonts w:hint="eastAsia" w:ascii="华文仿宋" w:hAnsi="华文仿宋" w:cs="华文仿宋"/>
          <w:color w:val="000000"/>
        </w:rPr>
        <w:t>延安市公共资源交易中心（延安市市直单位政府采购中心）：</w:t>
      </w:r>
    </w:p>
    <w:p w14:paraId="66A71F5C">
      <w:pPr>
        <w:spacing w:line="240" w:lineRule="auto"/>
        <w:ind w:firstLine="566" w:firstLineChars="200"/>
        <w:jc w:val="left"/>
        <w:outlineLvl w:val="2"/>
        <w:rPr>
          <w:b/>
          <w:bCs/>
          <w:color w:val="000000"/>
          <w:sz w:val="30"/>
          <w:szCs w:val="30"/>
        </w:rPr>
      </w:pPr>
      <w:r>
        <w:rPr>
          <w:rFonts w:hint="eastAsia" w:cs="华文仿宋"/>
        </w:rPr>
        <w:t>现委派</w:t>
      </w:r>
      <w:r>
        <w:rPr>
          <w:rFonts w:hint="eastAsia" w:cs="华文仿宋"/>
          <w:u w:val="single"/>
        </w:rPr>
        <w:t xml:space="preserve"> （</w:t>
      </w:r>
      <w:r>
        <w:rPr>
          <w:rFonts w:hint="eastAsia" w:ascii="华文仿宋" w:hAnsi="华文仿宋" w:cs="华文仿宋"/>
          <w:u w:val="single"/>
        </w:rPr>
        <w:t>被授权代表姓名</w:t>
      </w:r>
      <w:r>
        <w:rPr>
          <w:rFonts w:hint="eastAsia" w:cs="华文仿宋"/>
          <w:u w:val="single"/>
        </w:rPr>
        <w:t xml:space="preserve">） </w:t>
      </w:r>
      <w:r>
        <w:rPr>
          <w:rFonts w:hint="eastAsia" w:cs="华文仿宋"/>
        </w:rPr>
        <w:t>（身份证号：</w:t>
      </w:r>
      <w:r>
        <w:rPr>
          <w:rFonts w:hint="eastAsia" w:cs="华文仿宋"/>
          <w:u w:val="single"/>
        </w:rPr>
        <w:t xml:space="preserve">            </w:t>
      </w:r>
      <w:r>
        <w:rPr>
          <w:rFonts w:hint="eastAsia" w:cs="华文仿宋"/>
        </w:rPr>
        <w:t>）为本公司的被授权代表，参加贵中心组织的</w: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7950" cy="161925"/>
                <wp:effectExtent l="0" t="0" r="0" b="0"/>
                <wp:wrapNone/>
                <wp:docPr id="1026" name="文本框 2"/>
                <wp:cNvGraphicFramePr/>
                <a:graphic xmlns:a="http://schemas.openxmlformats.org/drawingml/2006/main">
                  <a:graphicData uri="http://schemas.microsoft.com/office/word/2010/wordprocessingShape">
                    <wps:wsp>
                      <wps:cNvSpPr/>
                      <wps:spPr>
                        <a:xfrm>
                          <a:off x="0" y="0"/>
                          <a:ext cx="107950" cy="161925"/>
                        </a:xfrm>
                        <a:prstGeom prst="rect">
                          <a:avLst/>
                        </a:prstGeom>
                        <a:noFill/>
                        <a:ln>
                          <a:noFill/>
                        </a:ln>
                        <a:effectLst/>
                      </wps:spPr>
                      <wps:txbx>
                        <w:txbxContent>
                          <w:p w14:paraId="6CCA323D">
                            <w:pPr>
                              <w:pStyle w:val="13"/>
                            </w:pP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0pt;height:12.75pt;width:8.5pt;mso-position-horizontal:center;mso-position-horizontal-relative:margin;mso-wrap-style:none;z-index:251662336;mso-width-relative:page;mso-height-relative:page;" filled="f" stroked="f" coordsize="21600,21600" o:gfxdata="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gacb60QAAAAMBAAAPAAAA&#10;AAAAAAEAIAAAACIAAABkcnMvZG93bnJldi54bWxQSwECFAAUAAAACACHTuJAmKv+3uMBAADDAwAA&#10;DgAAAAAAAAABACAAAAAgAQAAZHJzL2Uyb0RvYy54bWxQSwUGAAAAAAYABgBZAQAAdQUAAAAA&#10;">
                <v:fill on="f" focussize="0,0"/>
                <v:stroke on="f"/>
                <v:imagedata o:title=""/>
                <o:lock v:ext="edit" aspectratio="f"/>
                <v:textbox inset="0mm,0mm,0mm,0mm" style="mso-fit-shape-to-text:t;">
                  <w:txbxContent>
                    <w:p w14:paraId="6CCA323D">
                      <w:pPr>
                        <w:pStyle w:val="13"/>
                      </w:pPr>
                    </w:p>
                  </w:txbxContent>
                </v:textbox>
              </v:rect>
            </w:pict>
          </mc:Fallback>
        </mc:AlternateContent>
      </w:r>
      <w:r>
        <w:rPr>
          <w:rFonts w:hint="eastAsia" w:cs="华文仿宋"/>
        </w:rPr>
        <w:t>《</w:t>
      </w:r>
      <w:r>
        <w:rPr>
          <w:rFonts w:hint="eastAsia" w:ascii="华文仿宋" w:hAnsi="华文仿宋" w:cs="华文仿宋"/>
          <w:u w:val="single"/>
        </w:rPr>
        <w:t>项目名称</w:t>
      </w:r>
      <w:r>
        <w:rPr>
          <w:rFonts w:hint="eastAsia" w:cs="华文仿宋"/>
        </w:rPr>
        <w:t>》</w:t>
      </w:r>
      <w:r>
        <w:rPr>
          <w:rFonts w:hint="eastAsia" w:ascii="华文仿宋" w:hAnsi="华文仿宋" w:cs="华文仿宋"/>
        </w:rPr>
        <w:t>（项目编号：</w:t>
      </w:r>
      <w:r>
        <w:rPr>
          <w:rFonts w:hint="eastAsia" w:ascii="华文仿宋" w:hAnsi="华文仿宋" w:cs="华文仿宋"/>
          <w:u w:val="single"/>
        </w:rPr>
        <w:t xml:space="preserve">          </w:t>
      </w:r>
      <w:r>
        <w:rPr>
          <w:rFonts w:hint="eastAsia" w:ascii="华文仿宋" w:hAnsi="华文仿宋" w:cs="华文仿宋"/>
        </w:rPr>
        <w:t>）第</w:t>
      </w:r>
      <w:r>
        <w:rPr>
          <w:rFonts w:hint="eastAsia" w:ascii="华文仿宋" w:hAnsi="华文仿宋" w:cs="华文仿宋"/>
          <w:u w:val="single"/>
        </w:rPr>
        <w:t xml:space="preserve">   </w:t>
      </w:r>
      <w:r>
        <w:rPr>
          <w:rFonts w:hint="eastAsia" w:ascii="华文仿宋" w:hAnsi="华文仿宋" w:cs="华文仿宋"/>
        </w:rPr>
        <w:t>标段</w:t>
      </w:r>
      <w:r>
        <w:rPr>
          <w:rFonts w:hint="eastAsia" w:cs="华文仿宋"/>
        </w:rPr>
        <w:t>政府采购活动，就该项目的投标及合同的执行和完成，以本公司的名义处理一切与之有关</w:t>
      </w:r>
      <w:r>
        <w:rPr>
          <w:rFonts w:hint="eastAsia" w:ascii="华文仿宋" w:hAnsi="华文仿宋" w:cs="华文仿宋"/>
          <w:color w:val="000000"/>
        </w:rPr>
        <w:t>的事宜。本授权自开标之日起生效，有效期与电子响应文件有效期一致。</w:t>
      </w:r>
    </w:p>
    <w:p w14:paraId="2156A67B">
      <w:pPr>
        <w:snapToGrid w:val="0"/>
        <w:spacing w:line="500" w:lineRule="exact"/>
        <w:ind w:firstLine="566" w:firstLineChars="200"/>
        <w:rPr>
          <w:rFonts w:ascii="华文仿宋" w:hAnsi="华文仿宋" w:cs="华文仿宋"/>
          <w:color w:val="000000"/>
        </w:rPr>
      </w:pPr>
    </w:p>
    <w:p w14:paraId="60430D8A">
      <w:pPr>
        <w:snapToGrid w:val="0"/>
        <w:spacing w:line="500" w:lineRule="exact"/>
        <w:rPr>
          <w:rFonts w:ascii="华文仿宋" w:hAnsi="华文仿宋" w:cs="华文仿宋"/>
          <w:color w:val="000000"/>
        </w:rPr>
      </w:pPr>
      <w:r>
        <w:rPr>
          <w:rFonts w:hint="eastAsia" w:ascii="华文仿宋" w:hAnsi="华文仿宋" w:cs="华文仿宋"/>
          <w:color w:val="000000"/>
        </w:rPr>
        <w:t>被授权代表职务：________________   性别：______</w:t>
      </w:r>
    </w:p>
    <w:p w14:paraId="6DC48C47">
      <w:pPr>
        <w:snapToGrid w:val="0"/>
        <w:spacing w:line="500" w:lineRule="exact"/>
        <w:rPr>
          <w:rFonts w:ascii="华文仿宋" w:hAnsi="华文仿宋" w:cs="华文仿宋"/>
          <w:color w:val="000000"/>
        </w:rPr>
      </w:pPr>
      <w:r>
        <w:rPr>
          <w:rFonts w:hint="eastAsia" w:ascii="华文仿宋" w:hAnsi="华文仿宋" w:cs="华文仿宋"/>
          <w:color w:val="000000"/>
        </w:rPr>
        <w:t>电话：________________             通讯地址：__________</w:t>
      </w:r>
    </w:p>
    <w:tbl>
      <w:tblPr>
        <w:tblStyle w:val="20"/>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4C18C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vAlign w:val="center"/>
          </w:tcPr>
          <w:p w14:paraId="24E98C60">
            <w:pPr>
              <w:snapToGrid w:val="0"/>
              <w:spacing w:line="500" w:lineRule="exact"/>
              <w:rPr>
                <w:rFonts w:ascii="华文仿宋" w:hAnsi="华文仿宋" w:cs="华文仿宋"/>
                <w:color w:val="000000"/>
              </w:rPr>
            </w:pPr>
            <w:r>
              <w:rPr>
                <w:rFonts w:hint="eastAsia" w:ascii="华文仿宋" w:hAnsi="华文仿宋" w:cs="华文仿宋"/>
                <w:color w:val="000000"/>
              </w:rPr>
              <w:t>法定代表人身份证扫描件</w:t>
            </w:r>
          </w:p>
          <w:p w14:paraId="4AEADCE6">
            <w:pPr>
              <w:snapToGrid w:val="0"/>
              <w:spacing w:line="500" w:lineRule="exact"/>
              <w:rPr>
                <w:rFonts w:ascii="华文仿宋" w:hAnsi="华文仿宋" w:cs="华文仿宋"/>
                <w:color w:val="000000"/>
              </w:rPr>
            </w:pPr>
            <w:r>
              <w:rPr>
                <w:rFonts w:hint="eastAsia" w:ascii="华文仿宋" w:hAnsi="华文仿宋" w:cs="华文仿宋"/>
                <w:color w:val="000000"/>
              </w:rPr>
              <w:t>（有人像面）</w:t>
            </w:r>
          </w:p>
        </w:tc>
        <w:tc>
          <w:tcPr>
            <w:tcW w:w="4098" w:type="dxa"/>
            <w:vAlign w:val="center"/>
          </w:tcPr>
          <w:p w14:paraId="0F197C96">
            <w:pPr>
              <w:snapToGrid w:val="0"/>
              <w:spacing w:line="500" w:lineRule="exact"/>
              <w:rPr>
                <w:rFonts w:ascii="华文仿宋" w:hAnsi="华文仿宋" w:cs="华文仿宋"/>
                <w:color w:val="000000"/>
              </w:rPr>
            </w:pPr>
            <w:r>
              <w:rPr>
                <w:rFonts w:hint="eastAsia" w:ascii="华文仿宋" w:hAnsi="华文仿宋" w:cs="华文仿宋"/>
                <w:color w:val="000000"/>
              </w:rPr>
              <w:t>被授权代表</w:t>
            </w:r>
          </w:p>
          <w:p w14:paraId="2DA6F402">
            <w:pPr>
              <w:snapToGrid w:val="0"/>
              <w:spacing w:line="500" w:lineRule="exact"/>
              <w:rPr>
                <w:rFonts w:ascii="华文仿宋" w:hAnsi="华文仿宋" w:cs="华文仿宋"/>
                <w:color w:val="000000"/>
              </w:rPr>
            </w:pPr>
            <w:r>
              <w:rPr>
                <w:rFonts w:hint="eastAsia" w:ascii="华文仿宋" w:hAnsi="华文仿宋" w:cs="华文仿宋"/>
                <w:color w:val="000000"/>
              </w:rPr>
              <w:t>身份证扫描件</w:t>
            </w:r>
          </w:p>
          <w:p w14:paraId="22A220E5">
            <w:pPr>
              <w:snapToGrid w:val="0"/>
              <w:spacing w:line="500" w:lineRule="exact"/>
              <w:rPr>
                <w:rFonts w:ascii="华文仿宋" w:hAnsi="华文仿宋" w:cs="华文仿宋"/>
                <w:color w:val="000000"/>
              </w:rPr>
            </w:pPr>
            <w:r>
              <w:rPr>
                <w:rFonts w:hint="eastAsia" w:ascii="华文仿宋" w:hAnsi="华文仿宋" w:cs="华文仿宋"/>
                <w:color w:val="000000"/>
              </w:rPr>
              <w:t>（有人像面）</w:t>
            </w:r>
          </w:p>
        </w:tc>
      </w:tr>
      <w:tr w14:paraId="38F2D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vAlign w:val="center"/>
          </w:tcPr>
          <w:p w14:paraId="24AD9644">
            <w:pPr>
              <w:snapToGrid w:val="0"/>
              <w:spacing w:line="500" w:lineRule="exact"/>
              <w:rPr>
                <w:rFonts w:ascii="华文仿宋" w:hAnsi="华文仿宋" w:cs="华文仿宋"/>
                <w:color w:val="000000"/>
              </w:rPr>
            </w:pPr>
            <w:r>
              <w:rPr>
                <w:rFonts w:hint="eastAsia" w:ascii="华文仿宋" w:hAnsi="华文仿宋" w:cs="华文仿宋"/>
                <w:color w:val="000000"/>
              </w:rPr>
              <w:t>法定代表人身份证扫描件</w:t>
            </w:r>
          </w:p>
          <w:p w14:paraId="693AA23B">
            <w:pPr>
              <w:snapToGrid w:val="0"/>
              <w:spacing w:line="500" w:lineRule="exact"/>
              <w:rPr>
                <w:rFonts w:ascii="华文仿宋" w:hAnsi="华文仿宋" w:cs="华文仿宋"/>
                <w:color w:val="000000"/>
              </w:rPr>
            </w:pPr>
            <w:r>
              <w:rPr>
                <w:rFonts w:hint="eastAsia" w:ascii="华文仿宋" w:hAnsi="华文仿宋" w:cs="华文仿宋"/>
                <w:color w:val="000000"/>
              </w:rPr>
              <w:t>（有国徽面）</w:t>
            </w:r>
          </w:p>
        </w:tc>
        <w:tc>
          <w:tcPr>
            <w:tcW w:w="4098" w:type="dxa"/>
            <w:vAlign w:val="center"/>
          </w:tcPr>
          <w:p w14:paraId="59B311E8">
            <w:pPr>
              <w:snapToGrid w:val="0"/>
              <w:spacing w:line="500" w:lineRule="exact"/>
              <w:rPr>
                <w:rFonts w:ascii="华文仿宋" w:hAnsi="华文仿宋" w:cs="华文仿宋"/>
                <w:color w:val="000000"/>
              </w:rPr>
            </w:pPr>
            <w:r>
              <w:rPr>
                <w:rFonts w:hint="eastAsia" w:ascii="华文仿宋" w:hAnsi="华文仿宋" w:cs="华文仿宋"/>
                <w:color w:val="000000"/>
              </w:rPr>
              <w:t>被授权代表</w:t>
            </w:r>
          </w:p>
          <w:p w14:paraId="525390ED">
            <w:pPr>
              <w:snapToGrid w:val="0"/>
              <w:spacing w:line="500" w:lineRule="exact"/>
              <w:rPr>
                <w:rFonts w:ascii="华文仿宋" w:hAnsi="华文仿宋" w:cs="华文仿宋"/>
                <w:color w:val="000000"/>
              </w:rPr>
            </w:pPr>
            <w:r>
              <w:rPr>
                <w:rFonts w:hint="eastAsia" w:ascii="华文仿宋" w:hAnsi="华文仿宋" w:cs="华文仿宋"/>
                <w:color w:val="000000"/>
              </w:rPr>
              <w:t>身份证扫描件</w:t>
            </w:r>
          </w:p>
          <w:p w14:paraId="697F7CDD">
            <w:pPr>
              <w:snapToGrid w:val="0"/>
              <w:spacing w:line="500" w:lineRule="exact"/>
              <w:rPr>
                <w:rFonts w:ascii="华文仿宋" w:hAnsi="华文仿宋" w:cs="华文仿宋"/>
                <w:color w:val="000000"/>
              </w:rPr>
            </w:pPr>
            <w:r>
              <w:rPr>
                <w:rFonts w:hint="eastAsia" w:ascii="华文仿宋" w:hAnsi="华文仿宋" w:cs="华文仿宋"/>
                <w:color w:val="000000"/>
              </w:rPr>
              <w:t>（有国徽面）</w:t>
            </w:r>
          </w:p>
        </w:tc>
      </w:tr>
    </w:tbl>
    <w:p w14:paraId="21F2375C">
      <w:pPr>
        <w:snapToGrid w:val="0"/>
        <w:spacing w:line="500" w:lineRule="exact"/>
        <w:rPr>
          <w:rFonts w:ascii="华文仿宋" w:hAnsi="华文仿宋" w:cs="华文仿宋"/>
          <w:color w:val="000000"/>
        </w:rPr>
      </w:pPr>
      <w:r>
        <w:rPr>
          <w:rFonts w:hint="eastAsia" w:ascii="华文仿宋" w:hAnsi="华文仿宋" w:cs="华文仿宋"/>
          <w:color w:val="000000"/>
        </w:rPr>
        <w:t>供应商：名称（加盖公章）       法定代表人：（签字或盖章）</w:t>
      </w:r>
    </w:p>
    <w:p w14:paraId="06995871">
      <w:pPr>
        <w:snapToGrid w:val="0"/>
        <w:spacing w:line="500" w:lineRule="exact"/>
        <w:ind w:firstLine="4811" w:firstLineChars="1700"/>
        <w:rPr>
          <w:rFonts w:ascii="华文仿宋" w:hAnsi="华文仿宋" w:cs="华文仿宋"/>
          <w:color w:val="000000"/>
        </w:rPr>
      </w:pPr>
      <w:r>
        <w:rPr>
          <w:rFonts w:hint="eastAsia" w:ascii="华文仿宋" w:hAnsi="华文仿宋" w:cs="华文仿宋"/>
          <w:color w:val="000000"/>
        </w:rPr>
        <w:t>日期：　年　月　日</w:t>
      </w:r>
    </w:p>
    <w:p w14:paraId="4C770E9C">
      <w:pPr>
        <w:spacing w:line="300" w:lineRule="exact"/>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rPr>
        <w:t>.项目不分标段的，第</w:t>
      </w:r>
      <w:r>
        <w:rPr>
          <w:rFonts w:ascii="宋体" w:hAnsi="宋体" w:eastAsia="宋体" w:cs="宋体"/>
          <w:color w:val="000000"/>
          <w:sz w:val="21"/>
          <w:szCs w:val="21"/>
        </w:rPr>
        <w:t>___</w:t>
      </w:r>
      <w:r>
        <w:rPr>
          <w:rFonts w:hint="eastAsia" w:ascii="宋体" w:hAnsi="宋体" w:eastAsia="宋体" w:cs="宋体"/>
          <w:color w:val="000000"/>
          <w:sz w:val="21"/>
          <w:szCs w:val="21"/>
        </w:rPr>
        <w:t>标段空白处填写“</w:t>
      </w:r>
      <w:r>
        <w:rPr>
          <w:rFonts w:ascii="宋体" w:hAnsi="宋体" w:eastAsia="宋体" w:cs="宋体"/>
          <w:color w:val="000000"/>
          <w:sz w:val="21"/>
          <w:szCs w:val="21"/>
        </w:rPr>
        <w:t>/</w:t>
      </w:r>
      <w:r>
        <w:rPr>
          <w:rFonts w:hint="eastAsia" w:ascii="宋体" w:hAnsi="宋体" w:eastAsia="宋体" w:cs="宋体"/>
          <w:color w:val="000000"/>
          <w:sz w:val="21"/>
          <w:szCs w:val="21"/>
        </w:rPr>
        <w:t>”。</w:t>
      </w:r>
    </w:p>
    <w:p w14:paraId="4DA429C7">
      <w:pPr>
        <w:spacing w:line="240" w:lineRule="auto"/>
        <w:ind w:firstLine="426" w:firstLineChars="200"/>
        <w:jc w:val="left"/>
        <w:outlineLvl w:val="2"/>
        <w:rPr>
          <w:b/>
          <w:bCs/>
          <w:color w:val="000000"/>
          <w:sz w:val="30"/>
          <w:szCs w:val="30"/>
        </w:rPr>
      </w:pPr>
      <w:r>
        <w:rPr>
          <w:rFonts w:ascii="宋体" w:hAnsi="宋体" w:eastAsia="宋体" w:cs="宋体"/>
          <w:color w:val="000000"/>
          <w:sz w:val="21"/>
          <w:szCs w:val="21"/>
        </w:rPr>
        <w:t xml:space="preserve">  </w:t>
      </w:r>
      <w:r>
        <w:rPr>
          <w:rFonts w:ascii="宋体" w:hAnsi="宋体" w:eastAsia="宋体" w:cs="宋体"/>
          <w:b/>
          <w:bCs/>
          <w:color w:val="000000"/>
          <w:sz w:val="21"/>
          <w:szCs w:val="21"/>
        </w:rPr>
        <w:t>2</w:t>
      </w:r>
      <w:r>
        <w:rPr>
          <w:rFonts w:hint="eastAsia" w:ascii="宋体" w:hAnsi="宋体" w:eastAsia="宋体" w:cs="宋体"/>
          <w:b/>
          <w:bCs/>
          <w:color w:val="000000"/>
          <w:sz w:val="21"/>
          <w:szCs w:val="21"/>
        </w:rPr>
        <w:t>.法定代表人亲自参加磋商的，无需提供该委托授权书，但须提供法定代表人本人身份证</w:t>
      </w:r>
    </w:p>
    <w:p w14:paraId="1DA6A5A7">
      <w:pPr>
        <w:pStyle w:val="18"/>
        <w:spacing w:line="300" w:lineRule="exact"/>
        <w:ind w:firstLine="214"/>
        <w:rPr>
          <w:rFonts w:ascii="宋体" w:hAnsi="宋体" w:eastAsia="宋体"/>
          <w:color w:val="000000"/>
          <w:sz w:val="21"/>
          <w:szCs w:val="21"/>
        </w:rPr>
      </w:pPr>
      <w:r>
        <w:rPr>
          <w:rFonts w:hint="eastAsia" w:ascii="宋体" w:hAnsi="宋体" w:eastAsia="宋体" w:cs="宋体"/>
          <w:b/>
          <w:bCs/>
          <w:color w:val="000000"/>
          <w:sz w:val="21"/>
          <w:szCs w:val="21"/>
        </w:rPr>
        <w:t>（正反面）扫描件，并在扫描件上标注联系方式。</w:t>
      </w:r>
    </w:p>
    <w:p w14:paraId="7930A6F3">
      <w:pPr>
        <w:spacing w:line="300" w:lineRule="exact"/>
        <w:ind w:firstLine="639" w:firstLineChars="300"/>
        <w:rPr>
          <w:rFonts w:ascii="宋体" w:hAnsi="宋体" w:eastAsia="宋体" w:cs="宋体"/>
          <w:color w:val="000000"/>
          <w:sz w:val="21"/>
          <w:szCs w:val="21"/>
        </w:rPr>
      </w:pPr>
      <w:r>
        <w:rPr>
          <w:rFonts w:ascii="宋体" w:hAnsi="宋体" w:eastAsia="宋体" w:cs="宋体"/>
          <w:color w:val="000000"/>
          <w:sz w:val="21"/>
          <w:szCs w:val="21"/>
        </w:rPr>
        <w:t>3</w:t>
      </w:r>
      <w:r>
        <w:rPr>
          <w:rFonts w:hint="eastAsia" w:ascii="宋体" w:hAnsi="宋体" w:eastAsia="宋体" w:cs="宋体"/>
          <w:color w:val="000000"/>
          <w:sz w:val="21"/>
          <w:szCs w:val="21"/>
        </w:rPr>
        <w:t>.法定代表人签字或盖章可采用纸质签字或盖章后，上传至电子响应文件，也可使用法定代表人</w:t>
      </w:r>
      <w:r>
        <w:rPr>
          <w:rFonts w:ascii="宋体" w:hAnsi="宋体" w:eastAsia="宋体" w:cs="宋体"/>
          <w:color w:val="000000"/>
          <w:sz w:val="21"/>
          <w:szCs w:val="21"/>
        </w:rPr>
        <w:t>CA</w:t>
      </w:r>
      <w:r>
        <w:rPr>
          <w:rFonts w:hint="eastAsia" w:ascii="宋体" w:hAnsi="宋体" w:eastAsia="宋体" w:cs="宋体"/>
          <w:color w:val="000000"/>
          <w:sz w:val="21"/>
          <w:szCs w:val="21"/>
        </w:rPr>
        <w:t>锁在电子响应文件制作软件中签章。</w:t>
      </w:r>
    </w:p>
    <w:p w14:paraId="1A583B8A">
      <w:pPr>
        <w:spacing w:line="300" w:lineRule="exact"/>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4.法人的分支机构参与投标时，除提供《法定代表人授权委托书》外，还须同时提供法人给分支机构出具的授权书。授权书附此处。</w:t>
      </w:r>
    </w:p>
    <w:p w14:paraId="32F77E3B">
      <w:pPr>
        <w:tabs>
          <w:tab w:val="left" w:pos="210"/>
        </w:tabs>
        <w:spacing w:line="320" w:lineRule="exact"/>
        <w:jc w:val="center"/>
        <w:rPr>
          <w:rFonts w:ascii="华文仿宋" w:hAnsi="华文仿宋" w:cs="华文仿宋"/>
          <w:b/>
          <w:bCs/>
          <w:color w:val="000000"/>
        </w:rPr>
      </w:pPr>
      <w:r>
        <w:rPr>
          <w:rFonts w:hint="eastAsia" w:ascii="华文仿宋" w:hAnsi="华文仿宋" w:cs="华文仿宋"/>
          <w:b/>
          <w:bCs/>
          <w:color w:val="000000"/>
        </w:rPr>
        <w:br w:type="page"/>
      </w:r>
    </w:p>
    <w:p w14:paraId="09C0F5C8">
      <w:pPr>
        <w:tabs>
          <w:tab w:val="left" w:pos="210"/>
        </w:tabs>
        <w:spacing w:line="320" w:lineRule="exact"/>
        <w:jc w:val="center"/>
        <w:rPr>
          <w:rFonts w:ascii="宋体" w:hAnsi="宋体" w:cs="Arial"/>
          <w:b/>
          <w:color w:val="000000"/>
          <w:kern w:val="0"/>
          <w:sz w:val="32"/>
          <w:szCs w:val="32"/>
        </w:rPr>
      </w:pPr>
      <w:r>
        <w:rPr>
          <w:rFonts w:hint="eastAsia" w:ascii="宋体" w:hAnsi="宋体" w:cs="Arial"/>
          <w:b/>
          <w:color w:val="000000"/>
          <w:kern w:val="0"/>
          <w:sz w:val="32"/>
          <w:szCs w:val="32"/>
        </w:rPr>
        <w:t>法定代表人证明书</w:t>
      </w:r>
    </w:p>
    <w:p w14:paraId="7AFF082D">
      <w:pPr>
        <w:tabs>
          <w:tab w:val="left" w:pos="210"/>
        </w:tabs>
        <w:spacing w:line="320" w:lineRule="exact"/>
        <w:jc w:val="center"/>
        <w:rPr>
          <w:rFonts w:ascii="宋体" w:hAnsi="宋体" w:cs="Arial"/>
          <w:b/>
          <w:color w:val="000000"/>
          <w:kern w:val="0"/>
          <w:sz w:val="32"/>
          <w:szCs w:val="32"/>
        </w:rPr>
      </w:pPr>
    </w:p>
    <w:tbl>
      <w:tblPr>
        <w:tblStyle w:val="20"/>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42496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vAlign w:val="center"/>
          </w:tcPr>
          <w:p w14:paraId="395CB06A">
            <w:pPr>
              <w:tabs>
                <w:tab w:val="left" w:pos="210"/>
              </w:tabs>
              <w:spacing w:line="320" w:lineRule="exact"/>
              <w:rPr>
                <w:rFonts w:ascii="宋体" w:hAnsi="宋体" w:cs="Arial"/>
                <w:color w:val="000000"/>
                <w:kern w:val="0"/>
                <w:sz w:val="24"/>
              </w:rPr>
            </w:pPr>
            <w:r>
              <w:rPr>
                <w:rFonts w:hint="eastAsia" w:ascii="宋体" w:hAnsi="宋体" w:cs="Arial"/>
                <w:color w:val="000000"/>
                <w:kern w:val="0"/>
                <w:sz w:val="24"/>
              </w:rPr>
              <w:t>致：</w:t>
            </w:r>
            <w:r>
              <w:rPr>
                <w:rFonts w:hint="eastAsia" w:ascii="宋体" w:hAnsi="宋体"/>
                <w:spacing w:val="-6"/>
                <w:sz w:val="24"/>
              </w:rPr>
              <w:t>延安市公共资源交易中心（延安市市直单位政府采购中心）</w:t>
            </w:r>
          </w:p>
        </w:tc>
      </w:tr>
      <w:tr w14:paraId="58FCD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vAlign w:val="center"/>
          </w:tcPr>
          <w:p w14:paraId="55897769">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企</w:t>
            </w:r>
          </w:p>
          <w:p w14:paraId="55626F02">
            <w:pPr>
              <w:tabs>
                <w:tab w:val="left" w:pos="210"/>
              </w:tabs>
              <w:spacing w:line="320" w:lineRule="exact"/>
              <w:jc w:val="center"/>
              <w:rPr>
                <w:rFonts w:ascii="宋体" w:hAnsi="宋体" w:cs="Arial"/>
                <w:color w:val="000000"/>
                <w:kern w:val="0"/>
                <w:sz w:val="24"/>
              </w:rPr>
            </w:pPr>
          </w:p>
          <w:p w14:paraId="0BB90CC3">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业</w:t>
            </w:r>
          </w:p>
          <w:p w14:paraId="4E0C6F22">
            <w:pPr>
              <w:tabs>
                <w:tab w:val="left" w:pos="210"/>
              </w:tabs>
              <w:spacing w:line="320" w:lineRule="exact"/>
              <w:jc w:val="center"/>
              <w:rPr>
                <w:rFonts w:ascii="宋体" w:hAnsi="宋体" w:cs="Arial"/>
                <w:color w:val="000000"/>
                <w:kern w:val="0"/>
                <w:sz w:val="24"/>
              </w:rPr>
            </w:pPr>
          </w:p>
          <w:p w14:paraId="2029FBAC">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法</w:t>
            </w:r>
          </w:p>
          <w:p w14:paraId="48D723FC">
            <w:pPr>
              <w:tabs>
                <w:tab w:val="left" w:pos="210"/>
              </w:tabs>
              <w:spacing w:line="320" w:lineRule="exact"/>
              <w:jc w:val="center"/>
              <w:rPr>
                <w:rFonts w:ascii="宋体" w:hAnsi="宋体" w:cs="Arial"/>
                <w:color w:val="000000"/>
                <w:kern w:val="0"/>
                <w:sz w:val="24"/>
              </w:rPr>
            </w:pPr>
          </w:p>
          <w:p w14:paraId="7F3236DC">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人</w:t>
            </w:r>
          </w:p>
        </w:tc>
        <w:tc>
          <w:tcPr>
            <w:tcW w:w="2160" w:type="dxa"/>
            <w:vAlign w:val="center"/>
          </w:tcPr>
          <w:p w14:paraId="5C629741">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企业名称</w:t>
            </w:r>
          </w:p>
        </w:tc>
        <w:tc>
          <w:tcPr>
            <w:tcW w:w="6656" w:type="dxa"/>
            <w:gridSpan w:val="4"/>
            <w:vAlign w:val="center"/>
          </w:tcPr>
          <w:p w14:paraId="038FC03F">
            <w:pPr>
              <w:tabs>
                <w:tab w:val="left" w:pos="210"/>
              </w:tabs>
              <w:spacing w:line="320" w:lineRule="exact"/>
              <w:jc w:val="center"/>
              <w:rPr>
                <w:rFonts w:ascii="宋体" w:hAnsi="宋体" w:cs="Arial"/>
                <w:color w:val="000000"/>
                <w:kern w:val="0"/>
                <w:sz w:val="24"/>
              </w:rPr>
            </w:pPr>
          </w:p>
        </w:tc>
      </w:tr>
      <w:tr w14:paraId="3EBBF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vAlign w:val="center"/>
          </w:tcPr>
          <w:p w14:paraId="55F91BA7">
            <w:pPr>
              <w:tabs>
                <w:tab w:val="left" w:pos="210"/>
              </w:tabs>
              <w:spacing w:line="320" w:lineRule="exact"/>
              <w:jc w:val="center"/>
              <w:rPr>
                <w:rFonts w:ascii="宋体" w:hAnsi="宋体" w:cs="Arial"/>
                <w:color w:val="000000"/>
                <w:kern w:val="0"/>
                <w:sz w:val="24"/>
              </w:rPr>
            </w:pPr>
          </w:p>
        </w:tc>
        <w:tc>
          <w:tcPr>
            <w:tcW w:w="2160" w:type="dxa"/>
            <w:vAlign w:val="center"/>
          </w:tcPr>
          <w:p w14:paraId="2663B559">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法定地址</w:t>
            </w:r>
          </w:p>
        </w:tc>
        <w:tc>
          <w:tcPr>
            <w:tcW w:w="6656" w:type="dxa"/>
            <w:gridSpan w:val="4"/>
            <w:vAlign w:val="center"/>
          </w:tcPr>
          <w:p w14:paraId="076E136A">
            <w:pPr>
              <w:tabs>
                <w:tab w:val="left" w:pos="210"/>
              </w:tabs>
              <w:spacing w:line="320" w:lineRule="exact"/>
              <w:jc w:val="center"/>
              <w:rPr>
                <w:rFonts w:ascii="宋体" w:hAnsi="宋体" w:cs="Arial"/>
                <w:color w:val="000000"/>
                <w:kern w:val="0"/>
                <w:sz w:val="24"/>
              </w:rPr>
            </w:pPr>
          </w:p>
        </w:tc>
      </w:tr>
      <w:tr w14:paraId="73107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vAlign w:val="center"/>
          </w:tcPr>
          <w:p w14:paraId="55F38FFB">
            <w:pPr>
              <w:tabs>
                <w:tab w:val="left" w:pos="210"/>
              </w:tabs>
              <w:spacing w:line="320" w:lineRule="exact"/>
              <w:jc w:val="center"/>
              <w:rPr>
                <w:rFonts w:ascii="宋体" w:hAnsi="宋体" w:cs="Arial"/>
                <w:color w:val="000000"/>
                <w:kern w:val="0"/>
                <w:sz w:val="24"/>
              </w:rPr>
            </w:pPr>
          </w:p>
        </w:tc>
        <w:tc>
          <w:tcPr>
            <w:tcW w:w="2160" w:type="dxa"/>
            <w:vAlign w:val="center"/>
          </w:tcPr>
          <w:p w14:paraId="5BA63725">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邮政编码</w:t>
            </w:r>
          </w:p>
        </w:tc>
        <w:tc>
          <w:tcPr>
            <w:tcW w:w="6656" w:type="dxa"/>
            <w:gridSpan w:val="4"/>
            <w:vAlign w:val="center"/>
          </w:tcPr>
          <w:p w14:paraId="5F520C46">
            <w:pPr>
              <w:tabs>
                <w:tab w:val="left" w:pos="210"/>
              </w:tabs>
              <w:spacing w:line="320" w:lineRule="exact"/>
              <w:jc w:val="center"/>
              <w:rPr>
                <w:rFonts w:ascii="宋体" w:hAnsi="宋体" w:cs="Arial"/>
                <w:color w:val="000000"/>
                <w:kern w:val="0"/>
                <w:sz w:val="24"/>
              </w:rPr>
            </w:pPr>
          </w:p>
        </w:tc>
      </w:tr>
      <w:tr w14:paraId="61A13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vAlign w:val="center"/>
          </w:tcPr>
          <w:p w14:paraId="7A3EC7D9">
            <w:pPr>
              <w:tabs>
                <w:tab w:val="left" w:pos="210"/>
              </w:tabs>
              <w:spacing w:line="320" w:lineRule="exact"/>
              <w:jc w:val="center"/>
              <w:rPr>
                <w:rFonts w:ascii="宋体" w:hAnsi="宋体" w:cs="Arial"/>
                <w:color w:val="000000"/>
                <w:kern w:val="0"/>
                <w:sz w:val="24"/>
              </w:rPr>
            </w:pPr>
          </w:p>
        </w:tc>
        <w:tc>
          <w:tcPr>
            <w:tcW w:w="2160" w:type="dxa"/>
            <w:vAlign w:val="center"/>
          </w:tcPr>
          <w:p w14:paraId="6CD18B3C">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工商登记机关</w:t>
            </w:r>
          </w:p>
        </w:tc>
        <w:tc>
          <w:tcPr>
            <w:tcW w:w="6656" w:type="dxa"/>
            <w:gridSpan w:val="4"/>
            <w:vAlign w:val="center"/>
          </w:tcPr>
          <w:p w14:paraId="31C24897">
            <w:pPr>
              <w:tabs>
                <w:tab w:val="left" w:pos="210"/>
              </w:tabs>
              <w:spacing w:line="320" w:lineRule="exact"/>
              <w:jc w:val="center"/>
              <w:rPr>
                <w:rFonts w:ascii="宋体" w:hAnsi="宋体" w:cs="Arial"/>
                <w:color w:val="000000"/>
                <w:kern w:val="0"/>
                <w:sz w:val="24"/>
              </w:rPr>
            </w:pPr>
          </w:p>
        </w:tc>
      </w:tr>
      <w:tr w14:paraId="6FA54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00" w:type="dxa"/>
            <w:vMerge w:val="continue"/>
            <w:vAlign w:val="center"/>
          </w:tcPr>
          <w:p w14:paraId="05EB4BB1">
            <w:pPr>
              <w:tabs>
                <w:tab w:val="left" w:pos="210"/>
              </w:tabs>
              <w:spacing w:line="320" w:lineRule="exact"/>
              <w:jc w:val="center"/>
              <w:rPr>
                <w:rFonts w:ascii="宋体" w:hAnsi="宋体" w:cs="Arial"/>
                <w:color w:val="000000"/>
                <w:kern w:val="0"/>
                <w:sz w:val="24"/>
              </w:rPr>
            </w:pPr>
          </w:p>
        </w:tc>
        <w:tc>
          <w:tcPr>
            <w:tcW w:w="2160" w:type="dxa"/>
            <w:vAlign w:val="center"/>
          </w:tcPr>
          <w:p w14:paraId="540D4730">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税务登记机关</w:t>
            </w:r>
          </w:p>
        </w:tc>
        <w:tc>
          <w:tcPr>
            <w:tcW w:w="6656" w:type="dxa"/>
            <w:gridSpan w:val="4"/>
            <w:vAlign w:val="center"/>
          </w:tcPr>
          <w:p w14:paraId="4B5F62D7">
            <w:pPr>
              <w:tabs>
                <w:tab w:val="left" w:pos="210"/>
              </w:tabs>
              <w:spacing w:line="320" w:lineRule="exact"/>
              <w:rPr>
                <w:rFonts w:ascii="宋体" w:hAnsi="宋体" w:cs="Arial"/>
                <w:color w:val="000000"/>
                <w:kern w:val="0"/>
                <w:sz w:val="24"/>
              </w:rPr>
            </w:pPr>
          </w:p>
        </w:tc>
      </w:tr>
      <w:tr w14:paraId="453B5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vAlign w:val="center"/>
          </w:tcPr>
          <w:p w14:paraId="48DC7B78">
            <w:pPr>
              <w:tabs>
                <w:tab w:val="left" w:pos="210"/>
              </w:tabs>
              <w:spacing w:line="320" w:lineRule="exact"/>
              <w:jc w:val="center"/>
              <w:rPr>
                <w:rFonts w:ascii="宋体" w:hAnsi="宋体" w:cs="Arial"/>
                <w:color w:val="000000"/>
                <w:kern w:val="0"/>
                <w:sz w:val="24"/>
              </w:rPr>
            </w:pPr>
          </w:p>
        </w:tc>
        <w:tc>
          <w:tcPr>
            <w:tcW w:w="2160" w:type="dxa"/>
            <w:vAlign w:val="center"/>
          </w:tcPr>
          <w:p w14:paraId="55CDBD52">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机构代码证号</w:t>
            </w:r>
          </w:p>
        </w:tc>
        <w:tc>
          <w:tcPr>
            <w:tcW w:w="6656" w:type="dxa"/>
            <w:gridSpan w:val="4"/>
            <w:vAlign w:val="center"/>
          </w:tcPr>
          <w:p w14:paraId="3474BF97">
            <w:pPr>
              <w:tabs>
                <w:tab w:val="left" w:pos="210"/>
              </w:tabs>
              <w:spacing w:line="320" w:lineRule="exact"/>
              <w:jc w:val="center"/>
              <w:rPr>
                <w:rFonts w:ascii="宋体" w:hAnsi="宋体" w:cs="Arial"/>
                <w:color w:val="000000"/>
                <w:kern w:val="0"/>
                <w:sz w:val="24"/>
              </w:rPr>
            </w:pPr>
          </w:p>
        </w:tc>
      </w:tr>
      <w:tr w14:paraId="7252C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vAlign w:val="center"/>
          </w:tcPr>
          <w:p w14:paraId="5AE3205A">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法定代表人</w:t>
            </w:r>
          </w:p>
        </w:tc>
        <w:tc>
          <w:tcPr>
            <w:tcW w:w="2160" w:type="dxa"/>
            <w:vAlign w:val="center"/>
          </w:tcPr>
          <w:p w14:paraId="67C639B4">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姓名</w:t>
            </w:r>
          </w:p>
        </w:tc>
        <w:tc>
          <w:tcPr>
            <w:tcW w:w="2340" w:type="dxa"/>
            <w:gridSpan w:val="2"/>
            <w:vAlign w:val="center"/>
          </w:tcPr>
          <w:p w14:paraId="31CA4D43">
            <w:pPr>
              <w:tabs>
                <w:tab w:val="left" w:pos="210"/>
              </w:tabs>
              <w:spacing w:line="320" w:lineRule="exact"/>
              <w:jc w:val="center"/>
              <w:rPr>
                <w:rFonts w:ascii="宋体" w:hAnsi="宋体" w:cs="Arial"/>
                <w:color w:val="000000"/>
                <w:kern w:val="0"/>
                <w:sz w:val="24"/>
              </w:rPr>
            </w:pPr>
          </w:p>
        </w:tc>
        <w:tc>
          <w:tcPr>
            <w:tcW w:w="2156" w:type="dxa"/>
            <w:vAlign w:val="center"/>
          </w:tcPr>
          <w:p w14:paraId="6AB5DE84">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性别</w:t>
            </w:r>
          </w:p>
        </w:tc>
        <w:tc>
          <w:tcPr>
            <w:tcW w:w="2160" w:type="dxa"/>
            <w:vAlign w:val="center"/>
          </w:tcPr>
          <w:p w14:paraId="4A4BE197">
            <w:pPr>
              <w:tabs>
                <w:tab w:val="left" w:pos="210"/>
              </w:tabs>
              <w:spacing w:line="320" w:lineRule="exact"/>
              <w:jc w:val="center"/>
              <w:rPr>
                <w:rFonts w:ascii="宋体" w:hAnsi="宋体" w:cs="Arial"/>
                <w:color w:val="000000"/>
                <w:kern w:val="0"/>
                <w:sz w:val="24"/>
              </w:rPr>
            </w:pPr>
          </w:p>
        </w:tc>
      </w:tr>
      <w:tr w14:paraId="208E6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vAlign w:val="center"/>
          </w:tcPr>
          <w:p w14:paraId="1B55FD03">
            <w:pPr>
              <w:tabs>
                <w:tab w:val="left" w:pos="210"/>
              </w:tabs>
              <w:spacing w:line="320" w:lineRule="exact"/>
              <w:jc w:val="center"/>
              <w:rPr>
                <w:rFonts w:ascii="宋体" w:hAnsi="宋体" w:cs="Arial"/>
                <w:color w:val="000000"/>
                <w:kern w:val="0"/>
                <w:sz w:val="24"/>
              </w:rPr>
            </w:pPr>
          </w:p>
        </w:tc>
        <w:tc>
          <w:tcPr>
            <w:tcW w:w="2160" w:type="dxa"/>
            <w:vAlign w:val="center"/>
          </w:tcPr>
          <w:p w14:paraId="39EC41BE">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职务</w:t>
            </w:r>
          </w:p>
        </w:tc>
        <w:tc>
          <w:tcPr>
            <w:tcW w:w="2340" w:type="dxa"/>
            <w:gridSpan w:val="2"/>
            <w:vAlign w:val="center"/>
          </w:tcPr>
          <w:p w14:paraId="07443E9D">
            <w:pPr>
              <w:tabs>
                <w:tab w:val="left" w:pos="210"/>
              </w:tabs>
              <w:spacing w:line="320" w:lineRule="exact"/>
              <w:jc w:val="center"/>
              <w:rPr>
                <w:rFonts w:ascii="宋体" w:hAnsi="宋体" w:cs="Arial"/>
                <w:color w:val="000000"/>
                <w:kern w:val="0"/>
                <w:sz w:val="24"/>
              </w:rPr>
            </w:pPr>
          </w:p>
        </w:tc>
        <w:tc>
          <w:tcPr>
            <w:tcW w:w="2156" w:type="dxa"/>
            <w:vAlign w:val="center"/>
          </w:tcPr>
          <w:p w14:paraId="601E592D">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联系电话</w:t>
            </w:r>
          </w:p>
        </w:tc>
        <w:tc>
          <w:tcPr>
            <w:tcW w:w="2160" w:type="dxa"/>
            <w:vAlign w:val="center"/>
          </w:tcPr>
          <w:p w14:paraId="154BEB6F">
            <w:pPr>
              <w:tabs>
                <w:tab w:val="left" w:pos="210"/>
              </w:tabs>
              <w:spacing w:line="320" w:lineRule="exact"/>
              <w:jc w:val="center"/>
              <w:rPr>
                <w:rFonts w:ascii="宋体" w:hAnsi="宋体" w:cs="Arial"/>
                <w:color w:val="000000"/>
                <w:kern w:val="0"/>
                <w:sz w:val="24"/>
              </w:rPr>
            </w:pPr>
          </w:p>
        </w:tc>
      </w:tr>
      <w:tr w14:paraId="5FBC6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vAlign w:val="center"/>
          </w:tcPr>
          <w:p w14:paraId="03F73B1E">
            <w:pPr>
              <w:tabs>
                <w:tab w:val="left" w:pos="210"/>
              </w:tabs>
              <w:spacing w:line="320" w:lineRule="exact"/>
              <w:jc w:val="center"/>
              <w:rPr>
                <w:rFonts w:ascii="宋体" w:hAnsi="宋体" w:cs="Arial"/>
                <w:color w:val="000000"/>
                <w:kern w:val="0"/>
                <w:sz w:val="24"/>
              </w:rPr>
            </w:pPr>
          </w:p>
        </w:tc>
        <w:tc>
          <w:tcPr>
            <w:tcW w:w="2160" w:type="dxa"/>
            <w:vAlign w:val="center"/>
          </w:tcPr>
          <w:p w14:paraId="25BD382C">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传真</w:t>
            </w:r>
          </w:p>
        </w:tc>
        <w:tc>
          <w:tcPr>
            <w:tcW w:w="6656" w:type="dxa"/>
            <w:gridSpan w:val="4"/>
            <w:vAlign w:val="center"/>
          </w:tcPr>
          <w:p w14:paraId="7AD6BF41">
            <w:pPr>
              <w:tabs>
                <w:tab w:val="left" w:pos="210"/>
              </w:tabs>
              <w:spacing w:line="320" w:lineRule="exact"/>
              <w:jc w:val="center"/>
              <w:rPr>
                <w:rFonts w:ascii="宋体" w:hAnsi="宋体" w:cs="Arial"/>
                <w:color w:val="000000"/>
                <w:kern w:val="0"/>
                <w:sz w:val="24"/>
              </w:rPr>
            </w:pPr>
          </w:p>
        </w:tc>
      </w:tr>
      <w:tr w14:paraId="0180A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vAlign w:val="center"/>
          </w:tcPr>
          <w:p w14:paraId="5B1D88C0">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法定代表人身份证扫描件</w:t>
            </w:r>
          </w:p>
        </w:tc>
        <w:tc>
          <w:tcPr>
            <w:tcW w:w="4316" w:type="dxa"/>
            <w:gridSpan w:val="2"/>
            <w:vMerge w:val="restart"/>
            <w:vAlign w:val="center"/>
          </w:tcPr>
          <w:p w14:paraId="0563E97C">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（粘贴处）</w:t>
            </w:r>
          </w:p>
        </w:tc>
        <w:tc>
          <w:tcPr>
            <w:tcW w:w="4500" w:type="dxa"/>
            <w:gridSpan w:val="3"/>
            <w:vAlign w:val="center"/>
          </w:tcPr>
          <w:p w14:paraId="5281A38E">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法定代表人签字</w:t>
            </w:r>
          </w:p>
        </w:tc>
      </w:tr>
      <w:tr w14:paraId="7FF1A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vAlign w:val="center"/>
          </w:tcPr>
          <w:p w14:paraId="62A503D6">
            <w:pPr>
              <w:tabs>
                <w:tab w:val="left" w:pos="210"/>
              </w:tabs>
              <w:spacing w:line="320" w:lineRule="exact"/>
              <w:jc w:val="center"/>
              <w:rPr>
                <w:rFonts w:ascii="宋体" w:hAnsi="宋体" w:cs="Arial"/>
                <w:color w:val="000000"/>
                <w:kern w:val="0"/>
                <w:sz w:val="24"/>
              </w:rPr>
            </w:pPr>
          </w:p>
        </w:tc>
        <w:tc>
          <w:tcPr>
            <w:tcW w:w="4316" w:type="dxa"/>
            <w:gridSpan w:val="2"/>
            <w:vMerge w:val="continue"/>
            <w:vAlign w:val="center"/>
          </w:tcPr>
          <w:p w14:paraId="02884C70">
            <w:pPr>
              <w:tabs>
                <w:tab w:val="left" w:pos="210"/>
              </w:tabs>
              <w:spacing w:line="320" w:lineRule="exact"/>
              <w:jc w:val="center"/>
              <w:rPr>
                <w:rFonts w:ascii="宋体" w:hAnsi="宋体" w:cs="Arial"/>
                <w:color w:val="000000"/>
                <w:kern w:val="0"/>
                <w:sz w:val="24"/>
              </w:rPr>
            </w:pPr>
          </w:p>
        </w:tc>
        <w:tc>
          <w:tcPr>
            <w:tcW w:w="4500" w:type="dxa"/>
            <w:gridSpan w:val="3"/>
            <w:vAlign w:val="bottom"/>
          </w:tcPr>
          <w:p w14:paraId="59F65031">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（公章）</w:t>
            </w:r>
          </w:p>
          <w:p w14:paraId="7670EFFD">
            <w:pPr>
              <w:tabs>
                <w:tab w:val="left" w:pos="210"/>
              </w:tabs>
              <w:spacing w:line="320" w:lineRule="exact"/>
              <w:jc w:val="center"/>
              <w:rPr>
                <w:rFonts w:ascii="宋体" w:hAnsi="宋体" w:cs="Arial"/>
                <w:color w:val="000000"/>
                <w:kern w:val="0"/>
                <w:sz w:val="24"/>
              </w:rPr>
            </w:pPr>
          </w:p>
          <w:p w14:paraId="19D25BBA">
            <w:pPr>
              <w:tabs>
                <w:tab w:val="left" w:pos="210"/>
              </w:tabs>
              <w:spacing w:line="320" w:lineRule="exact"/>
              <w:jc w:val="center"/>
              <w:rPr>
                <w:rFonts w:ascii="宋体" w:hAnsi="宋体" w:cs="Arial"/>
                <w:color w:val="000000"/>
                <w:kern w:val="0"/>
                <w:sz w:val="24"/>
              </w:rPr>
            </w:pPr>
          </w:p>
          <w:p w14:paraId="358F4DB2">
            <w:pPr>
              <w:tabs>
                <w:tab w:val="left" w:pos="210"/>
              </w:tabs>
              <w:spacing w:line="320" w:lineRule="exact"/>
              <w:jc w:val="center"/>
              <w:rPr>
                <w:rFonts w:ascii="宋体" w:hAnsi="宋体" w:cs="Arial"/>
                <w:color w:val="000000"/>
                <w:kern w:val="0"/>
                <w:sz w:val="24"/>
              </w:rPr>
            </w:pPr>
          </w:p>
          <w:p w14:paraId="288F6909">
            <w:pPr>
              <w:tabs>
                <w:tab w:val="left" w:pos="210"/>
              </w:tabs>
              <w:wordWrap w:val="0"/>
              <w:spacing w:line="320" w:lineRule="exact"/>
              <w:jc w:val="right"/>
              <w:rPr>
                <w:rFonts w:ascii="宋体" w:hAnsi="宋体" w:cs="Arial"/>
                <w:color w:val="000000"/>
                <w:kern w:val="0"/>
                <w:sz w:val="24"/>
              </w:rPr>
            </w:pPr>
            <w:r>
              <w:rPr>
                <w:rFonts w:hint="eastAsia" w:ascii="宋体" w:hAnsi="宋体" w:cs="Arial"/>
                <w:color w:val="000000"/>
                <w:kern w:val="0"/>
                <w:sz w:val="24"/>
              </w:rPr>
              <w:t xml:space="preserve">年  月  日 </w:t>
            </w:r>
          </w:p>
        </w:tc>
      </w:tr>
    </w:tbl>
    <w:p w14:paraId="3AE090C4">
      <w:pPr>
        <w:tabs>
          <w:tab w:val="left" w:pos="210"/>
        </w:tabs>
        <w:spacing w:line="320" w:lineRule="exact"/>
        <w:jc w:val="center"/>
        <w:rPr>
          <w:rFonts w:ascii="宋体" w:hAnsi="宋体" w:cs="Arial"/>
          <w:b/>
          <w:color w:val="000000"/>
          <w:kern w:val="0"/>
          <w:sz w:val="32"/>
          <w:szCs w:val="32"/>
        </w:rPr>
      </w:pPr>
    </w:p>
    <w:p w14:paraId="4AE0329B">
      <w:pPr>
        <w:spacing w:line="500" w:lineRule="exact"/>
        <w:ind w:firstLine="426" w:firstLineChars="200"/>
        <w:rPr>
          <w:rFonts w:ascii="华文仿宋" w:hAnsi="华文仿宋" w:cs="华文仿宋"/>
          <w:b/>
          <w:bCs/>
          <w:color w:val="000000"/>
        </w:rPr>
      </w:pPr>
      <w:r>
        <w:rPr>
          <w:rFonts w:hint="eastAsia" w:ascii="宋体" w:hAnsi="宋体" w:eastAsia="宋体" w:cs="宋体"/>
          <w:b/>
          <w:bCs/>
          <w:color w:val="000000"/>
          <w:sz w:val="21"/>
          <w:szCs w:val="21"/>
        </w:rPr>
        <w:t xml:space="preserve">  注：响应人持三证合一营业执照时，本表不填写“税务登记机关”和“机构代码证号”栏目。</w:t>
      </w:r>
      <w:r>
        <w:rPr>
          <w:rFonts w:ascii="宋体" w:hAnsi="宋体" w:cs="Arial"/>
          <w:b/>
          <w:color w:val="000000"/>
          <w:kern w:val="0"/>
          <w:sz w:val="32"/>
          <w:szCs w:val="32"/>
        </w:rPr>
        <w:br w:type="page"/>
      </w:r>
      <w:r>
        <w:rPr>
          <w:rFonts w:hint="eastAsia" w:ascii="宋体" w:hAnsi="宋体" w:cs="Arial"/>
          <w:b/>
          <w:color w:val="000000"/>
          <w:kern w:val="0"/>
          <w:sz w:val="32"/>
          <w:szCs w:val="32"/>
        </w:rPr>
        <w:t xml:space="preserve">    </w:t>
      </w:r>
      <w:r>
        <w:rPr>
          <w:rFonts w:hint="eastAsia" w:ascii="华文仿宋" w:hAnsi="华文仿宋" w:cs="华文仿宋"/>
          <w:b/>
          <w:color w:val="000000"/>
        </w:rPr>
        <w:t>七、</w:t>
      </w:r>
      <w:r>
        <w:rPr>
          <w:rFonts w:hint="eastAsia" w:ascii="华文仿宋" w:hAnsi="华文仿宋" w:cs="华文仿宋"/>
          <w:b/>
          <w:bCs/>
          <w:color w:val="000000"/>
        </w:rPr>
        <w:t>本项目不接受联合体响应，不允许分包</w:t>
      </w:r>
    </w:p>
    <w:p w14:paraId="7643C6CD">
      <w:pPr>
        <w:spacing w:line="500" w:lineRule="exact"/>
        <w:ind w:firstLine="566" w:firstLineChars="200"/>
        <w:rPr>
          <w:rFonts w:ascii="华文仿宋" w:hAnsi="华文仿宋" w:cs="华文仿宋"/>
          <w:color w:val="000000"/>
        </w:rPr>
      </w:pPr>
    </w:p>
    <w:p w14:paraId="1BB8372B">
      <w:pPr>
        <w:pStyle w:val="7"/>
        <w:jc w:val="center"/>
        <w:rPr>
          <w:rFonts w:ascii="华文仿宋" w:hAnsi="华文仿宋" w:cs="华文仿宋"/>
          <w:b/>
          <w:bCs/>
          <w:color w:val="000000"/>
        </w:rPr>
      </w:pPr>
      <w:r>
        <w:rPr>
          <w:rFonts w:hint="eastAsia" w:ascii="华文仿宋" w:hAnsi="华文仿宋" w:cs="华文仿宋"/>
          <w:b/>
          <w:bCs/>
          <w:color w:val="000000"/>
        </w:rPr>
        <w:t>非联合体不分包投标声明（格式）</w:t>
      </w:r>
    </w:p>
    <w:p w14:paraId="4454E80C">
      <w:pPr>
        <w:spacing w:line="500" w:lineRule="exact"/>
        <w:ind w:firstLine="566" w:firstLineChars="200"/>
        <w:rPr>
          <w:rFonts w:ascii="华文仿宋" w:hAnsi="华文仿宋" w:cs="华文仿宋"/>
          <w:color w:val="000000"/>
        </w:rPr>
      </w:pPr>
    </w:p>
    <w:p w14:paraId="0FDC5554">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本单位郑重声明，参加延安市公共资源交易中心（延安市市直单位政府采购中心）的</w:t>
      </w:r>
      <w:r>
        <w:rPr>
          <w:rFonts w:hint="eastAsia" w:ascii="华文仿宋" w:hAnsi="华文仿宋" w:cs="华文仿宋"/>
          <w:color w:val="000000"/>
          <w:u w:val="single"/>
        </w:rPr>
        <w:t>项目名称</w:t>
      </w:r>
      <w:r>
        <w:rPr>
          <w:rFonts w:hint="eastAsia" w:ascii="华文仿宋" w:hAnsi="华文仿宋" w:cs="华文仿宋"/>
          <w:color w:val="000000"/>
        </w:rPr>
        <w:t>（项目</w:t>
      </w:r>
      <w:r>
        <w:rPr>
          <w:rFonts w:hint="eastAsia" w:ascii="华文仿宋" w:hAnsi="华文仿宋" w:cs="华文仿宋"/>
        </w:rPr>
        <w:t>编号：</w:t>
      </w:r>
      <w:r>
        <w:rPr>
          <w:rFonts w:hint="eastAsia" w:ascii="华文仿宋" w:hAnsi="华文仿宋" w:cs="华文仿宋"/>
          <w:u w:val="single"/>
        </w:rPr>
        <w:t xml:space="preserve">       </w:t>
      </w:r>
      <w:r>
        <w:rPr>
          <w:rFonts w:hint="eastAsia" w:ascii="华文仿宋" w:hAnsi="华文仿宋" w:cs="华文仿宋"/>
          <w:color w:val="000000"/>
        </w:rPr>
        <w:t>）第</w:t>
      </w:r>
      <w:r>
        <w:rPr>
          <w:rFonts w:hint="eastAsia" w:ascii="华文仿宋" w:hAnsi="华文仿宋" w:cs="华文仿宋"/>
          <w:color w:val="000000"/>
          <w:u w:val="single"/>
        </w:rPr>
        <w:t xml:space="preserve">   </w:t>
      </w:r>
      <w:r>
        <w:rPr>
          <w:rFonts w:hint="eastAsia" w:ascii="华文仿宋" w:hAnsi="华文仿宋" w:cs="华文仿宋"/>
          <w:color w:val="000000"/>
        </w:rPr>
        <w:t>标段采购活动，为非联合体投标，本项目实施过程由本单位独立承担。</w:t>
      </w:r>
    </w:p>
    <w:p w14:paraId="668A0538">
      <w:pPr>
        <w:spacing w:line="500" w:lineRule="exact"/>
        <w:ind w:firstLine="566" w:firstLineChars="200"/>
        <w:jc w:val="left"/>
        <w:rPr>
          <w:rFonts w:ascii="华文仿宋" w:hAnsi="华文仿宋" w:cs="华文仿宋"/>
          <w:color w:val="000000"/>
        </w:rPr>
      </w:pPr>
      <w:r>
        <w:rPr>
          <w:rFonts w:hint="eastAsia" w:ascii="华文仿宋" w:hAnsi="华文仿宋" w:cs="华文仿宋"/>
          <w:color w:val="000000"/>
        </w:rPr>
        <w:t>本单位对上述声明的真实性负责。如有虚假，将依法承担相应责任。</w:t>
      </w:r>
    </w:p>
    <w:p w14:paraId="00FD2265">
      <w:pPr>
        <w:spacing w:line="500" w:lineRule="exact"/>
        <w:ind w:firstLine="566" w:firstLineChars="200"/>
        <w:jc w:val="left"/>
        <w:rPr>
          <w:rFonts w:ascii="华文仿宋" w:hAnsi="华文仿宋" w:cs="华文仿宋"/>
          <w:color w:val="000000"/>
        </w:rPr>
      </w:pPr>
    </w:p>
    <w:p w14:paraId="50C774A9">
      <w:pPr>
        <w:spacing w:line="500" w:lineRule="exact"/>
        <w:ind w:firstLine="566" w:firstLineChars="200"/>
        <w:jc w:val="left"/>
        <w:rPr>
          <w:rFonts w:ascii="华文仿宋" w:hAnsi="华文仿宋" w:cs="华文仿宋"/>
          <w:color w:val="000000"/>
        </w:rPr>
      </w:pPr>
    </w:p>
    <w:p w14:paraId="6E7C9F5F">
      <w:pPr>
        <w:pStyle w:val="7"/>
        <w:rPr>
          <w:rFonts w:ascii="华文仿宋" w:hAnsi="华文仿宋" w:cs="华文仿宋"/>
          <w:color w:val="000000"/>
        </w:rPr>
      </w:pPr>
    </w:p>
    <w:p w14:paraId="5345C2AB">
      <w:pPr>
        <w:spacing w:line="500" w:lineRule="exact"/>
        <w:ind w:firstLine="5094" w:firstLineChars="1800"/>
        <w:rPr>
          <w:rFonts w:ascii="华文仿宋" w:hAnsi="华文仿宋" w:cs="华文仿宋"/>
          <w:color w:val="000000"/>
        </w:rPr>
      </w:pPr>
      <w:r>
        <w:rPr>
          <w:rFonts w:hint="eastAsia" w:ascii="华文仿宋" w:hAnsi="华文仿宋" w:cs="华文仿宋"/>
          <w:color w:val="000000"/>
        </w:rPr>
        <w:t>供应商：</w:t>
      </w:r>
      <w:r>
        <w:rPr>
          <w:rFonts w:hint="eastAsia" w:ascii="华文仿宋" w:hAnsi="华文仿宋" w:cs="华文仿宋"/>
          <w:color w:val="000000"/>
          <w:u w:val="single"/>
        </w:rPr>
        <w:t>名称</w:t>
      </w:r>
      <w:r>
        <w:rPr>
          <w:rFonts w:hint="eastAsia" w:ascii="华文仿宋" w:hAnsi="华文仿宋" w:cs="华文仿宋"/>
          <w:color w:val="000000"/>
        </w:rPr>
        <w:t>（加盖公章）</w:t>
      </w:r>
    </w:p>
    <w:p w14:paraId="31815DF6">
      <w:pPr>
        <w:tabs>
          <w:tab w:val="left" w:pos="5670"/>
        </w:tabs>
        <w:spacing w:line="500" w:lineRule="exact"/>
        <w:ind w:firstLine="5377" w:firstLineChars="1900"/>
        <w:jc w:val="left"/>
        <w:rPr>
          <w:rFonts w:ascii="华文仿宋" w:hAnsi="华文仿宋" w:cs="华文仿宋"/>
          <w:color w:val="000000"/>
        </w:rPr>
      </w:pPr>
      <w:r>
        <w:rPr>
          <w:rFonts w:hint="eastAsia" w:ascii="华文仿宋" w:hAnsi="华文仿宋" w:cs="华文仿宋"/>
          <w:color w:val="000000"/>
        </w:rPr>
        <w:t>日期：　　年　月　日</w:t>
      </w:r>
    </w:p>
    <w:p w14:paraId="019281A5">
      <w:pPr>
        <w:tabs>
          <w:tab w:val="left" w:pos="5670"/>
        </w:tabs>
        <w:spacing w:line="500" w:lineRule="exact"/>
        <w:ind w:firstLine="566" w:firstLineChars="200"/>
        <w:jc w:val="left"/>
        <w:rPr>
          <w:color w:val="000000"/>
        </w:rPr>
      </w:pPr>
    </w:p>
    <w:p w14:paraId="6CD73235">
      <w:pPr>
        <w:spacing w:line="500" w:lineRule="exact"/>
        <w:ind w:firstLine="566" w:firstLineChars="200"/>
        <w:rPr>
          <w:color w:val="000000"/>
        </w:rPr>
      </w:pPr>
    </w:p>
    <w:p w14:paraId="1270F274">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color w:val="000000"/>
          <w:sz w:val="21"/>
          <w:szCs w:val="21"/>
        </w:rPr>
        <w:t>项目不分标段的，第___标段空白处填写“/”。</w:t>
      </w:r>
    </w:p>
    <w:p w14:paraId="359E5CA9">
      <w:pPr>
        <w:pStyle w:val="18"/>
        <w:ind w:firstLine="0" w:firstLineChars="0"/>
        <w:rPr>
          <w:rFonts w:ascii="宋体" w:hAnsi="宋体" w:eastAsia="宋体" w:cs="宋体"/>
          <w:color w:val="000000"/>
          <w:sz w:val="21"/>
          <w:szCs w:val="21"/>
        </w:rPr>
      </w:pPr>
    </w:p>
    <w:p w14:paraId="35451317">
      <w:pPr>
        <w:pStyle w:val="30"/>
        <w:ind w:firstLine="0" w:firstLineChars="0"/>
        <w:rPr>
          <w:rFonts w:ascii="黑体" w:hAnsi="黑体" w:eastAsia="黑体"/>
          <w:b w:val="0"/>
          <w:color w:val="000000"/>
        </w:rPr>
      </w:pPr>
      <w:bookmarkStart w:id="262" w:name="_Toc28770"/>
      <w:bookmarkStart w:id="263" w:name="_Toc16881"/>
    </w:p>
    <w:p w14:paraId="6E43C979">
      <w:pPr>
        <w:adjustRightInd w:val="0"/>
        <w:snapToGrid w:val="0"/>
        <w:spacing w:line="600" w:lineRule="exact"/>
        <w:ind w:firstLine="646"/>
        <w:rPr>
          <w:rFonts w:ascii="宋体" w:hAnsi="宋体" w:cs="Arial"/>
          <w:b/>
          <w:color w:val="000000"/>
          <w:kern w:val="0"/>
        </w:rPr>
      </w:pPr>
    </w:p>
    <w:p w14:paraId="1B57328C">
      <w:pPr>
        <w:adjustRightInd w:val="0"/>
        <w:snapToGrid w:val="0"/>
        <w:spacing w:line="600" w:lineRule="exact"/>
        <w:ind w:firstLine="646"/>
        <w:rPr>
          <w:rFonts w:ascii="宋体" w:hAnsi="宋体" w:cs="Arial"/>
          <w:b/>
          <w:color w:val="000000"/>
          <w:kern w:val="0"/>
        </w:rPr>
      </w:pPr>
    </w:p>
    <w:p w14:paraId="466F9F95">
      <w:pPr>
        <w:adjustRightInd w:val="0"/>
        <w:snapToGrid w:val="0"/>
        <w:spacing w:line="600" w:lineRule="exact"/>
        <w:ind w:firstLine="646"/>
        <w:rPr>
          <w:rFonts w:ascii="宋体" w:hAnsi="宋体" w:cs="Arial"/>
          <w:b/>
          <w:color w:val="000000"/>
          <w:kern w:val="0"/>
        </w:rPr>
      </w:pPr>
    </w:p>
    <w:p w14:paraId="7A3EEF63">
      <w:pPr>
        <w:adjustRightInd w:val="0"/>
        <w:snapToGrid w:val="0"/>
        <w:spacing w:line="600" w:lineRule="exact"/>
        <w:ind w:firstLine="646"/>
        <w:rPr>
          <w:rFonts w:ascii="宋体" w:hAnsi="宋体" w:cs="Arial"/>
          <w:b/>
          <w:color w:val="000000"/>
          <w:kern w:val="0"/>
        </w:rPr>
      </w:pPr>
    </w:p>
    <w:p w14:paraId="6095D138">
      <w:pPr>
        <w:adjustRightInd w:val="0"/>
        <w:snapToGrid w:val="0"/>
        <w:spacing w:line="600" w:lineRule="exact"/>
        <w:ind w:firstLine="646"/>
        <w:rPr>
          <w:rFonts w:ascii="宋体" w:hAnsi="宋体" w:cs="Arial"/>
          <w:b/>
          <w:color w:val="000000"/>
          <w:kern w:val="0"/>
        </w:rPr>
      </w:pPr>
    </w:p>
    <w:p w14:paraId="0274BF3B">
      <w:pPr>
        <w:adjustRightInd w:val="0"/>
        <w:snapToGrid w:val="0"/>
        <w:spacing w:line="600" w:lineRule="exact"/>
        <w:ind w:firstLine="646"/>
        <w:rPr>
          <w:rFonts w:ascii="宋体" w:hAnsi="宋体" w:cs="Arial"/>
          <w:b/>
          <w:color w:val="000000"/>
          <w:kern w:val="0"/>
        </w:rPr>
      </w:pPr>
    </w:p>
    <w:p w14:paraId="68711A49">
      <w:pPr>
        <w:adjustRightInd w:val="0"/>
        <w:snapToGrid w:val="0"/>
        <w:spacing w:line="600" w:lineRule="exact"/>
        <w:ind w:firstLine="646"/>
        <w:rPr>
          <w:rFonts w:ascii="宋体" w:hAnsi="宋体" w:cs="Arial"/>
          <w:b/>
          <w:color w:val="000000"/>
          <w:kern w:val="0"/>
        </w:rPr>
      </w:pPr>
    </w:p>
    <w:p w14:paraId="5D6FF415">
      <w:pPr>
        <w:adjustRightInd w:val="0"/>
        <w:snapToGrid w:val="0"/>
        <w:spacing w:line="600" w:lineRule="exact"/>
        <w:ind w:firstLine="646"/>
        <w:rPr>
          <w:rFonts w:ascii="宋体" w:hAnsi="宋体" w:cs="Arial"/>
          <w:b/>
          <w:color w:val="000000"/>
          <w:kern w:val="0"/>
        </w:rPr>
      </w:pPr>
    </w:p>
    <w:p w14:paraId="4472F104">
      <w:pPr>
        <w:adjustRightInd w:val="0"/>
        <w:snapToGrid w:val="0"/>
        <w:spacing w:line="600" w:lineRule="exact"/>
        <w:ind w:firstLine="646"/>
        <w:rPr>
          <w:rFonts w:ascii="宋体" w:hAnsi="宋体" w:cs="Arial"/>
          <w:b/>
          <w:color w:val="000000"/>
          <w:kern w:val="0"/>
        </w:rPr>
      </w:pPr>
    </w:p>
    <w:p w14:paraId="5C8C9856">
      <w:pPr>
        <w:adjustRightInd w:val="0"/>
        <w:snapToGrid w:val="0"/>
        <w:spacing w:line="600" w:lineRule="exact"/>
        <w:ind w:firstLine="646"/>
        <w:rPr>
          <w:rFonts w:hint="eastAsia" w:ascii="华文仿宋" w:hAnsi="华文仿宋" w:cs="华文仿宋"/>
          <w:b w:val="0"/>
          <w:bCs/>
          <w:color w:val="000000"/>
          <w:lang w:val="en-US" w:eastAsia="zh-CN"/>
        </w:rPr>
      </w:pPr>
      <w:r>
        <w:rPr>
          <w:rFonts w:hint="eastAsia" w:ascii="华文仿宋" w:hAnsi="华文仿宋" w:cs="华文仿宋"/>
          <w:b/>
          <w:color w:val="000000"/>
        </w:rPr>
        <w:t>八、特定资格要求：</w:t>
      </w:r>
      <w:r>
        <w:rPr>
          <w:rFonts w:hint="eastAsia" w:ascii="华文仿宋" w:hAnsi="华文仿宋" w:cs="华文仿宋"/>
          <w:b w:val="0"/>
          <w:bCs/>
          <w:color w:val="000000"/>
          <w:lang w:val="en-US" w:eastAsia="zh-CN"/>
        </w:rPr>
        <w:t>需提供省级自然资源主管部门出具的土地估价机构备案函。</w:t>
      </w:r>
    </w:p>
    <w:p w14:paraId="79916D38">
      <w:pPr>
        <w:adjustRightInd w:val="0"/>
        <w:snapToGrid w:val="0"/>
        <w:spacing w:line="600" w:lineRule="exact"/>
        <w:ind w:firstLine="646"/>
        <w:rPr>
          <w:rFonts w:ascii="黑体" w:hAnsi="黑体" w:eastAsia="黑体" w:cs="Calibri"/>
          <w:bCs/>
          <w:color w:val="000000"/>
          <w:sz w:val="30"/>
          <w:szCs w:val="32"/>
        </w:rPr>
      </w:pPr>
    </w:p>
    <w:p w14:paraId="38607829">
      <w:pPr>
        <w:pStyle w:val="30"/>
        <w:ind w:firstLine="0" w:firstLineChars="0"/>
        <w:jc w:val="left"/>
        <w:rPr>
          <w:rFonts w:ascii="黑体" w:hAnsi="黑体" w:eastAsia="黑体"/>
          <w:b w:val="0"/>
          <w:color w:val="000000"/>
          <w:sz w:val="28"/>
          <w:szCs w:val="28"/>
        </w:rPr>
      </w:pPr>
    </w:p>
    <w:p w14:paraId="076B7419">
      <w:pPr>
        <w:pStyle w:val="30"/>
        <w:ind w:firstLine="0" w:firstLineChars="0"/>
        <w:rPr>
          <w:rFonts w:ascii="黑体" w:hAnsi="黑体" w:eastAsia="黑体"/>
          <w:b w:val="0"/>
          <w:color w:val="000000"/>
        </w:rPr>
      </w:pPr>
    </w:p>
    <w:p w14:paraId="19ECCC57">
      <w:pPr>
        <w:pStyle w:val="30"/>
        <w:ind w:firstLine="0" w:firstLineChars="0"/>
        <w:rPr>
          <w:rFonts w:ascii="黑体" w:hAnsi="黑体" w:eastAsia="黑体"/>
          <w:b w:val="0"/>
          <w:color w:val="000000"/>
        </w:rPr>
      </w:pPr>
    </w:p>
    <w:p w14:paraId="17F8EFF0">
      <w:pPr>
        <w:pStyle w:val="30"/>
        <w:ind w:firstLine="0" w:firstLineChars="0"/>
        <w:rPr>
          <w:rFonts w:ascii="黑体" w:hAnsi="黑体" w:eastAsia="黑体"/>
          <w:b w:val="0"/>
          <w:color w:val="000000"/>
        </w:rPr>
      </w:pPr>
    </w:p>
    <w:p w14:paraId="11F98A5E">
      <w:pPr>
        <w:pStyle w:val="30"/>
        <w:ind w:firstLine="0" w:firstLineChars="0"/>
        <w:rPr>
          <w:rFonts w:ascii="黑体" w:hAnsi="黑体" w:eastAsia="黑体"/>
          <w:b w:val="0"/>
          <w:color w:val="000000"/>
        </w:rPr>
      </w:pPr>
    </w:p>
    <w:p w14:paraId="32275B96">
      <w:pPr>
        <w:pStyle w:val="30"/>
        <w:ind w:firstLine="0" w:firstLineChars="0"/>
        <w:rPr>
          <w:rFonts w:ascii="黑体" w:hAnsi="黑体" w:eastAsia="黑体"/>
          <w:b w:val="0"/>
          <w:color w:val="000000"/>
        </w:rPr>
      </w:pPr>
    </w:p>
    <w:p w14:paraId="43C7565A">
      <w:pPr>
        <w:pStyle w:val="30"/>
        <w:ind w:firstLine="0" w:firstLineChars="0"/>
        <w:rPr>
          <w:rFonts w:ascii="黑体" w:hAnsi="黑体" w:eastAsia="黑体"/>
          <w:b w:val="0"/>
          <w:color w:val="000000"/>
        </w:rPr>
      </w:pPr>
    </w:p>
    <w:p w14:paraId="6072A834">
      <w:pPr>
        <w:pStyle w:val="30"/>
        <w:ind w:firstLine="0" w:firstLineChars="0"/>
        <w:rPr>
          <w:rFonts w:ascii="黑体" w:hAnsi="黑体" w:eastAsia="黑体"/>
          <w:b w:val="0"/>
          <w:color w:val="000000"/>
        </w:rPr>
      </w:pPr>
    </w:p>
    <w:p w14:paraId="37631426">
      <w:pPr>
        <w:pStyle w:val="30"/>
        <w:ind w:firstLine="0" w:firstLineChars="0"/>
        <w:rPr>
          <w:rFonts w:ascii="黑体" w:hAnsi="黑体" w:eastAsia="黑体"/>
          <w:b w:val="0"/>
          <w:color w:val="000000"/>
        </w:rPr>
      </w:pPr>
    </w:p>
    <w:p w14:paraId="5D65801E">
      <w:pPr>
        <w:pStyle w:val="30"/>
        <w:ind w:firstLine="0" w:firstLineChars="0"/>
        <w:rPr>
          <w:rFonts w:ascii="黑体" w:hAnsi="黑体" w:eastAsia="黑体"/>
          <w:b w:val="0"/>
          <w:color w:val="000000"/>
        </w:rPr>
      </w:pPr>
    </w:p>
    <w:p w14:paraId="52D80E95">
      <w:pPr>
        <w:pStyle w:val="30"/>
        <w:ind w:firstLine="0" w:firstLineChars="0"/>
        <w:rPr>
          <w:rFonts w:ascii="黑体" w:hAnsi="黑体" w:eastAsia="黑体"/>
          <w:b w:val="0"/>
          <w:color w:val="000000"/>
        </w:rPr>
      </w:pPr>
    </w:p>
    <w:p w14:paraId="3C174280">
      <w:pPr>
        <w:pStyle w:val="30"/>
        <w:ind w:firstLine="0" w:firstLineChars="0"/>
        <w:rPr>
          <w:rFonts w:ascii="黑体" w:hAnsi="黑体" w:eastAsia="黑体"/>
          <w:b w:val="0"/>
          <w:color w:val="000000"/>
        </w:rPr>
      </w:pPr>
    </w:p>
    <w:p w14:paraId="78F9DBCC">
      <w:pPr>
        <w:pStyle w:val="30"/>
        <w:ind w:firstLine="0" w:firstLineChars="0"/>
        <w:rPr>
          <w:rFonts w:ascii="黑体" w:hAnsi="黑体" w:eastAsia="黑体"/>
          <w:b w:val="0"/>
          <w:color w:val="000000"/>
        </w:rPr>
      </w:pPr>
    </w:p>
    <w:p w14:paraId="029746AE">
      <w:pPr>
        <w:pStyle w:val="30"/>
        <w:ind w:firstLine="0" w:firstLineChars="0"/>
        <w:rPr>
          <w:rFonts w:ascii="黑体" w:hAnsi="黑体" w:eastAsia="黑体"/>
          <w:b w:val="0"/>
          <w:color w:val="000000"/>
        </w:rPr>
      </w:pPr>
    </w:p>
    <w:p w14:paraId="396FE7BA">
      <w:pPr>
        <w:pStyle w:val="30"/>
        <w:ind w:firstLine="0" w:firstLineChars="0"/>
        <w:rPr>
          <w:rFonts w:ascii="黑体" w:hAnsi="黑体" w:eastAsia="黑体"/>
          <w:b w:val="0"/>
          <w:color w:val="000000"/>
        </w:rPr>
      </w:pPr>
    </w:p>
    <w:p w14:paraId="3F2A4661">
      <w:pPr>
        <w:pStyle w:val="30"/>
        <w:ind w:firstLine="0" w:firstLineChars="0"/>
        <w:rPr>
          <w:rFonts w:ascii="黑体" w:hAnsi="黑体" w:eastAsia="黑体"/>
          <w:b w:val="0"/>
          <w:color w:val="000000"/>
        </w:rPr>
      </w:pPr>
    </w:p>
    <w:p w14:paraId="217CC7B9">
      <w:pPr>
        <w:pStyle w:val="30"/>
        <w:ind w:firstLine="0" w:firstLineChars="0"/>
        <w:rPr>
          <w:rFonts w:ascii="黑体" w:hAnsi="黑体" w:eastAsia="黑体"/>
          <w:b w:val="0"/>
          <w:color w:val="000000"/>
        </w:rPr>
      </w:pPr>
    </w:p>
    <w:p w14:paraId="2129F8CE">
      <w:pPr>
        <w:pStyle w:val="30"/>
        <w:ind w:firstLine="0" w:firstLineChars="0"/>
        <w:rPr>
          <w:rFonts w:ascii="黑体" w:hAnsi="黑体" w:eastAsia="黑体"/>
          <w:b w:val="0"/>
          <w:color w:val="000000"/>
        </w:rPr>
      </w:pPr>
    </w:p>
    <w:p w14:paraId="0682CC36">
      <w:pPr>
        <w:pStyle w:val="30"/>
        <w:ind w:firstLine="0" w:firstLineChars="0"/>
        <w:rPr>
          <w:rFonts w:ascii="黑体" w:hAnsi="黑体" w:eastAsia="黑体"/>
          <w:b w:val="0"/>
          <w:color w:val="000000"/>
        </w:rPr>
      </w:pPr>
    </w:p>
    <w:p w14:paraId="740CCE0C">
      <w:pPr>
        <w:pStyle w:val="30"/>
        <w:ind w:firstLine="0" w:firstLineChars="0"/>
        <w:rPr>
          <w:rFonts w:ascii="黑体" w:hAnsi="黑体" w:eastAsia="黑体"/>
          <w:b w:val="0"/>
          <w:color w:val="000000"/>
        </w:rPr>
      </w:pPr>
    </w:p>
    <w:p w14:paraId="144ACBEB">
      <w:pPr>
        <w:pStyle w:val="30"/>
        <w:ind w:firstLine="0" w:firstLineChars="0"/>
        <w:rPr>
          <w:rFonts w:ascii="黑体" w:hAnsi="黑体" w:eastAsia="黑体"/>
          <w:b w:val="0"/>
          <w:color w:val="000000"/>
        </w:rPr>
      </w:pPr>
    </w:p>
    <w:p w14:paraId="2EEE7271">
      <w:pPr>
        <w:pStyle w:val="30"/>
        <w:ind w:firstLine="0" w:firstLineChars="0"/>
        <w:rPr>
          <w:rFonts w:ascii="黑体" w:hAnsi="黑体" w:eastAsia="黑体"/>
          <w:b w:val="0"/>
          <w:color w:val="000000"/>
        </w:rPr>
      </w:pPr>
    </w:p>
    <w:p w14:paraId="4A4CA2B7">
      <w:pPr>
        <w:pStyle w:val="30"/>
        <w:ind w:firstLine="0" w:firstLineChars="0"/>
        <w:rPr>
          <w:rFonts w:ascii="黑体" w:hAnsi="黑体" w:eastAsia="黑体"/>
          <w:b w:val="0"/>
          <w:color w:val="000000"/>
        </w:rPr>
      </w:pPr>
    </w:p>
    <w:p w14:paraId="280C3F9F">
      <w:pPr>
        <w:widowControl w:val="0"/>
        <w:spacing w:line="500" w:lineRule="exact"/>
        <w:ind w:firstLine="566" w:firstLineChars="200"/>
        <w:jc w:val="left"/>
        <w:rPr>
          <w:rFonts w:ascii="华文仿宋" w:hAnsi="华文仿宋" w:cs="华文仿宋"/>
          <w:b/>
          <w:bCs/>
        </w:rPr>
      </w:pPr>
    </w:p>
    <w:p w14:paraId="3EE71288">
      <w:pPr>
        <w:widowControl w:val="0"/>
        <w:spacing w:line="500" w:lineRule="exact"/>
        <w:ind w:firstLine="566" w:firstLineChars="200"/>
        <w:jc w:val="left"/>
        <w:rPr>
          <w:rFonts w:ascii="华文仿宋" w:hAnsi="华文仿宋" w:cs="华文仿宋"/>
          <w:b/>
          <w:bCs/>
        </w:rPr>
      </w:pPr>
    </w:p>
    <w:p w14:paraId="1AC619B4">
      <w:pPr>
        <w:pStyle w:val="30"/>
        <w:ind w:firstLine="0" w:firstLineChars="0"/>
        <w:rPr>
          <w:rFonts w:ascii="黑体" w:hAnsi="黑体" w:eastAsia="黑体"/>
          <w:b w:val="0"/>
          <w:color w:val="000000"/>
        </w:rPr>
      </w:pPr>
      <w:bookmarkStart w:id="264" w:name="_Toc29074"/>
      <w:r>
        <w:rPr>
          <w:rFonts w:hint="eastAsia" w:ascii="黑体" w:hAnsi="黑体" w:eastAsia="黑体"/>
          <w:b w:val="0"/>
          <w:color w:val="000000"/>
        </w:rPr>
        <w:t>第二部分  符合性证明文件</w:t>
      </w:r>
      <w:bookmarkEnd w:id="262"/>
      <w:bookmarkEnd w:id="263"/>
      <w:bookmarkEnd w:id="264"/>
    </w:p>
    <w:p w14:paraId="3921BC87">
      <w:pPr>
        <w:pStyle w:val="30"/>
        <w:ind w:firstLine="609"/>
        <w:jc w:val="both"/>
        <w:outlineLvl w:val="2"/>
        <w:rPr>
          <w:rFonts w:ascii="仿宋" w:hAnsi="仿宋" w:eastAsia="仿宋" w:cs="仿宋"/>
          <w:bCs w:val="0"/>
          <w:color w:val="000000"/>
        </w:rPr>
      </w:pPr>
      <w:bookmarkStart w:id="265" w:name="_Toc19788"/>
      <w:bookmarkStart w:id="266" w:name="_Toc14262"/>
      <w:bookmarkStart w:id="267" w:name="_Toc2230"/>
      <w:bookmarkStart w:id="268" w:name="_Toc19195"/>
      <w:r>
        <w:rPr>
          <w:rFonts w:hint="eastAsia" w:ascii="仿宋" w:hAnsi="仿宋" w:eastAsia="仿宋" w:cs="仿宋"/>
          <w:bCs w:val="0"/>
          <w:color w:val="000000"/>
        </w:rPr>
        <w:t>一、响应函格式</w:t>
      </w:r>
      <w:bookmarkEnd w:id="265"/>
      <w:bookmarkEnd w:id="266"/>
      <w:bookmarkEnd w:id="267"/>
      <w:bookmarkEnd w:id="268"/>
    </w:p>
    <w:p w14:paraId="3B05E7B9">
      <w:pPr>
        <w:pStyle w:val="26"/>
        <w:ind w:firstLine="0" w:firstLineChars="0"/>
        <w:jc w:val="center"/>
        <w:rPr>
          <w:rFonts w:ascii="黑体" w:hAnsi="黑体" w:eastAsia="黑体" w:cs="黑体"/>
          <w:color w:val="000000"/>
          <w:sz w:val="32"/>
          <w:szCs w:val="32"/>
        </w:rPr>
      </w:pPr>
      <w:bookmarkStart w:id="269" w:name="_Toc10617"/>
      <w:bookmarkStart w:id="270" w:name="_Toc23334"/>
      <w:bookmarkStart w:id="271" w:name="_Toc22777"/>
      <w:r>
        <w:rPr>
          <w:rFonts w:hint="eastAsia" w:ascii="黑体" w:hAnsi="黑体" w:eastAsia="黑体" w:cs="黑体"/>
          <w:color w:val="000000"/>
          <w:sz w:val="32"/>
          <w:szCs w:val="32"/>
        </w:rPr>
        <w:t>响应函</w:t>
      </w:r>
      <w:bookmarkEnd w:id="269"/>
      <w:bookmarkEnd w:id="270"/>
      <w:bookmarkEnd w:id="271"/>
    </w:p>
    <w:p w14:paraId="20106239">
      <w:pPr>
        <w:pStyle w:val="26"/>
        <w:spacing w:after="190" w:afterLines="50" w:line="500" w:lineRule="exact"/>
        <w:ind w:firstLine="0" w:firstLineChars="0"/>
        <w:rPr>
          <w:rFonts w:ascii="华文仿宋" w:hAnsi="华文仿宋" w:cs="华文仿宋"/>
          <w:color w:val="000000"/>
          <w:lang w:val="zh-CN"/>
        </w:rPr>
      </w:pPr>
      <w:r>
        <w:rPr>
          <w:rFonts w:hint="eastAsia" w:ascii="华文仿宋" w:hAnsi="华文仿宋" w:cs="华文仿宋"/>
          <w:color w:val="000000"/>
        </w:rPr>
        <w:t>延安市公共资源交易中心（延安市市直单位政府采购中心）</w:t>
      </w:r>
      <w:r>
        <w:rPr>
          <w:rFonts w:hint="eastAsia" w:ascii="华文仿宋" w:hAnsi="华文仿宋" w:cs="华文仿宋"/>
          <w:color w:val="000000"/>
          <w:lang w:val="zh-CN"/>
        </w:rPr>
        <w:t>：</w:t>
      </w:r>
    </w:p>
    <w:p w14:paraId="763B9989">
      <w:pPr>
        <w:pStyle w:val="26"/>
        <w:spacing w:line="500" w:lineRule="exact"/>
        <w:ind w:firstLine="567"/>
        <w:rPr>
          <w:rFonts w:ascii="华文仿宋" w:hAnsi="华文仿宋" w:cs="华文仿宋"/>
          <w:color w:val="000000"/>
        </w:rPr>
      </w:pPr>
      <w:r>
        <w:rPr>
          <w:rFonts w:hint="eastAsia" w:ascii="华文仿宋" w:hAnsi="华文仿宋" w:cs="华文仿宋"/>
          <w:color w:val="000000"/>
        </w:rPr>
        <w:t>我方收到贵中心发布的《</w:t>
      </w:r>
      <w:r>
        <w:rPr>
          <w:rFonts w:hint="eastAsia" w:ascii="华文仿宋" w:hAnsi="华文仿宋" w:cs="华文仿宋"/>
          <w:color w:val="000000"/>
          <w:u w:val="single"/>
        </w:rPr>
        <w:t>项目名称</w:t>
      </w:r>
      <w:r>
        <w:rPr>
          <w:rFonts w:hint="eastAsia" w:ascii="华文仿宋" w:hAnsi="华文仿宋" w:cs="华文仿宋"/>
          <w:color w:val="000000"/>
        </w:rPr>
        <w:t>》（项目编号：</w:t>
      </w:r>
      <w:r>
        <w:rPr>
          <w:rFonts w:hint="eastAsia" w:ascii="华文仿宋" w:hAnsi="华文仿宋" w:cs="华文仿宋"/>
          <w:color w:val="000000"/>
          <w:u w:val="single"/>
        </w:rPr>
        <w:t xml:space="preserve">      </w:t>
      </w:r>
      <w:r>
        <w:rPr>
          <w:rFonts w:hint="eastAsia" w:ascii="华文仿宋" w:hAnsi="华文仿宋" w:cs="华文仿宋"/>
          <w:color w:val="000000"/>
        </w:rPr>
        <w:t>）第___标段电子磋商文件，经详细研究，我方决定参加该项目第</w:t>
      </w:r>
      <w:r>
        <w:rPr>
          <w:rFonts w:hint="eastAsia" w:ascii="华文仿宋" w:hAnsi="华文仿宋" w:cs="华文仿宋"/>
          <w:color w:val="000000"/>
          <w:u w:val="single"/>
        </w:rPr>
        <w:t xml:space="preserve">   </w:t>
      </w:r>
      <w:r>
        <w:rPr>
          <w:rFonts w:hint="eastAsia" w:ascii="华文仿宋" w:hAnsi="华文仿宋" w:cs="华文仿宋"/>
          <w:color w:val="000000"/>
        </w:rPr>
        <w:t>标段磋商活动。为此，我方郑重声明以下诸点，并负法律责任。</w:t>
      </w:r>
    </w:p>
    <w:p w14:paraId="37E71946">
      <w:pPr>
        <w:pStyle w:val="26"/>
        <w:spacing w:line="500" w:lineRule="exact"/>
        <w:ind w:firstLine="567"/>
        <w:rPr>
          <w:rFonts w:ascii="华文仿宋" w:hAnsi="华文仿宋" w:cs="华文仿宋"/>
          <w:color w:val="000000"/>
        </w:rPr>
      </w:pPr>
      <w:r>
        <w:rPr>
          <w:rFonts w:hint="eastAsia" w:ascii="华文仿宋" w:hAnsi="华文仿宋" w:cs="华文仿宋"/>
          <w:color w:val="000000"/>
        </w:rPr>
        <w:t>一、我方已详细阅读了电子磋商文件，完全理解并同意电子磋商文件的所有事项及内容。</w:t>
      </w:r>
    </w:p>
    <w:p w14:paraId="63ECD631">
      <w:pPr>
        <w:pStyle w:val="26"/>
        <w:spacing w:line="500" w:lineRule="exact"/>
        <w:ind w:firstLine="567"/>
        <w:rPr>
          <w:rFonts w:ascii="华文仿宋" w:hAnsi="华文仿宋" w:cs="华文仿宋"/>
          <w:color w:val="000000"/>
        </w:rPr>
      </w:pPr>
      <w:r>
        <w:rPr>
          <w:rFonts w:hint="eastAsia" w:ascii="华文仿宋" w:hAnsi="华文仿宋" w:cs="华文仿宋"/>
          <w:color w:val="000000"/>
        </w:rPr>
        <w:t>二、我方已悉知并关注了贵方在政府采购信息发布媒体（详见电子磋商文件第二章第三条中的“电子磋商文件的修改、澄清”）上发布的关于本项目的有关变更公告（包括但不限于对电子磋商文件做出的修改或澄清、答疑纪要，以及项目暂停、重启、延期、终止等）。</w:t>
      </w:r>
    </w:p>
    <w:p w14:paraId="7DD98588">
      <w:pPr>
        <w:pStyle w:val="26"/>
        <w:spacing w:line="500" w:lineRule="exact"/>
        <w:ind w:firstLine="567"/>
        <w:rPr>
          <w:rFonts w:ascii="华文仿宋" w:hAnsi="华文仿宋" w:cs="华文仿宋"/>
          <w:color w:val="000000"/>
        </w:rPr>
      </w:pPr>
      <w:r>
        <w:rPr>
          <w:rFonts w:hint="eastAsia" w:ascii="华文仿宋" w:hAnsi="华文仿宋" w:cs="华文仿宋"/>
          <w:color w:val="000000"/>
        </w:rPr>
        <w:t>三、我方同意向贵方提供与本磋商有关的任何证明材料，保证所提交的证明材料真实、合法、有效。我方理解最低价不是成交的唯一条件，并尊重磋商小组的评审结果。</w:t>
      </w:r>
    </w:p>
    <w:p w14:paraId="0531E673">
      <w:pPr>
        <w:pStyle w:val="26"/>
        <w:spacing w:line="500" w:lineRule="exact"/>
        <w:ind w:firstLine="567"/>
        <w:rPr>
          <w:rFonts w:ascii="华文仿宋" w:hAnsi="华文仿宋" w:cs="华文仿宋"/>
          <w:color w:val="000000"/>
        </w:rPr>
      </w:pPr>
      <w:r>
        <w:rPr>
          <w:rFonts w:hint="eastAsia" w:ascii="华文仿宋" w:hAnsi="华文仿宋" w:cs="华文仿宋"/>
          <w:color w:val="000000"/>
        </w:rPr>
        <w:t>四、我方愿意按照电子磋商文件中的一切要求，完成本项目合同责任和义务。</w:t>
      </w:r>
    </w:p>
    <w:p w14:paraId="00B93DB6">
      <w:pPr>
        <w:pStyle w:val="26"/>
        <w:spacing w:line="500" w:lineRule="exact"/>
        <w:ind w:firstLine="567"/>
        <w:rPr>
          <w:rFonts w:ascii="华文仿宋" w:hAnsi="华文仿宋" w:cs="华文仿宋"/>
          <w:color w:val="000000"/>
        </w:rPr>
      </w:pPr>
      <w:r>
        <w:rPr>
          <w:rFonts w:hint="eastAsia" w:ascii="华文仿宋" w:hAnsi="华文仿宋" w:cs="华文仿宋"/>
          <w:color w:val="000000"/>
        </w:rPr>
        <w:t>五、我方提交的</w:t>
      </w:r>
      <w:r>
        <w:rPr>
          <w:rFonts w:hint="eastAsia" w:ascii="华文仿宋" w:hAnsi="华文仿宋" w:cs="华文仿宋"/>
          <w:b/>
          <w:color w:val="000000"/>
        </w:rPr>
        <w:t>电子响应文件</w:t>
      </w:r>
      <w:r>
        <w:rPr>
          <w:rFonts w:hint="eastAsia" w:ascii="华文仿宋" w:hAnsi="华文仿宋" w:cs="华文仿宋"/>
          <w:b/>
          <w:color w:val="000000"/>
          <w:u w:val="single"/>
        </w:rPr>
        <w:t>1</w:t>
      </w:r>
      <w:r>
        <w:rPr>
          <w:rFonts w:hint="eastAsia" w:ascii="华文仿宋" w:hAnsi="华文仿宋" w:cs="华文仿宋"/>
          <w:b/>
          <w:color w:val="000000"/>
        </w:rPr>
        <w:t>份</w:t>
      </w:r>
      <w:r>
        <w:rPr>
          <w:rFonts w:hint="eastAsia" w:ascii="华文仿宋" w:hAnsi="华文仿宋" w:cs="华文仿宋"/>
          <w:b/>
          <w:bCs/>
          <w:color w:val="000000"/>
        </w:rPr>
        <w:t>。</w:t>
      </w:r>
    </w:p>
    <w:p w14:paraId="49617742">
      <w:pPr>
        <w:pStyle w:val="26"/>
        <w:spacing w:line="500" w:lineRule="exact"/>
        <w:ind w:firstLine="567"/>
        <w:rPr>
          <w:rFonts w:ascii="华文仿宋" w:hAnsi="华文仿宋" w:cs="华文仿宋"/>
          <w:color w:val="000000"/>
        </w:rPr>
      </w:pPr>
      <w:r>
        <w:rPr>
          <w:rFonts w:hint="eastAsia" w:ascii="华文仿宋" w:hAnsi="华文仿宋" w:cs="华文仿宋"/>
          <w:color w:val="000000"/>
        </w:rPr>
        <w:t>六、开标后在规定的投标有效期内撤回投标，我们愿接受政府采购的有关处罚决定。</w:t>
      </w:r>
    </w:p>
    <w:p w14:paraId="1C9C334F">
      <w:pPr>
        <w:pStyle w:val="26"/>
        <w:spacing w:line="500" w:lineRule="exact"/>
        <w:ind w:firstLine="567"/>
        <w:rPr>
          <w:rFonts w:ascii="华文仿宋" w:hAnsi="华文仿宋" w:cs="华文仿宋"/>
          <w:color w:val="000000"/>
        </w:rPr>
      </w:pPr>
      <w:r>
        <w:rPr>
          <w:rFonts w:hint="eastAsia" w:ascii="华文仿宋" w:hAnsi="华文仿宋" w:cs="华文仿宋"/>
          <w:color w:val="000000"/>
        </w:rPr>
        <w:t>七、我方的电子响应文件在开标之日起</w:t>
      </w:r>
      <w:r>
        <w:rPr>
          <w:rFonts w:hint="eastAsia" w:ascii="仿宋" w:hAnsi="仿宋" w:eastAsia="仿宋" w:cs="仿宋"/>
          <w:b/>
          <w:bCs/>
          <w:color w:val="000000"/>
          <w:u w:val="single"/>
        </w:rPr>
        <w:t>90</w:t>
      </w:r>
      <w:r>
        <w:rPr>
          <w:rFonts w:hint="eastAsia" w:ascii="华文仿宋" w:hAnsi="华文仿宋" w:cs="华文仿宋"/>
          <w:color w:val="000000"/>
        </w:rPr>
        <w:t>个日历日内有效，如成交，延长至合同执行完毕时止。</w:t>
      </w:r>
    </w:p>
    <w:p w14:paraId="3B375CD4">
      <w:pPr>
        <w:pStyle w:val="26"/>
        <w:spacing w:line="500" w:lineRule="exact"/>
        <w:ind w:firstLine="567"/>
        <w:rPr>
          <w:rFonts w:ascii="华文仿宋" w:hAnsi="华文仿宋" w:cs="华文仿宋"/>
          <w:color w:val="000000"/>
        </w:rPr>
      </w:pPr>
      <w:r>
        <w:rPr>
          <w:rFonts w:hint="eastAsia" w:ascii="华文仿宋" w:hAnsi="华文仿宋" w:cs="华文仿宋"/>
          <w:color w:val="000000"/>
        </w:rPr>
        <w:t>八、所有关于此次磋商活动的函电，请按下列地址联系：</w:t>
      </w:r>
    </w:p>
    <w:p w14:paraId="0052614E">
      <w:pPr>
        <w:pStyle w:val="26"/>
        <w:spacing w:line="500" w:lineRule="exact"/>
        <w:ind w:firstLine="567"/>
        <w:rPr>
          <w:rFonts w:ascii="华文仿宋" w:hAnsi="华文仿宋" w:cs="华文仿宋"/>
          <w:color w:val="000000"/>
        </w:rPr>
      </w:pPr>
    </w:p>
    <w:p w14:paraId="60E6E7F2">
      <w:pPr>
        <w:pStyle w:val="26"/>
        <w:spacing w:line="500" w:lineRule="exact"/>
        <w:ind w:firstLine="567"/>
        <w:rPr>
          <w:rFonts w:ascii="华文仿宋" w:hAnsi="华文仿宋" w:cs="华文仿宋"/>
          <w:color w:val="000000"/>
        </w:rPr>
      </w:pPr>
    </w:p>
    <w:p w14:paraId="4F7FD1DC">
      <w:pPr>
        <w:pStyle w:val="26"/>
        <w:spacing w:line="500" w:lineRule="exact"/>
        <w:ind w:firstLine="567"/>
        <w:rPr>
          <w:rFonts w:ascii="华文仿宋" w:hAnsi="华文仿宋" w:cs="华文仿宋"/>
          <w:color w:val="000000"/>
        </w:rPr>
      </w:pPr>
    </w:p>
    <w:p w14:paraId="13837EE1">
      <w:pPr>
        <w:pStyle w:val="26"/>
        <w:spacing w:line="500" w:lineRule="exact"/>
        <w:ind w:firstLine="567"/>
        <w:rPr>
          <w:rFonts w:ascii="华文仿宋" w:hAnsi="华文仿宋" w:cs="华文仿宋"/>
          <w:color w:val="000000"/>
        </w:rPr>
      </w:pPr>
    </w:p>
    <w:p w14:paraId="5996741A">
      <w:pPr>
        <w:pStyle w:val="26"/>
        <w:spacing w:line="500" w:lineRule="exact"/>
        <w:ind w:firstLine="567"/>
        <w:rPr>
          <w:rFonts w:ascii="华文仿宋" w:hAnsi="华文仿宋" w:cs="华文仿宋"/>
          <w:color w:val="000000"/>
        </w:rPr>
      </w:pPr>
    </w:p>
    <w:p w14:paraId="250E88BB">
      <w:pPr>
        <w:pStyle w:val="26"/>
        <w:spacing w:line="500" w:lineRule="exact"/>
        <w:ind w:firstLine="567"/>
        <w:rPr>
          <w:rFonts w:ascii="华文仿宋" w:hAnsi="华文仿宋" w:cs="华文仿宋"/>
          <w:color w:val="000000"/>
        </w:rPr>
      </w:pPr>
      <w:r>
        <w:rPr>
          <w:rFonts w:hint="eastAsia" w:ascii="华文仿宋" w:hAnsi="华文仿宋" w:cs="华文仿宋"/>
          <w:color w:val="000000"/>
        </w:rPr>
        <w:t>供应商：名称（加盖公章）</w:t>
      </w:r>
    </w:p>
    <w:p w14:paraId="73FBAFED">
      <w:pPr>
        <w:pStyle w:val="26"/>
        <w:spacing w:line="500" w:lineRule="exact"/>
        <w:ind w:firstLine="567"/>
        <w:rPr>
          <w:rFonts w:ascii="华文仿宋" w:hAnsi="华文仿宋" w:cs="华文仿宋"/>
          <w:color w:val="000000"/>
        </w:rPr>
      </w:pPr>
      <w:r>
        <w:rPr>
          <w:rFonts w:hint="eastAsia" w:ascii="华文仿宋" w:hAnsi="华文仿宋" w:cs="华文仿宋"/>
          <w:color w:val="000000"/>
        </w:rPr>
        <w:t>地址：</w:t>
      </w:r>
    </w:p>
    <w:p w14:paraId="043BEB9B">
      <w:pPr>
        <w:pStyle w:val="26"/>
        <w:spacing w:line="500" w:lineRule="exact"/>
        <w:ind w:firstLine="567"/>
        <w:rPr>
          <w:rFonts w:ascii="华文仿宋" w:hAnsi="华文仿宋" w:cs="华文仿宋"/>
          <w:color w:val="000000"/>
        </w:rPr>
      </w:pPr>
      <w:r>
        <w:rPr>
          <w:rFonts w:hint="eastAsia" w:ascii="华文仿宋" w:hAnsi="华文仿宋" w:cs="华文仿宋"/>
          <w:color w:val="000000"/>
        </w:rPr>
        <w:t>开户银行：</w:t>
      </w:r>
    </w:p>
    <w:p w14:paraId="619BACFE">
      <w:pPr>
        <w:pStyle w:val="26"/>
        <w:spacing w:line="500" w:lineRule="exact"/>
        <w:ind w:firstLine="567"/>
        <w:rPr>
          <w:rFonts w:ascii="华文仿宋" w:hAnsi="华文仿宋" w:cs="华文仿宋"/>
          <w:color w:val="000000"/>
        </w:rPr>
      </w:pPr>
      <w:r>
        <w:rPr>
          <w:rFonts w:hint="eastAsia" w:ascii="华文仿宋" w:hAnsi="华文仿宋" w:cs="华文仿宋"/>
          <w:color w:val="000000"/>
        </w:rPr>
        <w:t>账号：</w:t>
      </w:r>
    </w:p>
    <w:p w14:paraId="25CB9A18">
      <w:pPr>
        <w:pStyle w:val="26"/>
        <w:spacing w:line="500" w:lineRule="exact"/>
        <w:ind w:firstLine="567"/>
        <w:rPr>
          <w:rFonts w:ascii="华文仿宋" w:hAnsi="华文仿宋" w:cs="华文仿宋"/>
          <w:color w:val="000000"/>
        </w:rPr>
      </w:pPr>
      <w:r>
        <w:rPr>
          <w:rFonts w:hint="eastAsia" w:ascii="华文仿宋" w:hAnsi="华文仿宋" w:cs="华文仿宋"/>
          <w:color w:val="000000"/>
        </w:rPr>
        <w:t>电话：</w:t>
      </w:r>
    </w:p>
    <w:p w14:paraId="6DD58624">
      <w:pPr>
        <w:pStyle w:val="26"/>
        <w:spacing w:line="500" w:lineRule="exact"/>
        <w:ind w:firstLine="567"/>
        <w:rPr>
          <w:rFonts w:ascii="华文仿宋" w:hAnsi="华文仿宋" w:cs="华文仿宋"/>
          <w:color w:val="000000"/>
        </w:rPr>
      </w:pPr>
      <w:r>
        <w:rPr>
          <w:rFonts w:hint="eastAsia" w:ascii="华文仿宋" w:hAnsi="华文仿宋" w:cs="华文仿宋"/>
          <w:color w:val="000000"/>
        </w:rPr>
        <w:t>传真：</w:t>
      </w:r>
    </w:p>
    <w:p w14:paraId="2EEE5ADD">
      <w:pPr>
        <w:pStyle w:val="26"/>
        <w:spacing w:line="500" w:lineRule="exact"/>
        <w:ind w:firstLine="567"/>
        <w:rPr>
          <w:rFonts w:ascii="华文仿宋" w:hAnsi="华文仿宋" w:cs="华文仿宋"/>
          <w:color w:val="000000"/>
        </w:rPr>
      </w:pPr>
      <w:r>
        <w:rPr>
          <w:rFonts w:hint="eastAsia" w:ascii="华文仿宋" w:hAnsi="华文仿宋" w:cs="华文仿宋"/>
          <w:color w:val="000000"/>
        </w:rPr>
        <w:t>邮编：</w:t>
      </w:r>
    </w:p>
    <w:p w14:paraId="43B6FDB2">
      <w:pPr>
        <w:pStyle w:val="26"/>
        <w:spacing w:line="500" w:lineRule="exact"/>
        <w:ind w:firstLine="567"/>
        <w:rPr>
          <w:rFonts w:ascii="华文仿宋" w:hAnsi="华文仿宋" w:cs="华文仿宋"/>
          <w:b/>
          <w:bCs/>
          <w:color w:val="000000"/>
        </w:rPr>
      </w:pPr>
      <w:r>
        <w:rPr>
          <w:rFonts w:hint="eastAsia" w:ascii="华文仿宋" w:hAnsi="华文仿宋" w:cs="华文仿宋"/>
          <w:color w:val="000000"/>
        </w:rPr>
        <w:t xml:space="preserve">电子邮箱：           </w:t>
      </w:r>
    </w:p>
    <w:p w14:paraId="39D75617">
      <w:pPr>
        <w:pStyle w:val="26"/>
        <w:spacing w:line="500" w:lineRule="exact"/>
        <w:ind w:firstLine="567"/>
        <w:rPr>
          <w:rFonts w:ascii="华文仿宋" w:hAnsi="华文仿宋" w:cs="华文仿宋"/>
          <w:color w:val="000000"/>
        </w:rPr>
      </w:pPr>
      <w:r>
        <w:rPr>
          <w:rFonts w:hint="eastAsia" w:ascii="华文仿宋" w:hAnsi="华文仿宋" w:cs="华文仿宋"/>
          <w:color w:val="000000"/>
        </w:rPr>
        <w:t>日期：　　年　月　日</w:t>
      </w:r>
    </w:p>
    <w:p w14:paraId="6593A488">
      <w:pPr>
        <w:pStyle w:val="26"/>
        <w:ind w:firstLine="0" w:firstLineChars="0"/>
        <w:rPr>
          <w:rFonts w:ascii="华文仿宋" w:hAnsi="华文仿宋" w:cs="华文仿宋"/>
          <w:color w:val="000000"/>
          <w:sz w:val="36"/>
        </w:rPr>
      </w:pPr>
    </w:p>
    <w:p w14:paraId="6EA2A3D2">
      <w:pPr>
        <w:pStyle w:val="26"/>
        <w:ind w:firstLine="0" w:firstLineChars="0"/>
        <w:rPr>
          <w:color w:val="000000"/>
          <w:sz w:val="36"/>
        </w:rPr>
      </w:pPr>
    </w:p>
    <w:p w14:paraId="2120EE2A">
      <w:pPr>
        <w:pStyle w:val="26"/>
        <w:ind w:firstLine="0" w:firstLineChars="0"/>
        <w:rPr>
          <w:color w:val="000000"/>
          <w:sz w:val="24"/>
          <w:szCs w:val="24"/>
        </w:rPr>
      </w:pPr>
    </w:p>
    <w:p w14:paraId="6781B77E">
      <w:pPr>
        <w:pStyle w:val="26"/>
        <w:ind w:firstLine="0" w:firstLineChars="0"/>
        <w:rPr>
          <w:rFonts w:ascii="宋体" w:hAnsi="宋体" w:eastAsia="宋体" w:cs="宋体"/>
          <w:color w:val="000000"/>
          <w:sz w:val="21"/>
          <w:szCs w:val="21"/>
        </w:rPr>
      </w:pPr>
      <w:r>
        <w:rPr>
          <w:rFonts w:hint="eastAsia" w:ascii="宋体" w:hAnsi="宋体" w:eastAsia="宋体" w:cs="宋体"/>
          <w:color w:val="000000"/>
          <w:sz w:val="21"/>
          <w:szCs w:val="21"/>
        </w:rPr>
        <w:t>备注：1.项目不分标段的，第___标段空白处填写“/”。</w:t>
      </w:r>
    </w:p>
    <w:p w14:paraId="00DDE024">
      <w:pPr>
        <w:pStyle w:val="26"/>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2.除可填报项目外，对本响应函的任何实质性内容修改将被视为非实质性响应，在评审时将其视为无效响应。</w:t>
      </w:r>
    </w:p>
    <w:p w14:paraId="37B4B088">
      <w:pPr>
        <w:pStyle w:val="30"/>
        <w:ind w:firstLine="609"/>
        <w:jc w:val="both"/>
        <w:outlineLvl w:val="9"/>
        <w:rPr>
          <w:rFonts w:ascii="仿宋" w:hAnsi="仿宋" w:eastAsia="仿宋" w:cs="仿宋"/>
          <w:bCs w:val="0"/>
          <w:color w:val="000000"/>
        </w:rPr>
      </w:pPr>
      <w:bookmarkStart w:id="272" w:name="_Toc24876"/>
      <w:bookmarkStart w:id="273" w:name="_Toc23660"/>
      <w:bookmarkStart w:id="274" w:name="_Toc6921"/>
    </w:p>
    <w:p w14:paraId="6783D9C4">
      <w:pPr>
        <w:pStyle w:val="30"/>
        <w:ind w:firstLine="609"/>
        <w:jc w:val="both"/>
        <w:outlineLvl w:val="9"/>
        <w:rPr>
          <w:rFonts w:ascii="仿宋" w:hAnsi="仿宋" w:eastAsia="仿宋" w:cs="仿宋"/>
          <w:bCs w:val="0"/>
          <w:color w:val="000000"/>
        </w:rPr>
      </w:pPr>
    </w:p>
    <w:p w14:paraId="5B0E6964">
      <w:pPr>
        <w:pStyle w:val="30"/>
        <w:ind w:firstLine="609"/>
        <w:jc w:val="both"/>
        <w:outlineLvl w:val="9"/>
        <w:rPr>
          <w:rFonts w:ascii="仿宋" w:hAnsi="仿宋" w:eastAsia="仿宋" w:cs="仿宋"/>
          <w:bCs w:val="0"/>
          <w:color w:val="000000"/>
        </w:rPr>
      </w:pPr>
    </w:p>
    <w:p w14:paraId="5FE17307">
      <w:pPr>
        <w:pStyle w:val="30"/>
        <w:ind w:firstLine="609"/>
        <w:jc w:val="both"/>
        <w:outlineLvl w:val="9"/>
        <w:rPr>
          <w:rFonts w:ascii="仿宋" w:hAnsi="仿宋" w:eastAsia="仿宋" w:cs="仿宋"/>
          <w:bCs w:val="0"/>
          <w:color w:val="000000"/>
        </w:rPr>
      </w:pPr>
    </w:p>
    <w:p w14:paraId="657EE0B5">
      <w:pPr>
        <w:pStyle w:val="30"/>
        <w:ind w:firstLine="609"/>
        <w:jc w:val="both"/>
        <w:outlineLvl w:val="9"/>
        <w:rPr>
          <w:rFonts w:ascii="仿宋" w:hAnsi="仿宋" w:eastAsia="仿宋" w:cs="仿宋"/>
          <w:bCs w:val="0"/>
          <w:color w:val="000000"/>
        </w:rPr>
      </w:pPr>
    </w:p>
    <w:p w14:paraId="5910FCD6">
      <w:pPr>
        <w:pStyle w:val="30"/>
        <w:ind w:firstLine="609"/>
        <w:jc w:val="both"/>
        <w:outlineLvl w:val="9"/>
        <w:rPr>
          <w:rFonts w:ascii="仿宋" w:hAnsi="仿宋" w:eastAsia="仿宋" w:cs="仿宋"/>
          <w:bCs w:val="0"/>
          <w:color w:val="000000"/>
        </w:rPr>
      </w:pPr>
    </w:p>
    <w:p w14:paraId="42AD5954">
      <w:pPr>
        <w:pStyle w:val="30"/>
        <w:ind w:firstLine="609"/>
        <w:jc w:val="both"/>
        <w:outlineLvl w:val="9"/>
        <w:rPr>
          <w:rFonts w:ascii="仿宋" w:hAnsi="仿宋" w:eastAsia="仿宋" w:cs="仿宋"/>
          <w:bCs w:val="0"/>
          <w:color w:val="000000"/>
        </w:rPr>
      </w:pPr>
    </w:p>
    <w:p w14:paraId="34D98B6D">
      <w:pPr>
        <w:pStyle w:val="30"/>
        <w:ind w:firstLine="609"/>
        <w:jc w:val="both"/>
        <w:outlineLvl w:val="9"/>
        <w:rPr>
          <w:rFonts w:ascii="仿宋" w:hAnsi="仿宋" w:eastAsia="仿宋" w:cs="仿宋"/>
          <w:bCs w:val="0"/>
          <w:color w:val="000000"/>
        </w:rPr>
      </w:pPr>
    </w:p>
    <w:bookmarkEnd w:id="272"/>
    <w:bookmarkEnd w:id="273"/>
    <w:bookmarkEnd w:id="274"/>
    <w:p w14:paraId="6A698553">
      <w:pPr>
        <w:spacing w:line="500" w:lineRule="exact"/>
        <w:ind w:firstLine="6460" w:firstLineChars="2000"/>
        <w:rPr>
          <w:rFonts w:ascii="宋体" w:hAnsi="宋体"/>
          <w:b/>
          <w:bCs/>
          <w:color w:val="000000"/>
          <w:sz w:val="32"/>
          <w:szCs w:val="32"/>
        </w:rPr>
      </w:pPr>
    </w:p>
    <w:p w14:paraId="0103CCF0">
      <w:pPr>
        <w:spacing w:line="500" w:lineRule="exact"/>
        <w:rPr>
          <w:rFonts w:ascii="宋体" w:hAnsi="宋体"/>
          <w:b/>
          <w:bCs/>
          <w:color w:val="000000"/>
          <w:sz w:val="32"/>
          <w:szCs w:val="32"/>
        </w:rPr>
        <w:sectPr>
          <w:footerReference r:id="rId10" w:type="first"/>
          <w:headerReference r:id="rId8" w:type="default"/>
          <w:footerReference r:id="rId9" w:type="default"/>
          <w:pgSz w:w="11906" w:h="16838"/>
          <w:pgMar w:top="1304" w:right="1417" w:bottom="1304" w:left="1417" w:header="850" w:footer="624" w:gutter="0"/>
          <w:pgNumType w:start="1"/>
          <w:cols w:space="720" w:num="1"/>
          <w:docGrid w:type="linesAndChars" w:linePitch="381" w:charSpace="704"/>
        </w:sectPr>
      </w:pPr>
    </w:p>
    <w:p w14:paraId="50CF354A">
      <w:pPr>
        <w:pStyle w:val="30"/>
        <w:numPr>
          <w:ilvl w:val="0"/>
          <w:numId w:val="7"/>
        </w:numPr>
        <w:ind w:firstLine="609"/>
        <w:jc w:val="both"/>
        <w:outlineLvl w:val="2"/>
        <w:rPr>
          <w:color w:val="000000"/>
          <w:szCs w:val="30"/>
        </w:rPr>
      </w:pPr>
      <w:bookmarkStart w:id="275" w:name="_Toc10520"/>
      <w:r>
        <w:rPr>
          <w:rFonts w:hint="eastAsia" w:ascii="仿宋" w:hAnsi="仿宋" w:eastAsia="仿宋" w:cs="仿宋"/>
          <w:color w:val="000000"/>
        </w:rPr>
        <w:t>落实的政府采购政策</w:t>
      </w:r>
    </w:p>
    <w:p w14:paraId="65EF9845">
      <w:pPr>
        <w:pStyle w:val="32"/>
        <w:ind w:firstLine="567"/>
        <w:outlineLvl w:val="9"/>
        <w:rPr>
          <w:rFonts w:ascii="华文仿宋" w:hAnsi="华文仿宋" w:cs="华文仿宋"/>
          <w:b w:val="0"/>
          <w:bCs w:val="0"/>
          <w:sz w:val="28"/>
          <w:szCs w:val="28"/>
        </w:rPr>
      </w:pPr>
      <w:r>
        <w:rPr>
          <w:rFonts w:hint="eastAsia" w:ascii="华文仿宋" w:hAnsi="华文仿宋" w:cs="华文仿宋"/>
          <w:b w:val="0"/>
          <w:bCs w:val="0"/>
          <w:color w:val="000000"/>
          <w:sz w:val="28"/>
          <w:szCs w:val="28"/>
        </w:rPr>
        <w:t>本项目为专门面向中小企业项目，供应商应为小型、微型企业或监狱企业或残疾人福利性单位。供应商为小型、微型企业的，提供《中小企业声明函》，且小型、微型企业的划分标准所属</w:t>
      </w:r>
      <w:r>
        <w:rPr>
          <w:rFonts w:hint="eastAsia" w:ascii="华文仿宋" w:hAnsi="华文仿宋" w:cs="华文仿宋"/>
          <w:b w:val="0"/>
          <w:bCs w:val="0"/>
          <w:sz w:val="28"/>
          <w:szCs w:val="28"/>
        </w:rPr>
        <w:t>行业为</w:t>
      </w:r>
      <w:r>
        <w:rPr>
          <w:rFonts w:hint="eastAsia" w:ascii="华文仿宋" w:hAnsi="华文仿宋" w:cs="华文仿宋"/>
          <w:sz w:val="28"/>
          <w:szCs w:val="28"/>
          <w:u w:val="single"/>
          <w:lang w:eastAsia="zh-CN"/>
        </w:rPr>
        <w:t>商务服务业</w:t>
      </w:r>
      <w:r>
        <w:rPr>
          <w:rFonts w:hint="eastAsia" w:ascii="华文仿宋" w:hAnsi="华文仿宋" w:cs="华文仿宋"/>
          <w:b w:val="0"/>
          <w:bCs w:val="0"/>
          <w:sz w:val="28"/>
          <w:szCs w:val="28"/>
        </w:rPr>
        <w:t>；供应商为监狱企业的，应提供监狱企业的证明文件；供应商为残疾人福利性单位的，应提供《残疾人福利性单位声明函》（</w:t>
      </w:r>
      <w:r>
        <w:rPr>
          <w:rFonts w:hint="eastAsia"/>
          <w:b w:val="0"/>
          <w:bCs w:val="0"/>
          <w:sz w:val="28"/>
          <w:szCs w:val="28"/>
        </w:rPr>
        <w:t>监狱企业或残疾人福利性单位视同小型、微型企业</w:t>
      </w:r>
      <w:r>
        <w:rPr>
          <w:rFonts w:hint="eastAsia" w:ascii="华文仿宋" w:hAnsi="华文仿宋" w:cs="华文仿宋"/>
          <w:b w:val="0"/>
          <w:bCs w:val="0"/>
          <w:sz w:val="28"/>
          <w:szCs w:val="28"/>
        </w:rPr>
        <w:t>）。</w:t>
      </w:r>
    </w:p>
    <w:p w14:paraId="799E265B">
      <w:pPr>
        <w:spacing w:line="500" w:lineRule="exact"/>
        <w:ind w:firstLine="566" w:firstLineChars="200"/>
        <w:rPr>
          <w:rFonts w:ascii="华文仿宋" w:hAnsi="华文仿宋" w:cs="华文仿宋"/>
          <w:b/>
          <w:bCs/>
        </w:rPr>
      </w:pPr>
      <w:r>
        <w:rPr>
          <w:rFonts w:hint="eastAsia" w:ascii="华文仿宋" w:hAnsi="华文仿宋" w:cs="华文仿宋"/>
          <w:b/>
          <w:bCs/>
        </w:rPr>
        <w:t>特别提醒：成交供应商的《中小企业声明函》或《残疾人福利性单位声明函》或监狱企业证明文件将随成交结果公告一同公布，接受社会监督。</w:t>
      </w:r>
    </w:p>
    <w:p w14:paraId="4E437541">
      <w:pPr>
        <w:pStyle w:val="32"/>
        <w:ind w:firstLine="567"/>
        <w:outlineLvl w:val="9"/>
        <w:rPr>
          <w:rFonts w:ascii="华文仿宋" w:hAnsi="华文仿宋" w:cs="华文仿宋"/>
          <w:b w:val="0"/>
          <w:bCs w:val="0"/>
          <w:sz w:val="28"/>
          <w:szCs w:val="28"/>
        </w:rPr>
      </w:pPr>
      <w:r>
        <w:rPr>
          <w:rFonts w:hint="eastAsia" w:ascii="华文仿宋" w:hAnsi="华文仿宋" w:cs="华文仿宋"/>
          <w:b w:val="0"/>
          <w:bCs w:val="0"/>
          <w:sz w:val="28"/>
          <w:szCs w:val="28"/>
        </w:rPr>
        <w:t>（一）关于中小企业判定</w:t>
      </w:r>
    </w:p>
    <w:p w14:paraId="15BA8FBF">
      <w:pPr>
        <w:spacing w:line="500" w:lineRule="exact"/>
        <w:ind w:firstLine="566" w:firstLineChars="200"/>
      </w:pPr>
      <w:r>
        <w:rPr>
          <w:rFonts w:hint="eastAsia" w:ascii="华文仿宋" w:hAnsi="华文仿宋" w:cs="华文仿宋"/>
        </w:rPr>
        <w:t>本项目采购标的对应的中小企业划分标准所属行业为</w:t>
      </w:r>
      <w:r>
        <w:rPr>
          <w:rFonts w:hint="eastAsia"/>
          <w:b/>
          <w:bCs/>
          <w:u w:val="single"/>
          <w:lang w:eastAsia="zh-CN"/>
        </w:rPr>
        <w:t>商务服务业</w:t>
      </w:r>
      <w:r>
        <w:rPr>
          <w:rFonts w:hint="eastAsia"/>
          <w:b/>
          <w:bCs/>
        </w:rPr>
        <w:t>。</w:t>
      </w:r>
    </w:p>
    <w:p w14:paraId="5FC5AAF8">
      <w:pPr>
        <w:spacing w:line="500" w:lineRule="exact"/>
        <w:ind w:firstLine="566" w:firstLineChars="200"/>
        <w:rPr>
          <w:rFonts w:ascii="华文仿宋" w:hAnsi="华文仿宋" w:cs="华文仿宋"/>
        </w:rPr>
      </w:pPr>
      <w:r>
        <w:rPr>
          <w:rFonts w:hint="eastAsia" w:ascii="华文仿宋" w:hAnsi="华文仿宋" w:cs="华文仿宋"/>
        </w:rPr>
        <w:t>各供应商可根据企业从业人员、营业收入、资产总额等指标，按照电子磋商文件约定的采购标的对应的中小企业划分标准所属行业和《中小</w:t>
      </w:r>
      <w:r>
        <w:rPr>
          <w:rFonts w:hint="eastAsia" w:ascii="华文仿宋" w:hAnsi="华文仿宋" w:cs="华文仿宋"/>
          <w:color w:val="000000"/>
        </w:rPr>
        <w:t>企业划型标准规定》（工信部联企业〔2011〕300号）进行自测，判断属于中型、小型还是微型企业。也可</w:t>
      </w:r>
      <w:r>
        <w:rPr>
          <w:rFonts w:hint="eastAsia" w:ascii="华文仿宋" w:hAnsi="华文仿宋" w:cs="华文仿宋"/>
        </w:rPr>
        <w:t>在微信小程序中搜索</w:t>
      </w:r>
      <w:r>
        <w:rPr>
          <w:rFonts w:hint="eastAsia" w:ascii="华文仿宋" w:hAnsi="华文仿宋" w:cs="华文仿宋"/>
          <w:color w:val="000000"/>
        </w:rPr>
        <w:t>中小</w:t>
      </w:r>
      <w:r>
        <w:rPr>
          <w:rFonts w:hint="eastAsia" w:ascii="华文仿宋" w:hAnsi="华文仿宋" w:cs="华文仿宋"/>
        </w:rPr>
        <w:t>企业规模类型自测小程序进行测算。</w:t>
      </w:r>
    </w:p>
    <w:p w14:paraId="73AC5F1D">
      <w:pPr>
        <w:spacing w:line="500" w:lineRule="exact"/>
        <w:ind w:firstLine="566" w:firstLineChars="200"/>
        <w:rPr>
          <w:rFonts w:ascii="华文仿宋" w:hAnsi="华文仿宋" w:cs="华文仿宋"/>
          <w:color w:val="000000"/>
        </w:rPr>
      </w:pPr>
    </w:p>
    <w:p w14:paraId="06043C61">
      <w:pPr>
        <w:pageBreakBefore/>
        <w:widowControl w:val="0"/>
        <w:spacing w:before="190" w:beforeLines="50" w:after="190" w:afterLines="50" w:line="500" w:lineRule="exact"/>
        <w:jc w:val="center"/>
        <w:rPr>
          <w:rFonts w:ascii="华文仿宋" w:hAnsi="华文仿宋" w:cs="华文仿宋"/>
          <w:b/>
          <w:color w:val="000000"/>
          <w:kern w:val="0"/>
        </w:rPr>
      </w:pPr>
      <w:r>
        <w:rPr>
          <w:rFonts w:hint="eastAsia" w:ascii="华文仿宋" w:hAnsi="华文仿宋" w:cs="华文仿宋"/>
          <w:b/>
          <w:color w:val="000000"/>
          <w:kern w:val="0"/>
        </w:rPr>
        <w:t>中小企业声明函</w:t>
      </w:r>
    </w:p>
    <w:p w14:paraId="18FD5AFC">
      <w:pPr>
        <w:spacing w:line="500" w:lineRule="exact"/>
        <w:ind w:firstLine="566" w:firstLineChars="200"/>
        <w:rPr>
          <w:rFonts w:ascii="华文仿宋" w:hAnsi="华文仿宋" w:cs="华文仿宋"/>
        </w:rPr>
      </w:pPr>
      <w:r>
        <w:rPr>
          <w:rFonts w:hint="eastAsia" w:ascii="华文仿宋" w:hAnsi="华文仿宋" w:cs="华文仿宋"/>
          <w:kern w:val="0"/>
        </w:rPr>
        <w:t>本公司郑重声明，根据《政府采购促进中小企业发展管理办法》（财库</w:t>
      </w:r>
      <w:r>
        <w:rPr>
          <w:rFonts w:hint="eastAsia" w:ascii="仿宋" w:hAnsi="仿宋" w:eastAsia="仿宋" w:cs="仿宋"/>
          <w:kern w:val="0"/>
        </w:rPr>
        <w:t>﹝2020﹞46</w:t>
      </w:r>
      <w:r>
        <w:rPr>
          <w:rFonts w:hint="eastAsia" w:ascii="华文仿宋" w:hAnsi="华文仿宋" w:cs="华文仿宋"/>
          <w:kern w:val="0"/>
        </w:rPr>
        <w:t>号）的规定，本公司参加延安市公共资源交易中心（延安市市直单位政府采购中心）组织的</w:t>
      </w:r>
      <w:r>
        <w:rPr>
          <w:rFonts w:hint="eastAsia" w:ascii="华文仿宋" w:hAnsi="华文仿宋" w:cs="华文仿宋"/>
          <w:iCs/>
          <w:kern w:val="0"/>
          <w:u w:val="single"/>
        </w:rPr>
        <w:t>（项目名称）</w:t>
      </w:r>
      <w:r>
        <w:rPr>
          <w:rFonts w:hint="eastAsia" w:ascii="华文仿宋" w:hAnsi="华文仿宋" w:cs="华文仿宋"/>
          <w:iCs/>
          <w:kern w:val="0"/>
        </w:rPr>
        <w:t>的</w:t>
      </w:r>
      <w:r>
        <w:rPr>
          <w:rFonts w:hint="eastAsia" w:ascii="华文仿宋" w:hAnsi="华文仿宋" w:cs="华文仿宋"/>
          <w:kern w:val="0"/>
        </w:rPr>
        <w:t>采购活动，服务全部由符合政策要求的中小企业承接。相关企业的具体情况如下：</w:t>
      </w:r>
    </w:p>
    <w:p w14:paraId="4A5D2997">
      <w:pPr>
        <w:spacing w:line="500" w:lineRule="exact"/>
        <w:ind w:firstLine="566" w:firstLineChars="200"/>
        <w:jc w:val="left"/>
        <w:rPr>
          <w:rFonts w:ascii="华文仿宋" w:hAnsi="华文仿宋" w:cs="华文仿宋"/>
          <w:kern w:val="0"/>
        </w:rPr>
      </w:pPr>
      <w:r>
        <w:rPr>
          <w:rFonts w:hint="eastAsia" w:ascii="华文仿宋" w:hAnsi="华文仿宋" w:cs="华文仿宋"/>
          <w:kern w:val="0"/>
          <w:u w:val="single"/>
        </w:rPr>
        <w:t xml:space="preserve">（项目名称） </w:t>
      </w:r>
      <w:r>
        <w:rPr>
          <w:rFonts w:hint="eastAsia" w:ascii="华文仿宋" w:hAnsi="华文仿宋" w:cs="华文仿宋"/>
          <w:kern w:val="0"/>
        </w:rPr>
        <w:t>，属于</w:t>
      </w:r>
      <w:r>
        <w:rPr>
          <w:rFonts w:hint="eastAsia" w:ascii="华文仿宋" w:hAnsi="华文仿宋" w:cs="华文仿宋"/>
          <w:iCs/>
          <w:kern w:val="0"/>
          <w:u w:val="single"/>
        </w:rPr>
        <w:t xml:space="preserve">       </w:t>
      </w:r>
      <w:r>
        <w:rPr>
          <w:rFonts w:hint="eastAsia" w:ascii="华文仿宋" w:hAnsi="华文仿宋" w:cs="华文仿宋"/>
          <w:kern w:val="0"/>
        </w:rPr>
        <w:t>（电子磋商文件中明确的所属行业）；承接企业为</w:t>
      </w:r>
      <w:r>
        <w:rPr>
          <w:rFonts w:hint="eastAsia" w:ascii="华文仿宋" w:hAnsi="华文仿宋" w:cs="华文仿宋"/>
          <w:kern w:val="0"/>
          <w:u w:val="single"/>
        </w:rPr>
        <w:t>（企业名称）</w:t>
      </w:r>
      <w:r>
        <w:rPr>
          <w:rFonts w:hint="eastAsia" w:ascii="华文仿宋" w:hAnsi="华文仿宋" w:cs="华文仿宋"/>
          <w:kern w:val="0"/>
        </w:rPr>
        <w:t>，从业人员</w:t>
      </w:r>
      <w:r>
        <w:rPr>
          <w:rFonts w:hint="eastAsia" w:ascii="华文仿宋" w:hAnsi="华文仿宋" w:cs="华文仿宋"/>
          <w:iCs/>
          <w:kern w:val="0"/>
          <w:u w:val="single"/>
        </w:rPr>
        <w:t xml:space="preserve">       </w:t>
      </w:r>
      <w:r>
        <w:rPr>
          <w:rFonts w:hint="eastAsia" w:ascii="华文仿宋" w:hAnsi="华文仿宋" w:cs="华文仿宋"/>
          <w:kern w:val="0"/>
        </w:rPr>
        <w:t>人，营业收入为</w:t>
      </w:r>
      <w:r>
        <w:rPr>
          <w:rFonts w:hint="eastAsia" w:ascii="华文仿宋" w:hAnsi="华文仿宋" w:cs="华文仿宋"/>
          <w:iCs/>
          <w:kern w:val="0"/>
          <w:u w:val="single"/>
        </w:rPr>
        <w:t xml:space="preserve">       </w:t>
      </w:r>
      <w:r>
        <w:rPr>
          <w:rFonts w:hint="eastAsia" w:ascii="华文仿宋" w:hAnsi="华文仿宋" w:cs="华文仿宋"/>
          <w:kern w:val="0"/>
        </w:rPr>
        <w:t>万元，资产总额为</w:t>
      </w:r>
      <w:r>
        <w:rPr>
          <w:rFonts w:hint="eastAsia" w:ascii="华文仿宋" w:hAnsi="华文仿宋" w:cs="华文仿宋"/>
          <w:iCs/>
          <w:kern w:val="0"/>
          <w:u w:val="single"/>
        </w:rPr>
        <w:t xml:space="preserve">       </w:t>
      </w:r>
      <w:r>
        <w:rPr>
          <w:rFonts w:hint="eastAsia" w:ascii="华文仿宋" w:hAnsi="华文仿宋" w:cs="华文仿宋"/>
          <w:kern w:val="0"/>
        </w:rPr>
        <w:t>万元，属于</w:t>
      </w:r>
      <w:r>
        <w:rPr>
          <w:rFonts w:hint="eastAsia" w:ascii="华文仿宋" w:hAnsi="华文仿宋" w:cs="华文仿宋"/>
          <w:iCs/>
          <w:kern w:val="0"/>
          <w:u w:val="single"/>
        </w:rPr>
        <w:t xml:space="preserve">       </w:t>
      </w:r>
      <w:r>
        <w:rPr>
          <w:rFonts w:hint="eastAsia" w:ascii="华文仿宋" w:hAnsi="华文仿宋" w:cs="华文仿宋"/>
          <w:kern w:val="0"/>
        </w:rPr>
        <w:t>（中型企业、小型、微型企业）。</w:t>
      </w:r>
    </w:p>
    <w:p w14:paraId="59C6B05A">
      <w:pPr>
        <w:spacing w:line="500" w:lineRule="exact"/>
        <w:ind w:firstLine="566" w:firstLineChars="200"/>
        <w:jc w:val="left"/>
        <w:rPr>
          <w:rFonts w:ascii="华文仿宋" w:hAnsi="华文仿宋" w:cs="华文仿宋"/>
          <w:kern w:val="0"/>
        </w:rPr>
      </w:pPr>
      <w:r>
        <w:rPr>
          <w:rFonts w:hint="eastAsia" w:ascii="华文仿宋" w:hAnsi="华文仿宋" w:cs="华文仿宋"/>
          <w:kern w:val="0"/>
        </w:rPr>
        <w:t>以上企业，不属于大企业的分支机构，不存在控股股东为大企业的情形，也不存在与大企业的负责人为同一人的情形。</w:t>
      </w:r>
    </w:p>
    <w:p w14:paraId="6B721452">
      <w:pPr>
        <w:spacing w:line="500" w:lineRule="exact"/>
        <w:ind w:firstLine="566" w:firstLineChars="200"/>
        <w:jc w:val="left"/>
        <w:rPr>
          <w:rFonts w:ascii="华文仿宋" w:hAnsi="华文仿宋" w:cs="华文仿宋"/>
          <w:kern w:val="0"/>
        </w:rPr>
      </w:pPr>
      <w:r>
        <w:rPr>
          <w:rFonts w:hint="eastAsia" w:ascii="华文仿宋" w:hAnsi="华文仿宋" w:cs="华文仿宋"/>
          <w:kern w:val="0"/>
        </w:rPr>
        <w:t xml:space="preserve">本企业对上述声明内容的真实性负责。如有虚假，将依法承担相应责任。 </w:t>
      </w:r>
    </w:p>
    <w:p w14:paraId="5D2F9C0F">
      <w:pPr>
        <w:pStyle w:val="7"/>
      </w:pPr>
    </w:p>
    <w:p w14:paraId="6F49730B">
      <w:pPr>
        <w:spacing w:line="500" w:lineRule="exact"/>
        <w:ind w:firstLine="5094" w:firstLineChars="1800"/>
        <w:rPr>
          <w:rFonts w:ascii="华文仿宋" w:hAnsi="华文仿宋" w:cs="华文仿宋"/>
          <w:kern w:val="0"/>
        </w:rPr>
      </w:pPr>
    </w:p>
    <w:p w14:paraId="25C53249">
      <w:pPr>
        <w:spacing w:line="500" w:lineRule="exact"/>
        <w:ind w:firstLine="5943" w:firstLineChars="2100"/>
        <w:rPr>
          <w:rFonts w:ascii="华文仿宋" w:hAnsi="华文仿宋" w:cs="华文仿宋"/>
          <w:kern w:val="0"/>
        </w:rPr>
      </w:pPr>
      <w:r>
        <w:rPr>
          <w:rFonts w:hint="eastAsia" w:ascii="华文仿宋" w:hAnsi="华文仿宋" w:cs="华文仿宋"/>
          <w:kern w:val="0"/>
        </w:rPr>
        <w:t>供应商：</w:t>
      </w:r>
      <w:r>
        <w:rPr>
          <w:rFonts w:hint="eastAsia" w:ascii="华文仿宋" w:hAnsi="华文仿宋" w:cs="华文仿宋"/>
          <w:kern w:val="0"/>
          <w:u w:val="single"/>
        </w:rPr>
        <w:t>名称</w:t>
      </w:r>
      <w:r>
        <w:rPr>
          <w:rFonts w:hint="eastAsia" w:ascii="华文仿宋" w:hAnsi="华文仿宋" w:cs="华文仿宋"/>
          <w:kern w:val="0"/>
        </w:rPr>
        <w:t xml:space="preserve">（加盖公章） </w:t>
      </w:r>
    </w:p>
    <w:p w14:paraId="0B309FCB">
      <w:pPr>
        <w:spacing w:line="500" w:lineRule="exact"/>
        <w:ind w:firstLine="566" w:firstLineChars="200"/>
        <w:jc w:val="right"/>
        <w:rPr>
          <w:rFonts w:ascii="华文仿宋" w:hAnsi="华文仿宋" w:cs="华文仿宋"/>
          <w:color w:val="000000"/>
          <w:kern w:val="0"/>
        </w:rPr>
      </w:pPr>
      <w:r>
        <w:rPr>
          <w:rFonts w:hint="eastAsia" w:ascii="华文仿宋" w:hAnsi="华文仿宋" w:cs="华文仿宋"/>
          <w:kern w:val="0"/>
        </w:rPr>
        <w:t xml:space="preserve">              日期：    年  月  日</w:t>
      </w:r>
    </w:p>
    <w:p w14:paraId="5245028E">
      <w:pPr>
        <w:pStyle w:val="18"/>
        <w:spacing w:line="500" w:lineRule="exact"/>
        <w:ind w:firstLine="0" w:firstLineChars="0"/>
        <w:rPr>
          <w:rFonts w:ascii="仿宋" w:hAnsi="仿宋" w:eastAsia="仿宋" w:cs="仿宋"/>
          <w:b/>
          <w:bCs/>
          <w:color w:val="000000"/>
          <w:sz w:val="28"/>
          <w:szCs w:val="32"/>
        </w:rPr>
      </w:pPr>
    </w:p>
    <w:p w14:paraId="3756809A">
      <w:pPr>
        <w:tabs>
          <w:tab w:val="left" w:pos="5670"/>
        </w:tabs>
        <w:ind w:firstLine="426" w:firstLineChars="200"/>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rPr>
        <w:t>.填写前请认真阅读《工业和信息化部、国家统计局、国家发展和改革委员会、财政部关于印发中小企业划型标准规定的通知》（工信部联企业[2011]300号）和财政部、工业和信息化部关于印发《政府采购促进中小企业发展管理办法》的通知(财库[2020]46号)相关规定。</w:t>
      </w:r>
    </w:p>
    <w:p w14:paraId="5F11FCB9">
      <w:pPr>
        <w:pStyle w:val="18"/>
        <w:spacing w:line="400" w:lineRule="exact"/>
        <w:ind w:firstLine="426" w:firstLineChars="200"/>
        <w:rPr>
          <w:rFonts w:ascii="宋体" w:hAnsi="宋体" w:eastAsia="宋体" w:cs="宋体"/>
          <w:color w:val="000000"/>
          <w:sz w:val="21"/>
          <w:szCs w:val="21"/>
        </w:rPr>
      </w:pPr>
      <w:r>
        <w:rPr>
          <w:rFonts w:hint="eastAsia" w:ascii="宋体" w:hAnsi="宋体" w:eastAsia="宋体" w:cs="宋体"/>
          <w:color w:val="000000"/>
          <w:sz w:val="21"/>
          <w:szCs w:val="21"/>
        </w:rPr>
        <w:t>2.从业人员、营业收入、资产总额填报上一年度数据，无上一年度数据的新成立企业可不填报。</w:t>
      </w:r>
    </w:p>
    <w:p w14:paraId="6E7EC2A9">
      <w:pPr>
        <w:pStyle w:val="18"/>
        <w:ind w:firstLine="426" w:firstLineChars="200"/>
        <w:rPr>
          <w:rFonts w:ascii="宋体" w:hAnsi="宋体" w:eastAsia="宋体" w:cs="宋体"/>
          <w:sz w:val="21"/>
          <w:szCs w:val="21"/>
          <w:highlight w:val="yellow"/>
        </w:rPr>
      </w:pPr>
    </w:p>
    <w:p w14:paraId="1011282E">
      <w:pPr>
        <w:pStyle w:val="19"/>
        <w:ind w:firstLine="429"/>
        <w:rPr>
          <w:rFonts w:ascii="宋体" w:hAnsi="宋体" w:eastAsia="宋体" w:cs="宋体"/>
          <w:sz w:val="21"/>
          <w:szCs w:val="21"/>
          <w:highlight w:val="yellow"/>
        </w:rPr>
      </w:pPr>
    </w:p>
    <w:p w14:paraId="01552A29">
      <w:pPr>
        <w:rPr>
          <w:rFonts w:ascii="宋体" w:hAnsi="宋体" w:eastAsia="宋体" w:cs="宋体"/>
          <w:sz w:val="21"/>
          <w:szCs w:val="21"/>
          <w:highlight w:val="yellow"/>
        </w:rPr>
      </w:pPr>
    </w:p>
    <w:p w14:paraId="0142E194">
      <w:pPr>
        <w:pStyle w:val="5"/>
        <w:rPr>
          <w:rFonts w:ascii="宋体" w:hAnsi="宋体" w:eastAsia="宋体" w:cs="宋体"/>
          <w:sz w:val="21"/>
          <w:szCs w:val="21"/>
          <w:highlight w:val="yellow"/>
        </w:rPr>
      </w:pPr>
    </w:p>
    <w:p w14:paraId="14DCF7E7"/>
    <w:p w14:paraId="7D0D8F04">
      <w:pPr>
        <w:pStyle w:val="19"/>
        <w:ind w:firstLine="429"/>
        <w:rPr>
          <w:rFonts w:ascii="宋体" w:hAnsi="宋体" w:eastAsia="宋体" w:cs="宋体"/>
          <w:sz w:val="21"/>
          <w:szCs w:val="21"/>
        </w:rPr>
      </w:pPr>
    </w:p>
    <w:p w14:paraId="0F1594DF">
      <w:pPr>
        <w:tabs>
          <w:tab w:val="left" w:pos="5670"/>
        </w:tabs>
        <w:spacing w:line="500" w:lineRule="exact"/>
        <w:ind w:firstLine="566" w:firstLineChars="200"/>
        <w:jc w:val="center"/>
        <w:rPr>
          <w:b/>
          <w:bCs/>
        </w:rPr>
      </w:pPr>
    </w:p>
    <w:p w14:paraId="7644D0E6">
      <w:pPr>
        <w:tabs>
          <w:tab w:val="left" w:pos="5670"/>
        </w:tabs>
        <w:spacing w:line="500" w:lineRule="exact"/>
        <w:ind w:firstLine="566" w:firstLineChars="200"/>
        <w:jc w:val="center"/>
      </w:pPr>
      <w:r>
        <w:rPr>
          <w:rFonts w:hint="eastAsia"/>
          <w:b/>
          <w:bCs/>
        </w:rPr>
        <w:t>关于监狱企业的证明文件</w:t>
      </w:r>
    </w:p>
    <w:p w14:paraId="439E596B">
      <w:pPr>
        <w:spacing w:line="500" w:lineRule="exact"/>
        <w:ind w:firstLine="566" w:firstLineChars="200"/>
        <w:jc w:val="left"/>
      </w:pPr>
      <w:r>
        <w:rPr>
          <w:rFonts w:hint="eastAsia"/>
        </w:rPr>
        <w:t>根据财政部、司法部《关于政府采购支持监狱企业发展有关问题的通知》（财库〔</w:t>
      </w:r>
      <w:r>
        <w:rPr>
          <w:rFonts w:hint="eastAsia" w:ascii="仿宋" w:hAnsi="仿宋" w:eastAsia="仿宋" w:cs="仿宋"/>
        </w:rPr>
        <w:t>2014</w:t>
      </w:r>
      <w:r>
        <w:rPr>
          <w:rFonts w:hint="eastAsia"/>
        </w:rPr>
        <w:t>〕</w:t>
      </w:r>
      <w:r>
        <w:rPr>
          <w:rFonts w:hint="eastAsia" w:ascii="仿宋" w:hAnsi="仿宋" w:eastAsia="仿宋" w:cs="仿宋"/>
        </w:rPr>
        <w:t>68</w:t>
      </w:r>
      <w:r>
        <w:rPr>
          <w:rFonts w:hint="eastAsia"/>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D24DB8E">
      <w:pPr>
        <w:spacing w:line="500" w:lineRule="exact"/>
        <w:ind w:firstLine="566" w:firstLineChars="200"/>
        <w:jc w:val="left"/>
      </w:pPr>
      <w:r>
        <w:rPr>
          <w:rFonts w:hint="eastAsia"/>
        </w:rPr>
        <w:t>监狱企业参加政府采购活动时，应当提供由省级以上监狱管理局、戒毒管理局（含新疆生产建设兵团）出具的属于监狱企业的证明文件。</w:t>
      </w:r>
    </w:p>
    <w:p w14:paraId="6C2285CE">
      <w:pPr>
        <w:pStyle w:val="18"/>
        <w:ind w:firstLine="639" w:firstLineChars="300"/>
        <w:rPr>
          <w:rFonts w:ascii="宋体" w:hAnsi="宋体" w:eastAsia="宋体"/>
          <w:color w:val="000000"/>
          <w:sz w:val="21"/>
          <w:szCs w:val="21"/>
        </w:rPr>
      </w:pPr>
    </w:p>
    <w:p w14:paraId="22F635CB">
      <w:pPr>
        <w:pStyle w:val="18"/>
        <w:ind w:firstLine="639" w:firstLineChars="300"/>
        <w:rPr>
          <w:rFonts w:ascii="宋体" w:hAnsi="宋体" w:eastAsia="宋体"/>
          <w:color w:val="000000"/>
          <w:sz w:val="21"/>
          <w:szCs w:val="21"/>
        </w:rPr>
      </w:pPr>
    </w:p>
    <w:p w14:paraId="3B8BA78B">
      <w:pPr>
        <w:tabs>
          <w:tab w:val="left" w:pos="5670"/>
        </w:tabs>
        <w:spacing w:line="500" w:lineRule="exact"/>
        <w:ind w:firstLine="426" w:firstLineChars="200"/>
        <w:rPr>
          <w:color w:val="000000"/>
        </w:rPr>
      </w:pPr>
      <w:r>
        <w:rPr>
          <w:rFonts w:hint="eastAsia" w:ascii="宋体" w:hAnsi="宋体" w:eastAsia="宋体"/>
          <w:color w:val="000000"/>
          <w:sz w:val="21"/>
          <w:szCs w:val="21"/>
        </w:rPr>
        <w:br w:type="page"/>
      </w:r>
    </w:p>
    <w:p w14:paraId="557353CC">
      <w:pPr>
        <w:tabs>
          <w:tab w:val="left" w:pos="5670"/>
        </w:tabs>
        <w:spacing w:after="190" w:afterLines="50" w:line="500" w:lineRule="exact"/>
        <w:jc w:val="center"/>
        <w:rPr>
          <w:b/>
          <w:color w:val="000000"/>
          <w:sz w:val="30"/>
          <w:szCs w:val="30"/>
        </w:rPr>
      </w:pPr>
      <w:r>
        <w:rPr>
          <w:rFonts w:hint="eastAsia"/>
          <w:b/>
          <w:color w:val="000000"/>
          <w:sz w:val="30"/>
          <w:szCs w:val="30"/>
        </w:rPr>
        <w:t>残疾人福利性单位声明函（格式）</w:t>
      </w:r>
    </w:p>
    <w:p w14:paraId="42B56892">
      <w:pPr>
        <w:spacing w:line="500" w:lineRule="exact"/>
        <w:ind w:firstLine="566" w:firstLineChars="200"/>
        <w:jc w:val="left"/>
        <w:rPr>
          <w:color w:val="000000"/>
        </w:rPr>
      </w:pPr>
      <w:r>
        <w:rPr>
          <w:rFonts w:hint="eastAsia"/>
          <w:color w:val="000000"/>
        </w:rPr>
        <w:t>本单位郑重声明，根据《财政部 民政部 中国残疾人联合会关于促进残疾人就业政府采购政策的通知》（财库〔</w:t>
      </w:r>
      <w:r>
        <w:rPr>
          <w:rFonts w:hint="eastAsia" w:ascii="仿宋" w:hAnsi="仿宋" w:eastAsia="仿宋" w:cs="仿宋"/>
          <w:color w:val="000000"/>
        </w:rPr>
        <w:t>2017</w:t>
      </w:r>
      <w:r>
        <w:rPr>
          <w:rFonts w:hint="eastAsia"/>
          <w:color w:val="000000"/>
        </w:rPr>
        <w:t>〕</w:t>
      </w:r>
      <w:r>
        <w:rPr>
          <w:rFonts w:hint="eastAsia" w:ascii="仿宋" w:hAnsi="仿宋" w:eastAsia="仿宋" w:cs="仿宋"/>
          <w:color w:val="000000"/>
        </w:rPr>
        <w:t>141</w:t>
      </w:r>
      <w:r>
        <w:rPr>
          <w:rFonts w:hint="eastAsia"/>
          <w:color w:val="000000"/>
        </w:rPr>
        <w:t>号）的规定，本单位为符合条件的残疾人福利性单位，且本单位参加</w:t>
      </w:r>
      <w:r>
        <w:rPr>
          <w:rFonts w:hint="eastAsia"/>
          <w:color w:val="000000"/>
          <w:u w:val="single"/>
        </w:rPr>
        <w:t>（项目名称）</w:t>
      </w:r>
      <w:r>
        <w:rPr>
          <w:rFonts w:hint="eastAsia"/>
        </w:rPr>
        <w:t>（项目编号：</w:t>
      </w:r>
      <w:r>
        <w:rPr>
          <w:rFonts w:hint="eastAsia"/>
          <w:u w:val="single"/>
        </w:rPr>
        <w:t xml:space="preserve">       </w:t>
      </w:r>
      <w:r>
        <w:rPr>
          <w:rFonts w:hint="eastAsia"/>
        </w:rPr>
        <w:t>）第___标段采购活动提供本单位制造的货物（由本单位承担工程/提供服务），或者提供其他残疾人福利性单位制造的货</w:t>
      </w:r>
      <w:r>
        <w:rPr>
          <w:rFonts w:hint="eastAsia"/>
          <w:color w:val="000000"/>
        </w:rPr>
        <w:t>物（不包括使用非残疾人福利性单位注册商标的货物）。</w:t>
      </w:r>
    </w:p>
    <w:p w14:paraId="7B5D2524">
      <w:pPr>
        <w:spacing w:line="500" w:lineRule="exact"/>
        <w:ind w:firstLine="566" w:firstLineChars="200"/>
        <w:jc w:val="left"/>
        <w:rPr>
          <w:color w:val="000000"/>
        </w:rPr>
      </w:pPr>
      <w:r>
        <w:rPr>
          <w:rFonts w:hint="eastAsia"/>
          <w:color w:val="000000"/>
        </w:rPr>
        <w:t>本单位对上述声明的真实性负责。如有虚假，将依法承担相应责任。</w:t>
      </w:r>
    </w:p>
    <w:p w14:paraId="0CB840DE">
      <w:pPr>
        <w:spacing w:line="500" w:lineRule="exact"/>
        <w:ind w:firstLine="566" w:firstLineChars="200"/>
        <w:jc w:val="left"/>
        <w:rPr>
          <w:color w:val="000000"/>
        </w:rPr>
      </w:pPr>
    </w:p>
    <w:p w14:paraId="1AECB151">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rPr>
        <w:t>（加盖公章）</w:t>
      </w:r>
    </w:p>
    <w:p w14:paraId="1870D4BD">
      <w:pPr>
        <w:tabs>
          <w:tab w:val="left" w:pos="5670"/>
        </w:tabs>
        <w:spacing w:line="500" w:lineRule="exact"/>
        <w:ind w:firstLine="5377" w:firstLineChars="1900"/>
        <w:jc w:val="left"/>
        <w:rPr>
          <w:color w:val="000000"/>
        </w:rPr>
      </w:pPr>
      <w:r>
        <w:rPr>
          <w:rFonts w:hint="eastAsia" w:ascii="仿宋" w:hAnsi="仿宋" w:eastAsia="仿宋" w:cs="仿宋"/>
          <w:color w:val="000000"/>
        </w:rPr>
        <w:t>日期：　　年　月　日</w:t>
      </w:r>
    </w:p>
    <w:p w14:paraId="64DD6E32">
      <w:pPr>
        <w:tabs>
          <w:tab w:val="left" w:pos="5670"/>
        </w:tabs>
        <w:spacing w:line="240" w:lineRule="auto"/>
        <w:ind w:firstLine="566"/>
        <w:jc w:val="left"/>
        <w:rPr>
          <w:rFonts w:ascii="宋体" w:hAnsi="宋体" w:eastAsia="宋体" w:cs="宋体"/>
          <w:b/>
          <w:bCs/>
          <w:color w:val="000000"/>
          <w:sz w:val="21"/>
          <w:szCs w:val="21"/>
        </w:rPr>
      </w:pPr>
    </w:p>
    <w:p w14:paraId="28EE30CF">
      <w:pPr>
        <w:tabs>
          <w:tab w:val="left" w:pos="5670"/>
        </w:tabs>
        <w:spacing w:line="240" w:lineRule="auto"/>
        <w:ind w:firstLine="566"/>
        <w:jc w:val="left"/>
        <w:rPr>
          <w:rFonts w:ascii="宋体" w:hAnsi="宋体" w:eastAsia="宋体" w:cs="宋体"/>
          <w:b/>
          <w:bCs/>
          <w:color w:val="000000"/>
          <w:sz w:val="21"/>
          <w:szCs w:val="21"/>
        </w:rPr>
      </w:pPr>
      <w:r>
        <w:rPr>
          <w:rFonts w:hint="eastAsia" w:ascii="宋体" w:hAnsi="宋体" w:eastAsia="宋体" w:cs="宋体"/>
          <w:b/>
          <w:bCs/>
          <w:color w:val="000000"/>
          <w:sz w:val="21"/>
          <w:szCs w:val="21"/>
        </w:rPr>
        <w:t>备注：供应商非残疾人福利性单位不用填写此表。</w:t>
      </w:r>
    </w:p>
    <w:p w14:paraId="109396FD">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项目不分标段的，第___标段空白处填写“/”。</w:t>
      </w:r>
    </w:p>
    <w:p w14:paraId="618ED2F2">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根据《财政部 民政部 中国残疾人联合会关于促进残疾人就业政府采购政策的通知》（财库〔2017〕141号）的规定：</w:t>
      </w:r>
    </w:p>
    <w:p w14:paraId="77F0A3A4">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一、享受政府采购支持政策的残疾人福利性单位应当同时满足以下条件：</w:t>
      </w:r>
    </w:p>
    <w:p w14:paraId="7004B302">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（一）安置的残疾人占本单位在职职工人数的比例不低于</w:t>
      </w:r>
      <w:r>
        <w:rPr>
          <w:rFonts w:hint="eastAsia" w:ascii="仿宋" w:hAnsi="仿宋" w:eastAsia="仿宋" w:cs="仿宋"/>
          <w:color w:val="000000"/>
          <w:sz w:val="21"/>
          <w:szCs w:val="21"/>
        </w:rPr>
        <w:t>25</w:t>
      </w:r>
      <w:r>
        <w:rPr>
          <w:rFonts w:hint="eastAsia" w:ascii="宋体" w:hAnsi="宋体" w:eastAsia="宋体" w:cs="宋体"/>
          <w:color w:val="000000"/>
          <w:sz w:val="21"/>
          <w:szCs w:val="21"/>
        </w:rPr>
        <w:t>%（含</w:t>
      </w:r>
      <w:r>
        <w:rPr>
          <w:rFonts w:hint="eastAsia" w:ascii="仿宋" w:hAnsi="仿宋" w:eastAsia="仿宋" w:cs="仿宋"/>
          <w:color w:val="000000"/>
          <w:sz w:val="21"/>
          <w:szCs w:val="21"/>
        </w:rPr>
        <w:t>25</w:t>
      </w:r>
      <w:r>
        <w:rPr>
          <w:rFonts w:hint="eastAsia" w:ascii="宋体" w:hAnsi="宋体" w:eastAsia="宋体" w:cs="宋体"/>
          <w:color w:val="000000"/>
          <w:sz w:val="21"/>
          <w:szCs w:val="21"/>
        </w:rPr>
        <w:t>%），并且安置的残疾人人数不少于10人（含10人）；</w:t>
      </w:r>
    </w:p>
    <w:p w14:paraId="5572B4A2">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（二）依法与安置的每位残疾人签订了一年以上（含一年）的劳动合同或服务协议；</w:t>
      </w:r>
    </w:p>
    <w:p w14:paraId="0F89084F">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（三）为安置的每位残疾人按月足额缴纳了基本养老保险、基本医疗保险、失业保险、工伤保险和生育保险等社会保险费；</w:t>
      </w:r>
    </w:p>
    <w:p w14:paraId="299B1A58">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（四）通过银行等金融机构向安置的每位残疾人，按月支付了不低于单位所在区县适用的经省级人民政府批准的月最低工资标准的工资；</w:t>
      </w:r>
    </w:p>
    <w:p w14:paraId="120A0834">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（五）提供本单位制造的货物、承担的工程或者服务（以下简称产品），或者提供其他残疾人福利性单位制造的货物（不包括使用非残疾人福利性单位注册商标的货物）。</w:t>
      </w:r>
    </w:p>
    <w:p w14:paraId="575E25DF">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16C4BF0">
      <w:pPr>
        <w:pStyle w:val="18"/>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二、中标、成交供应商为残疾人福利性单位的，采购人或者其委托的采购代理机构应当随中标、成交结果同时公告其《残疾人福利性单位声明函》，接受社会监督。</w:t>
      </w:r>
    </w:p>
    <w:p w14:paraId="09EFE3E6">
      <w:pPr>
        <w:pStyle w:val="30"/>
        <w:ind w:firstLine="609"/>
        <w:jc w:val="both"/>
        <w:outlineLvl w:val="2"/>
        <w:rPr>
          <w:rFonts w:ascii="仿宋" w:hAnsi="仿宋" w:eastAsia="仿宋"/>
          <w:color w:val="000000"/>
          <w:sz w:val="24"/>
          <w:szCs w:val="24"/>
        </w:rPr>
      </w:pPr>
      <w:r>
        <w:rPr>
          <w:rFonts w:hint="eastAsia" w:ascii="仿宋" w:hAnsi="仿宋" w:eastAsia="仿宋" w:cs="仿宋"/>
          <w:bCs w:val="0"/>
          <w:color w:val="000000"/>
        </w:rPr>
        <w:t>三、第一次磋商报价表</w:t>
      </w:r>
      <w:bookmarkEnd w:id="275"/>
    </w:p>
    <w:p w14:paraId="4C394A9A">
      <w:pPr>
        <w:rPr>
          <w:rFonts w:ascii="华文仿宋" w:hAnsi="华文仿宋" w:cs="华文仿宋"/>
          <w:color w:val="000000"/>
          <w:shd w:val="clear" w:color="auto" w:fill="FFFFFF"/>
        </w:rPr>
      </w:pPr>
    </w:p>
    <w:p w14:paraId="401AE544">
      <w:pPr>
        <w:rPr>
          <w:rFonts w:ascii="华文仿宋" w:hAnsi="华文仿宋" w:cs="华文仿宋"/>
          <w:color w:val="000000"/>
          <w:shd w:val="clear" w:color="auto" w:fill="FFFFFF"/>
        </w:rPr>
      </w:pPr>
      <w:r>
        <w:rPr>
          <w:rFonts w:hint="eastAsia" w:ascii="华文仿宋" w:hAnsi="华文仿宋" w:cs="华文仿宋"/>
          <w:color w:val="000000"/>
          <w:shd w:val="clear" w:color="auto" w:fill="FFFFFF"/>
        </w:rPr>
        <w:t>项目名称：</w:t>
      </w:r>
    </w:p>
    <w:p w14:paraId="7B10F3BF">
      <w:pPr>
        <w:pStyle w:val="17"/>
        <w:wordWrap w:val="0"/>
        <w:spacing w:beforeAutospacing="0" w:afterAutospacing="0" w:line="500" w:lineRule="exact"/>
        <w:rPr>
          <w:rFonts w:ascii="华文仿宋" w:hAnsi="华文仿宋" w:cs="华文仿宋"/>
          <w:color w:val="000000"/>
          <w:sz w:val="28"/>
          <w:u w:val="single"/>
        </w:rPr>
      </w:pPr>
      <w:r>
        <w:rPr>
          <w:rFonts w:hint="eastAsia" w:ascii="华文仿宋" w:hAnsi="华文仿宋" w:cs="华文仿宋"/>
          <w:color w:val="000000"/>
          <w:sz w:val="28"/>
          <w:shd w:val="clear" w:color="auto" w:fill="FFFFFF"/>
        </w:rPr>
        <w:t>项目编号：</w:t>
      </w:r>
    </w:p>
    <w:tbl>
      <w:tblPr>
        <w:tblStyle w:val="20"/>
        <w:tblW w:w="8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059"/>
        <w:gridCol w:w="5752"/>
      </w:tblGrid>
      <w:tr w14:paraId="64138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restart"/>
            <w:vAlign w:val="center"/>
          </w:tcPr>
          <w:p w14:paraId="173026B9">
            <w:pPr>
              <w:pStyle w:val="7"/>
              <w:spacing w:line="360" w:lineRule="auto"/>
              <w:ind w:firstLine="0"/>
              <w:jc w:val="center"/>
              <w:rPr>
                <w:rFonts w:ascii="仿宋" w:hAnsi="仿宋" w:eastAsia="仿宋" w:cs="仿宋"/>
                <w:color w:val="000000"/>
                <w:szCs w:val="24"/>
              </w:rPr>
            </w:pPr>
            <w:r>
              <w:rPr>
                <w:rFonts w:hint="eastAsia" w:ascii="仿宋" w:hAnsi="仿宋" w:eastAsia="仿宋" w:cs="仿宋"/>
                <w:color w:val="000000"/>
                <w:szCs w:val="24"/>
              </w:rPr>
              <w:t>磋商报价</w:t>
            </w:r>
          </w:p>
        </w:tc>
        <w:tc>
          <w:tcPr>
            <w:tcW w:w="5752" w:type="dxa"/>
            <w:vAlign w:val="center"/>
          </w:tcPr>
          <w:p w14:paraId="6A3C69FC">
            <w:pPr>
              <w:spacing w:line="440" w:lineRule="exact"/>
              <w:jc w:val="center"/>
              <w:rPr>
                <w:rFonts w:ascii="仿宋" w:hAnsi="仿宋" w:eastAsia="仿宋" w:cs="仿宋"/>
                <w:color w:val="000000"/>
                <w:szCs w:val="24"/>
              </w:rPr>
            </w:pPr>
            <w:r>
              <w:rPr>
                <w:rFonts w:hint="eastAsia" w:ascii="仿宋" w:hAnsi="仿宋" w:eastAsia="仿宋" w:cs="仿宋"/>
                <w:color w:val="000000"/>
                <w:szCs w:val="24"/>
              </w:rPr>
              <w:t>内容</w:t>
            </w:r>
          </w:p>
        </w:tc>
      </w:tr>
      <w:tr w14:paraId="38C2E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continue"/>
            <w:vAlign w:val="center"/>
          </w:tcPr>
          <w:p w14:paraId="3C0349DC">
            <w:pPr>
              <w:pStyle w:val="7"/>
              <w:spacing w:line="360" w:lineRule="auto"/>
              <w:ind w:firstLine="0"/>
              <w:jc w:val="center"/>
              <w:rPr>
                <w:rFonts w:ascii="仿宋" w:hAnsi="仿宋" w:eastAsia="仿宋" w:cs="仿宋"/>
                <w:color w:val="000000"/>
                <w:szCs w:val="24"/>
              </w:rPr>
            </w:pPr>
          </w:p>
        </w:tc>
        <w:tc>
          <w:tcPr>
            <w:tcW w:w="5752" w:type="dxa"/>
            <w:vAlign w:val="center"/>
          </w:tcPr>
          <w:p w14:paraId="6AFBB77C">
            <w:pPr>
              <w:autoSpaceDE w:val="0"/>
              <w:autoSpaceDN w:val="0"/>
              <w:spacing w:line="360" w:lineRule="auto"/>
              <w:rPr>
                <w:rFonts w:ascii="仿宋" w:hAnsi="仿宋" w:eastAsia="仿宋" w:cs="仿宋"/>
                <w:color w:val="000000"/>
                <w:kern w:val="0"/>
                <w:szCs w:val="24"/>
                <w:lang w:val="zh-CN"/>
              </w:rPr>
            </w:pPr>
            <w:r>
              <w:rPr>
                <w:rFonts w:hint="eastAsia" w:ascii="仿宋" w:hAnsi="仿宋" w:eastAsia="仿宋" w:cs="仿宋"/>
                <w:color w:val="000000"/>
                <w:kern w:val="0"/>
                <w:szCs w:val="24"/>
                <w:lang w:val="zh-CN"/>
              </w:rPr>
              <w:t>小写：</w:t>
            </w:r>
          </w:p>
          <w:p w14:paraId="42A2C505">
            <w:pPr>
              <w:pStyle w:val="18"/>
              <w:ind w:firstLine="0" w:firstLineChars="0"/>
              <w:rPr>
                <w:rFonts w:ascii="仿宋" w:hAnsi="仿宋" w:eastAsia="仿宋" w:cs="仿宋"/>
                <w:color w:val="000000"/>
                <w:kern w:val="0"/>
                <w:sz w:val="28"/>
                <w:szCs w:val="24"/>
                <w:lang w:val="zh-CN"/>
              </w:rPr>
            </w:pPr>
          </w:p>
          <w:p w14:paraId="6FACB3E4">
            <w:pPr>
              <w:pStyle w:val="18"/>
              <w:ind w:firstLine="0" w:firstLineChars="0"/>
              <w:rPr>
                <w:rFonts w:ascii="仿宋" w:hAnsi="仿宋" w:eastAsia="仿宋" w:cs="仿宋"/>
                <w:color w:val="000000"/>
                <w:kern w:val="0"/>
                <w:sz w:val="28"/>
                <w:szCs w:val="24"/>
                <w:lang w:val="zh-CN"/>
              </w:rPr>
            </w:pPr>
            <w:r>
              <w:rPr>
                <w:rFonts w:hint="eastAsia" w:ascii="仿宋" w:hAnsi="仿宋" w:eastAsia="仿宋" w:cs="仿宋"/>
                <w:color w:val="000000"/>
                <w:kern w:val="0"/>
                <w:sz w:val="28"/>
                <w:szCs w:val="24"/>
                <w:lang w:val="zh-CN"/>
              </w:rPr>
              <w:t>大写：</w:t>
            </w:r>
          </w:p>
          <w:p w14:paraId="269EC670">
            <w:pPr>
              <w:autoSpaceDE w:val="0"/>
              <w:autoSpaceDN w:val="0"/>
              <w:spacing w:line="360" w:lineRule="auto"/>
              <w:rPr>
                <w:rFonts w:ascii="仿宋" w:hAnsi="仿宋" w:eastAsia="仿宋" w:cs="仿宋"/>
                <w:color w:val="000000"/>
              </w:rPr>
            </w:pPr>
            <w:r>
              <w:rPr>
                <w:rFonts w:hint="eastAsia" w:ascii="仿宋" w:hAnsi="仿宋" w:eastAsia="仿宋" w:cs="仿宋"/>
                <w:color w:val="000000"/>
                <w:sz w:val="24"/>
                <w:szCs w:val="24"/>
              </w:rPr>
              <w:t xml:space="preserve">                               单位：元</w:t>
            </w:r>
          </w:p>
        </w:tc>
      </w:tr>
    </w:tbl>
    <w:p w14:paraId="315E3F46">
      <w:pPr>
        <w:spacing w:line="500" w:lineRule="exact"/>
        <w:ind w:right="560" w:firstLine="213" w:firstLineChars="100"/>
        <w:rPr>
          <w:rFonts w:ascii="仿宋" w:hAnsi="仿宋" w:eastAsia="仿宋"/>
          <w:color w:val="000000"/>
          <w:sz w:val="24"/>
          <w:szCs w:val="24"/>
        </w:rPr>
      </w:pPr>
      <w:r>
        <w:rPr>
          <w:rFonts w:hint="eastAsia" w:ascii="宋体" w:hAnsi="宋体" w:eastAsia="宋体" w:cs="宋体"/>
          <w:b/>
          <w:bCs/>
          <w:color w:val="000000"/>
          <w:kern w:val="0"/>
          <w:sz w:val="21"/>
          <w:szCs w:val="21"/>
        </w:rPr>
        <w:t>备注</w:t>
      </w:r>
      <w:r>
        <w:rPr>
          <w:rFonts w:hint="eastAsia" w:ascii="宋体" w:hAnsi="宋体" w:eastAsia="宋体" w:cs="宋体"/>
          <w:b/>
          <w:bCs/>
          <w:color w:val="000000"/>
          <w:kern w:val="0"/>
          <w:sz w:val="21"/>
          <w:szCs w:val="21"/>
          <w:lang w:val="zh-CN"/>
        </w:rPr>
        <w:t>：</w:t>
      </w:r>
      <w:r>
        <w:rPr>
          <w:rFonts w:hint="eastAsia" w:ascii="宋体" w:hAnsi="宋体" w:eastAsia="宋体" w:cs="宋体"/>
          <w:color w:val="000000"/>
          <w:kern w:val="0"/>
          <w:sz w:val="21"/>
          <w:szCs w:val="21"/>
          <w:lang w:val="zh-CN"/>
        </w:rPr>
        <w:t>“磋商报价”为磋商总价。磋商</w:t>
      </w:r>
      <w:r>
        <w:rPr>
          <w:rFonts w:ascii="宋体" w:hAnsi="宋体" w:eastAsia="宋体" w:cs="宋体"/>
          <w:color w:val="000000"/>
          <w:kern w:val="0"/>
          <w:sz w:val="21"/>
          <w:szCs w:val="21"/>
          <w:lang w:val="zh-CN"/>
        </w:rPr>
        <w:t>报价必须包括</w:t>
      </w:r>
      <w:r>
        <w:rPr>
          <w:rFonts w:hint="eastAsia" w:ascii="宋体" w:hAnsi="宋体" w:eastAsia="宋体" w:cs="宋体"/>
          <w:color w:val="000000"/>
          <w:kern w:val="0"/>
          <w:sz w:val="21"/>
          <w:szCs w:val="21"/>
          <w:lang w:val="zh-CN"/>
        </w:rPr>
        <w:t>本项目所需</w:t>
      </w:r>
      <w:r>
        <w:rPr>
          <w:rFonts w:ascii="宋体" w:hAnsi="宋体" w:eastAsia="宋体" w:cs="宋体"/>
          <w:color w:val="000000"/>
          <w:kern w:val="0"/>
          <w:sz w:val="21"/>
          <w:szCs w:val="21"/>
          <w:lang w:val="zh-CN"/>
        </w:rPr>
        <w:t>全部费用</w:t>
      </w:r>
      <w:r>
        <w:rPr>
          <w:rFonts w:hint="eastAsia" w:ascii="宋体" w:hAnsi="宋体" w:eastAsia="宋体" w:cs="宋体"/>
          <w:color w:val="000000"/>
          <w:kern w:val="0"/>
          <w:sz w:val="21"/>
          <w:szCs w:val="21"/>
          <w:lang w:val="zh-CN"/>
        </w:rPr>
        <w:t>。</w:t>
      </w:r>
    </w:p>
    <w:p w14:paraId="7686AB63">
      <w:pPr>
        <w:spacing w:line="500" w:lineRule="exact"/>
        <w:rPr>
          <w:rFonts w:ascii="仿宋" w:hAnsi="仿宋" w:eastAsia="仿宋" w:cs="仿宋"/>
          <w:color w:val="000000"/>
        </w:rPr>
      </w:pPr>
    </w:p>
    <w:p w14:paraId="3EC9CE99">
      <w:pPr>
        <w:spacing w:line="500" w:lineRule="exact"/>
        <w:ind w:firstLine="5377" w:firstLineChars="19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rPr>
        <w:t>（加盖公章）</w:t>
      </w:r>
    </w:p>
    <w:p w14:paraId="1BE0A38D">
      <w:pPr>
        <w:pStyle w:val="9"/>
        <w:ind w:firstLine="5377" w:firstLineChars="1900"/>
        <w:rPr>
          <w:color w:val="000000"/>
        </w:rPr>
        <w:sectPr>
          <w:pgSz w:w="11906" w:h="16838"/>
          <w:pgMar w:top="1417" w:right="1417" w:bottom="1417" w:left="1417" w:header="850" w:footer="992" w:gutter="0"/>
          <w:cols w:space="720" w:num="1"/>
          <w:docGrid w:type="linesAndChars" w:linePitch="381" w:charSpace="704"/>
        </w:sectPr>
      </w:pPr>
      <w:r>
        <w:rPr>
          <w:rFonts w:hint="eastAsia" w:ascii="仿宋" w:hAnsi="仿宋" w:eastAsia="仿宋" w:cs="仿宋"/>
          <w:color w:val="000000"/>
        </w:rPr>
        <w:t>日期：　　年　月　日</w:t>
      </w:r>
    </w:p>
    <w:p w14:paraId="1216A098">
      <w:pPr>
        <w:spacing w:before="190" w:beforeLines="50" w:after="190" w:afterLines="50" w:line="500" w:lineRule="exact"/>
        <w:jc w:val="center"/>
        <w:rPr>
          <w:rFonts w:ascii="华文仿宋" w:hAnsi="华文仿宋" w:cs="华文仿宋"/>
          <w:b/>
          <w:color w:val="000000"/>
        </w:rPr>
      </w:pPr>
    </w:p>
    <w:p w14:paraId="33C56BCB">
      <w:pPr>
        <w:spacing w:before="190" w:beforeLines="50" w:after="190" w:afterLines="50" w:line="500" w:lineRule="exact"/>
        <w:jc w:val="center"/>
        <w:rPr>
          <w:rFonts w:ascii="华文仿宋" w:hAnsi="华文仿宋" w:cs="华文仿宋"/>
          <w:b/>
          <w:color w:val="000000"/>
        </w:rPr>
      </w:pPr>
    </w:p>
    <w:p w14:paraId="032B09A2">
      <w:pPr>
        <w:spacing w:before="190" w:beforeLines="50" w:after="190" w:afterLines="50" w:line="500" w:lineRule="exact"/>
        <w:jc w:val="center"/>
        <w:rPr>
          <w:rFonts w:ascii="华文仿宋" w:hAnsi="华文仿宋" w:cs="华文仿宋"/>
          <w:b/>
          <w:color w:val="000000"/>
        </w:rPr>
      </w:pPr>
    </w:p>
    <w:p w14:paraId="7DAD4B9C">
      <w:pPr>
        <w:spacing w:before="190" w:beforeLines="50" w:after="190" w:afterLines="50" w:line="500" w:lineRule="exact"/>
        <w:jc w:val="center"/>
        <w:rPr>
          <w:rFonts w:ascii="华文仿宋" w:hAnsi="华文仿宋" w:cs="华文仿宋"/>
          <w:b/>
          <w:color w:val="000000"/>
        </w:rPr>
      </w:pPr>
    </w:p>
    <w:p w14:paraId="22E7DF9C">
      <w:pPr>
        <w:spacing w:before="190" w:beforeLines="50" w:after="190" w:afterLines="50" w:line="500" w:lineRule="exact"/>
        <w:jc w:val="center"/>
        <w:rPr>
          <w:rFonts w:ascii="华文仿宋" w:hAnsi="华文仿宋" w:cs="华文仿宋"/>
          <w:b/>
          <w:color w:val="000000"/>
        </w:rPr>
      </w:pPr>
    </w:p>
    <w:p w14:paraId="1666DA9D">
      <w:pPr>
        <w:spacing w:before="190" w:beforeLines="50" w:after="190" w:afterLines="50" w:line="500" w:lineRule="exact"/>
        <w:jc w:val="center"/>
        <w:rPr>
          <w:rFonts w:ascii="华文仿宋" w:hAnsi="华文仿宋" w:cs="华文仿宋"/>
          <w:b/>
          <w:color w:val="000000"/>
        </w:rPr>
      </w:pPr>
    </w:p>
    <w:p w14:paraId="7F926554">
      <w:pPr>
        <w:spacing w:before="190" w:beforeLines="50" w:after="190" w:afterLines="50" w:line="500" w:lineRule="exact"/>
        <w:jc w:val="center"/>
        <w:rPr>
          <w:rFonts w:ascii="华文仿宋" w:hAnsi="华文仿宋" w:cs="华文仿宋"/>
          <w:b/>
          <w:color w:val="000000"/>
        </w:rPr>
      </w:pPr>
    </w:p>
    <w:p w14:paraId="15C3449C">
      <w:pPr>
        <w:spacing w:before="190" w:beforeLines="50" w:after="190" w:afterLines="50" w:line="500" w:lineRule="exact"/>
        <w:jc w:val="center"/>
        <w:rPr>
          <w:rFonts w:ascii="华文仿宋" w:hAnsi="华文仿宋" w:cs="华文仿宋"/>
          <w:b/>
          <w:color w:val="000000"/>
        </w:rPr>
      </w:pPr>
    </w:p>
    <w:p w14:paraId="07F543F3">
      <w:pPr>
        <w:spacing w:before="190" w:beforeLines="50" w:after="190" w:afterLines="50" w:line="500" w:lineRule="exact"/>
        <w:jc w:val="center"/>
        <w:rPr>
          <w:rFonts w:ascii="华文仿宋" w:hAnsi="华文仿宋" w:cs="华文仿宋"/>
          <w:b/>
          <w:color w:val="000000"/>
        </w:rPr>
      </w:pPr>
    </w:p>
    <w:p w14:paraId="1223DAB6">
      <w:pPr>
        <w:spacing w:before="190" w:beforeLines="50" w:after="190" w:afterLines="50" w:line="500" w:lineRule="exact"/>
        <w:jc w:val="center"/>
        <w:rPr>
          <w:rFonts w:ascii="华文仿宋" w:hAnsi="华文仿宋" w:cs="华文仿宋"/>
          <w:b/>
          <w:color w:val="000000"/>
        </w:rPr>
        <w:sectPr>
          <w:footerReference r:id="rId11" w:type="default"/>
          <w:type w:val="continuous"/>
          <w:pgSz w:w="11906" w:h="16838"/>
          <w:pgMar w:top="1417" w:right="1417" w:bottom="1417" w:left="1417" w:header="850" w:footer="992" w:gutter="0"/>
          <w:cols w:space="720" w:num="1"/>
          <w:docGrid w:type="linesAndChars" w:linePitch="381" w:charSpace="704"/>
        </w:sectPr>
      </w:pPr>
    </w:p>
    <w:p w14:paraId="5C4D6E81">
      <w:pPr>
        <w:spacing w:before="190" w:beforeLines="50" w:after="190" w:afterLines="50" w:line="500" w:lineRule="exact"/>
        <w:jc w:val="center"/>
        <w:rPr>
          <w:rFonts w:ascii="仿宋" w:hAnsi="仿宋" w:eastAsia="仿宋"/>
          <w:b/>
          <w:bCs/>
          <w:color w:val="000000"/>
          <w:sz w:val="32"/>
          <w:szCs w:val="32"/>
        </w:rPr>
      </w:pPr>
      <w:r>
        <w:rPr>
          <w:rFonts w:hint="eastAsia" w:ascii="华文仿宋" w:hAnsi="华文仿宋" w:cs="华文仿宋"/>
          <w:b/>
          <w:color w:val="000000"/>
          <w:highlight w:val="yellow"/>
        </w:rPr>
        <w:br w:type="page"/>
      </w:r>
      <w:r>
        <w:rPr>
          <w:rFonts w:hint="eastAsia" w:ascii="仿宋" w:hAnsi="仿宋" w:eastAsia="仿宋"/>
          <w:b/>
          <w:bCs/>
          <w:color w:val="000000"/>
          <w:sz w:val="32"/>
          <w:szCs w:val="32"/>
        </w:rPr>
        <w:t>分项报价表</w:t>
      </w:r>
    </w:p>
    <w:tbl>
      <w:tblPr>
        <w:tblStyle w:val="20"/>
        <w:tblW w:w="9009" w:type="dxa"/>
        <w:jc w:val="center"/>
        <w:tblLayout w:type="fixed"/>
        <w:tblCellMar>
          <w:top w:w="0" w:type="dxa"/>
          <w:left w:w="28" w:type="dxa"/>
          <w:bottom w:w="0" w:type="dxa"/>
          <w:right w:w="28" w:type="dxa"/>
        </w:tblCellMar>
      </w:tblPr>
      <w:tblGrid>
        <w:gridCol w:w="713"/>
        <w:gridCol w:w="1250"/>
        <w:gridCol w:w="1162"/>
        <w:gridCol w:w="1265"/>
        <w:gridCol w:w="1124"/>
        <w:gridCol w:w="839"/>
        <w:gridCol w:w="1735"/>
        <w:gridCol w:w="921"/>
      </w:tblGrid>
      <w:tr w14:paraId="754BE48B">
        <w:tblPrEx>
          <w:tblCellMar>
            <w:top w:w="0" w:type="dxa"/>
            <w:left w:w="28" w:type="dxa"/>
            <w:bottom w:w="0" w:type="dxa"/>
            <w:right w:w="28" w:type="dxa"/>
          </w:tblCellMar>
        </w:tblPrEx>
        <w:trPr>
          <w:trHeight w:val="1274" w:hRule="atLeast"/>
          <w:jc w:val="center"/>
        </w:trPr>
        <w:tc>
          <w:tcPr>
            <w:tcW w:w="713" w:type="dxa"/>
            <w:tcBorders>
              <w:top w:val="single" w:color="000000" w:sz="8" w:space="0"/>
              <w:left w:val="single" w:color="000000" w:sz="8" w:space="0"/>
              <w:bottom w:val="single" w:color="000000" w:sz="6" w:space="0"/>
              <w:right w:val="single" w:color="000000" w:sz="6" w:space="0"/>
            </w:tcBorders>
            <w:vAlign w:val="center"/>
          </w:tcPr>
          <w:p w14:paraId="420ABF04">
            <w:pPr>
              <w:widowControl w:val="0"/>
              <w:autoSpaceDE w:val="0"/>
              <w:autoSpaceDN w:val="0"/>
              <w:spacing w:line="240" w:lineRule="auto"/>
              <w:jc w:val="center"/>
              <w:rPr>
                <w:rFonts w:ascii="仿宋" w:hAnsi="仿宋" w:eastAsia="仿宋" w:cs="仿宋"/>
                <w:b/>
                <w:bCs/>
                <w:color w:val="000000"/>
                <w:kern w:val="0"/>
                <w:sz w:val="24"/>
                <w:szCs w:val="24"/>
                <w:lang w:val="zh-CN"/>
              </w:rPr>
            </w:pPr>
            <w:r>
              <w:rPr>
                <w:rFonts w:hint="eastAsia" w:ascii="仿宋" w:hAnsi="仿宋" w:eastAsia="仿宋" w:cs="仿宋"/>
                <w:b/>
                <w:bCs/>
                <w:color w:val="000000"/>
                <w:kern w:val="0"/>
                <w:sz w:val="24"/>
                <w:szCs w:val="24"/>
                <w:lang w:val="zh-CN"/>
              </w:rPr>
              <w:t>序号</w:t>
            </w:r>
          </w:p>
        </w:tc>
        <w:tc>
          <w:tcPr>
            <w:tcW w:w="1250" w:type="dxa"/>
            <w:tcBorders>
              <w:top w:val="single" w:color="000000" w:sz="8" w:space="0"/>
              <w:left w:val="single" w:color="000000" w:sz="6" w:space="0"/>
              <w:bottom w:val="single" w:color="000000" w:sz="6" w:space="0"/>
              <w:right w:val="single" w:color="000000" w:sz="6" w:space="0"/>
            </w:tcBorders>
            <w:vAlign w:val="center"/>
          </w:tcPr>
          <w:p w14:paraId="1DE14D93">
            <w:pPr>
              <w:widowControl w:val="0"/>
              <w:autoSpaceDE w:val="0"/>
              <w:autoSpaceDN w:val="0"/>
              <w:spacing w:line="240" w:lineRule="auto"/>
              <w:jc w:val="center"/>
              <w:rPr>
                <w:rFonts w:ascii="仿宋" w:hAnsi="仿宋" w:eastAsia="仿宋" w:cs="仿宋"/>
                <w:b/>
                <w:bCs/>
                <w:color w:val="000000"/>
                <w:kern w:val="0"/>
                <w:sz w:val="24"/>
                <w:szCs w:val="24"/>
              </w:rPr>
            </w:pPr>
            <w:r>
              <w:rPr>
                <w:rFonts w:hint="eastAsia" w:ascii="仿宋" w:hAnsi="仿宋" w:eastAsia="仿宋" w:cs="仿宋"/>
                <w:b/>
                <w:bCs/>
                <w:color w:val="000000"/>
                <w:kern w:val="0"/>
                <w:sz w:val="24"/>
                <w:szCs w:val="24"/>
              </w:rPr>
              <w:t>服务名称</w:t>
            </w:r>
          </w:p>
        </w:tc>
        <w:tc>
          <w:tcPr>
            <w:tcW w:w="1162" w:type="dxa"/>
            <w:tcBorders>
              <w:top w:val="single" w:color="000000" w:sz="8" w:space="0"/>
              <w:left w:val="single" w:color="000000" w:sz="6" w:space="0"/>
              <w:bottom w:val="single" w:color="000000" w:sz="6" w:space="0"/>
              <w:right w:val="single" w:color="000000" w:sz="6" w:space="0"/>
            </w:tcBorders>
            <w:vAlign w:val="center"/>
          </w:tcPr>
          <w:p w14:paraId="0AC5A62E">
            <w:pPr>
              <w:pStyle w:val="30"/>
              <w:widowControl w:val="0"/>
              <w:spacing w:line="240" w:lineRule="auto"/>
              <w:ind w:firstLine="0" w:firstLineChars="0"/>
              <w:rPr>
                <w:rFonts w:ascii="仿宋" w:hAnsi="仿宋" w:eastAsia="仿宋" w:cs="仿宋"/>
                <w:b w:val="0"/>
                <w:bCs w:val="0"/>
                <w:color w:val="000000"/>
                <w:kern w:val="0"/>
                <w:sz w:val="24"/>
                <w:szCs w:val="24"/>
              </w:rPr>
            </w:pPr>
            <w:bookmarkStart w:id="276" w:name="_Toc16359"/>
            <w:bookmarkStart w:id="277" w:name="_Toc28616"/>
            <w:bookmarkStart w:id="278" w:name="_Toc32559"/>
            <w:bookmarkStart w:id="279" w:name="_Toc16202"/>
            <w:r>
              <w:rPr>
                <w:rFonts w:hint="eastAsia" w:ascii="仿宋" w:hAnsi="仿宋" w:eastAsia="仿宋" w:cs="仿宋"/>
                <w:bCs w:val="0"/>
                <w:color w:val="000000"/>
                <w:sz w:val="24"/>
                <w:szCs w:val="24"/>
              </w:rPr>
              <w:t>计量单位</w:t>
            </w:r>
            <w:bookmarkEnd w:id="276"/>
            <w:bookmarkEnd w:id="277"/>
            <w:bookmarkEnd w:id="278"/>
            <w:bookmarkEnd w:id="279"/>
          </w:p>
        </w:tc>
        <w:tc>
          <w:tcPr>
            <w:tcW w:w="1265" w:type="dxa"/>
            <w:tcBorders>
              <w:top w:val="single" w:color="000000" w:sz="8" w:space="0"/>
              <w:left w:val="single" w:color="000000" w:sz="6" w:space="0"/>
              <w:bottom w:val="single" w:color="000000" w:sz="6" w:space="0"/>
              <w:right w:val="single" w:color="000000" w:sz="6" w:space="0"/>
            </w:tcBorders>
            <w:vAlign w:val="center"/>
          </w:tcPr>
          <w:p w14:paraId="577172BC">
            <w:pPr>
              <w:pStyle w:val="30"/>
              <w:widowControl w:val="0"/>
              <w:spacing w:line="240" w:lineRule="auto"/>
              <w:ind w:firstLine="0" w:firstLineChars="0"/>
              <w:rPr>
                <w:rFonts w:ascii="仿宋" w:hAnsi="仿宋" w:eastAsia="仿宋" w:cs="仿宋"/>
                <w:b w:val="0"/>
                <w:bCs w:val="0"/>
                <w:color w:val="000000"/>
                <w:kern w:val="0"/>
                <w:sz w:val="24"/>
                <w:szCs w:val="24"/>
                <w:lang w:val="zh-CN"/>
              </w:rPr>
            </w:pPr>
            <w:bookmarkStart w:id="280" w:name="_Toc4371"/>
            <w:bookmarkStart w:id="281" w:name="_Toc5340"/>
            <w:bookmarkStart w:id="282" w:name="_Toc26417"/>
            <w:bookmarkStart w:id="283" w:name="_Toc29236"/>
            <w:r>
              <w:rPr>
                <w:rFonts w:hint="eastAsia" w:ascii="仿宋" w:hAnsi="仿宋" w:eastAsia="仿宋" w:cs="仿宋"/>
                <w:bCs w:val="0"/>
                <w:color w:val="000000"/>
                <w:sz w:val="24"/>
                <w:szCs w:val="24"/>
              </w:rPr>
              <w:t>具体要求说明</w:t>
            </w:r>
            <w:bookmarkEnd w:id="280"/>
            <w:bookmarkEnd w:id="281"/>
            <w:bookmarkEnd w:id="282"/>
            <w:bookmarkEnd w:id="283"/>
          </w:p>
        </w:tc>
        <w:tc>
          <w:tcPr>
            <w:tcW w:w="1124" w:type="dxa"/>
            <w:tcBorders>
              <w:top w:val="single" w:color="000000" w:sz="8" w:space="0"/>
              <w:left w:val="single" w:color="000000" w:sz="6" w:space="0"/>
              <w:bottom w:val="single" w:color="000000" w:sz="6" w:space="0"/>
              <w:right w:val="single" w:color="auto" w:sz="4" w:space="0"/>
            </w:tcBorders>
            <w:vAlign w:val="center"/>
          </w:tcPr>
          <w:p w14:paraId="402C7F46">
            <w:pPr>
              <w:pStyle w:val="30"/>
              <w:widowControl w:val="0"/>
              <w:spacing w:line="240" w:lineRule="auto"/>
              <w:ind w:firstLine="0" w:firstLineChars="0"/>
              <w:rPr>
                <w:rFonts w:ascii="仿宋" w:hAnsi="仿宋" w:eastAsia="仿宋" w:cs="仿宋"/>
                <w:b w:val="0"/>
                <w:bCs w:val="0"/>
                <w:color w:val="000000"/>
                <w:kern w:val="0"/>
                <w:sz w:val="24"/>
                <w:szCs w:val="24"/>
              </w:rPr>
            </w:pPr>
            <w:r>
              <w:rPr>
                <w:rFonts w:hint="eastAsia" w:ascii="仿宋" w:hAnsi="仿宋" w:eastAsia="仿宋" w:cs="仿宋"/>
                <w:bCs w:val="0"/>
                <w:sz w:val="24"/>
                <w:szCs w:val="24"/>
              </w:rPr>
              <w:t>单价（元）</w:t>
            </w:r>
          </w:p>
        </w:tc>
        <w:tc>
          <w:tcPr>
            <w:tcW w:w="839" w:type="dxa"/>
            <w:tcBorders>
              <w:top w:val="single" w:color="000000" w:sz="8" w:space="0"/>
              <w:left w:val="single" w:color="auto" w:sz="4" w:space="0"/>
              <w:bottom w:val="single" w:color="000000" w:sz="6" w:space="0"/>
              <w:right w:val="single" w:color="auto" w:sz="4" w:space="0"/>
            </w:tcBorders>
            <w:vAlign w:val="center"/>
          </w:tcPr>
          <w:p w14:paraId="092F2380">
            <w:pPr>
              <w:pStyle w:val="30"/>
              <w:widowControl w:val="0"/>
              <w:spacing w:line="240" w:lineRule="auto"/>
              <w:ind w:firstLine="0" w:firstLineChars="0"/>
              <w:rPr>
                <w:rFonts w:ascii="仿宋" w:hAnsi="仿宋" w:eastAsia="仿宋" w:cs="仿宋"/>
                <w:bCs w:val="0"/>
                <w:color w:val="000000"/>
                <w:sz w:val="24"/>
                <w:szCs w:val="24"/>
              </w:rPr>
            </w:pPr>
            <w:bookmarkStart w:id="284" w:name="_Toc24317"/>
            <w:bookmarkStart w:id="285" w:name="_Toc14670"/>
            <w:bookmarkStart w:id="286" w:name="_Toc18908"/>
            <w:bookmarkStart w:id="287" w:name="_Toc9206"/>
            <w:r>
              <w:rPr>
                <w:rFonts w:hint="eastAsia" w:ascii="仿宋" w:hAnsi="仿宋" w:eastAsia="仿宋" w:cs="仿宋"/>
                <w:bCs w:val="0"/>
                <w:color w:val="000000"/>
                <w:sz w:val="24"/>
                <w:szCs w:val="24"/>
              </w:rPr>
              <w:t>数量</w:t>
            </w:r>
          </w:p>
        </w:tc>
        <w:tc>
          <w:tcPr>
            <w:tcW w:w="1735" w:type="dxa"/>
            <w:tcBorders>
              <w:top w:val="single" w:color="000000" w:sz="8" w:space="0"/>
              <w:left w:val="single" w:color="auto" w:sz="4" w:space="0"/>
              <w:bottom w:val="single" w:color="000000" w:sz="6" w:space="0"/>
              <w:right w:val="single" w:color="000000" w:sz="6" w:space="0"/>
            </w:tcBorders>
            <w:vAlign w:val="center"/>
          </w:tcPr>
          <w:p w14:paraId="5EE12D04">
            <w:pPr>
              <w:pStyle w:val="30"/>
              <w:widowControl w:val="0"/>
              <w:spacing w:line="240" w:lineRule="auto"/>
              <w:ind w:firstLine="0" w:firstLineChars="0"/>
              <w:rPr>
                <w:rFonts w:ascii="仿宋" w:hAnsi="仿宋" w:eastAsia="仿宋" w:cs="仿宋"/>
                <w:bCs w:val="0"/>
                <w:color w:val="000000"/>
                <w:sz w:val="24"/>
                <w:szCs w:val="24"/>
              </w:rPr>
            </w:pPr>
            <w:r>
              <w:rPr>
                <w:rFonts w:hint="eastAsia" w:ascii="仿宋" w:hAnsi="仿宋" w:eastAsia="仿宋" w:cs="仿宋"/>
                <w:bCs w:val="0"/>
                <w:color w:val="000000"/>
                <w:sz w:val="24"/>
                <w:szCs w:val="24"/>
              </w:rPr>
              <w:t>金额（元）</w:t>
            </w:r>
          </w:p>
        </w:tc>
        <w:tc>
          <w:tcPr>
            <w:tcW w:w="921" w:type="dxa"/>
            <w:tcBorders>
              <w:top w:val="single" w:color="000000" w:sz="8" w:space="0"/>
              <w:left w:val="single" w:color="000000" w:sz="6" w:space="0"/>
              <w:bottom w:val="single" w:color="000000" w:sz="6" w:space="0"/>
              <w:right w:val="single" w:color="000000" w:sz="8" w:space="0"/>
            </w:tcBorders>
            <w:vAlign w:val="center"/>
          </w:tcPr>
          <w:p w14:paraId="19831FBA">
            <w:pPr>
              <w:pStyle w:val="30"/>
              <w:widowControl w:val="0"/>
              <w:spacing w:line="240" w:lineRule="auto"/>
              <w:ind w:firstLine="0" w:firstLineChars="0"/>
              <w:rPr>
                <w:rFonts w:ascii="仿宋" w:hAnsi="仿宋" w:eastAsia="仿宋" w:cs="仿宋"/>
                <w:b w:val="0"/>
                <w:bCs w:val="0"/>
                <w:color w:val="000000"/>
                <w:sz w:val="24"/>
                <w:szCs w:val="24"/>
              </w:rPr>
            </w:pPr>
            <w:r>
              <w:rPr>
                <w:rFonts w:hint="eastAsia" w:ascii="仿宋" w:hAnsi="仿宋" w:eastAsia="仿宋" w:cs="仿宋"/>
                <w:bCs w:val="0"/>
                <w:color w:val="000000"/>
                <w:sz w:val="24"/>
                <w:szCs w:val="24"/>
              </w:rPr>
              <w:t>备注</w:t>
            </w:r>
            <w:bookmarkEnd w:id="284"/>
            <w:bookmarkEnd w:id="285"/>
            <w:bookmarkEnd w:id="286"/>
            <w:bookmarkEnd w:id="287"/>
          </w:p>
        </w:tc>
      </w:tr>
      <w:tr w14:paraId="7BD82ED6">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7E234DD4">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w:t>
            </w:r>
          </w:p>
        </w:tc>
        <w:tc>
          <w:tcPr>
            <w:tcW w:w="1250" w:type="dxa"/>
            <w:tcBorders>
              <w:top w:val="single" w:color="000000" w:sz="6" w:space="0"/>
              <w:left w:val="single" w:color="000000" w:sz="6" w:space="0"/>
              <w:bottom w:val="single" w:color="000000" w:sz="6" w:space="0"/>
              <w:right w:val="single" w:color="000000" w:sz="6" w:space="0"/>
            </w:tcBorders>
            <w:vAlign w:val="center"/>
          </w:tcPr>
          <w:p w14:paraId="2F3A8955">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15CA8DF8">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163B3343">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73C00080">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0943E2EE">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21AD3022">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2F30A2D4">
            <w:pPr>
              <w:autoSpaceDE w:val="0"/>
              <w:autoSpaceDN w:val="0"/>
              <w:spacing w:line="240" w:lineRule="auto"/>
              <w:jc w:val="center"/>
              <w:rPr>
                <w:rFonts w:ascii="仿宋" w:hAnsi="仿宋" w:eastAsia="仿宋" w:cs="仿宋"/>
                <w:color w:val="000000"/>
                <w:kern w:val="0"/>
                <w:sz w:val="24"/>
                <w:szCs w:val="24"/>
                <w:lang w:val="zh-CN"/>
              </w:rPr>
            </w:pPr>
          </w:p>
        </w:tc>
      </w:tr>
      <w:tr w14:paraId="7DAA6125">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049D6246">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w:t>
            </w:r>
          </w:p>
        </w:tc>
        <w:tc>
          <w:tcPr>
            <w:tcW w:w="1250" w:type="dxa"/>
            <w:tcBorders>
              <w:top w:val="single" w:color="000000" w:sz="6" w:space="0"/>
              <w:left w:val="single" w:color="000000" w:sz="6" w:space="0"/>
              <w:bottom w:val="single" w:color="000000" w:sz="6" w:space="0"/>
              <w:right w:val="single" w:color="000000" w:sz="6" w:space="0"/>
            </w:tcBorders>
            <w:vAlign w:val="center"/>
          </w:tcPr>
          <w:p w14:paraId="029D8D20">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7B4AFAC0">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7FBEAA39">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63044382">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57B2870B">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7982D9DB">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38CD5077">
            <w:pPr>
              <w:autoSpaceDE w:val="0"/>
              <w:autoSpaceDN w:val="0"/>
              <w:spacing w:line="240" w:lineRule="auto"/>
              <w:jc w:val="center"/>
              <w:rPr>
                <w:rFonts w:ascii="仿宋" w:hAnsi="仿宋" w:eastAsia="仿宋" w:cs="仿宋"/>
                <w:color w:val="000000"/>
                <w:kern w:val="0"/>
                <w:sz w:val="24"/>
                <w:szCs w:val="24"/>
                <w:lang w:val="zh-CN"/>
              </w:rPr>
            </w:pPr>
          </w:p>
        </w:tc>
      </w:tr>
      <w:tr w14:paraId="706B58B3">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3E35EFB0">
            <w:pPr>
              <w:autoSpaceDE w:val="0"/>
              <w:autoSpaceDN w:val="0"/>
              <w:spacing w:line="240" w:lineRule="auto"/>
              <w:jc w:val="center"/>
              <w:rPr>
                <w:rFonts w:ascii="仿宋" w:hAnsi="仿宋" w:eastAsia="仿宋" w:cs="仿宋"/>
                <w:color w:val="000000"/>
                <w:kern w:val="0"/>
                <w:sz w:val="24"/>
                <w:szCs w:val="24"/>
              </w:rPr>
            </w:pPr>
            <w:r>
              <w:rPr>
                <w:rFonts w:hint="eastAsia" w:ascii="仿宋" w:hAnsi="仿宋" w:eastAsia="仿宋" w:cs="仿宋"/>
                <w:color w:val="000000"/>
                <w:kern w:val="0"/>
                <w:sz w:val="21"/>
                <w:szCs w:val="21"/>
                <w:lang w:val="zh-CN"/>
              </w:rPr>
              <w:t>…</w:t>
            </w:r>
          </w:p>
        </w:tc>
        <w:tc>
          <w:tcPr>
            <w:tcW w:w="1250" w:type="dxa"/>
            <w:tcBorders>
              <w:top w:val="single" w:color="000000" w:sz="6" w:space="0"/>
              <w:left w:val="single" w:color="000000" w:sz="6" w:space="0"/>
              <w:bottom w:val="single" w:color="000000" w:sz="6" w:space="0"/>
              <w:right w:val="single" w:color="000000" w:sz="6" w:space="0"/>
            </w:tcBorders>
            <w:vAlign w:val="center"/>
          </w:tcPr>
          <w:p w14:paraId="70B071CB">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42DE83D2">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78C70BD7">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1C582792">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4EC69D63">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7311AD82">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67F7AC2C">
            <w:pPr>
              <w:autoSpaceDE w:val="0"/>
              <w:autoSpaceDN w:val="0"/>
              <w:spacing w:line="240" w:lineRule="auto"/>
              <w:jc w:val="center"/>
              <w:rPr>
                <w:rFonts w:ascii="仿宋" w:hAnsi="仿宋" w:eastAsia="仿宋" w:cs="仿宋"/>
                <w:color w:val="000000"/>
                <w:kern w:val="0"/>
                <w:sz w:val="24"/>
                <w:szCs w:val="24"/>
                <w:lang w:val="zh-CN"/>
              </w:rPr>
            </w:pPr>
          </w:p>
        </w:tc>
      </w:tr>
      <w:tr w14:paraId="464D56D4">
        <w:tblPrEx>
          <w:tblCellMar>
            <w:top w:w="0" w:type="dxa"/>
            <w:left w:w="28" w:type="dxa"/>
            <w:bottom w:w="0" w:type="dxa"/>
            <w:right w:w="28" w:type="dxa"/>
          </w:tblCellMar>
        </w:tblPrEx>
        <w:trPr>
          <w:trHeight w:val="801" w:hRule="atLeast"/>
          <w:jc w:val="center"/>
        </w:trPr>
        <w:tc>
          <w:tcPr>
            <w:tcW w:w="9009" w:type="dxa"/>
            <w:gridSpan w:val="8"/>
            <w:tcBorders>
              <w:top w:val="single" w:color="000000" w:sz="6" w:space="0"/>
              <w:left w:val="single" w:color="000000" w:sz="8" w:space="0"/>
              <w:bottom w:val="single" w:color="000000" w:sz="6" w:space="0"/>
              <w:right w:val="single" w:color="000000" w:sz="8" w:space="0"/>
            </w:tcBorders>
            <w:vAlign w:val="center"/>
          </w:tcPr>
          <w:p w14:paraId="2C4CAFB7">
            <w:pPr>
              <w:autoSpaceDE w:val="0"/>
              <w:autoSpaceDN w:val="0"/>
              <w:spacing w:line="240" w:lineRule="auto"/>
              <w:jc w:val="left"/>
              <w:rPr>
                <w:rFonts w:ascii="仿宋" w:hAnsi="仿宋" w:eastAsia="仿宋" w:cs="仿宋"/>
                <w:color w:val="000000"/>
                <w:kern w:val="0"/>
                <w:sz w:val="24"/>
                <w:szCs w:val="24"/>
              </w:rPr>
            </w:pPr>
            <w:r>
              <w:rPr>
                <w:rFonts w:hint="eastAsia" w:ascii="仿宋" w:hAnsi="仿宋" w:eastAsia="仿宋" w:cs="仿宋"/>
                <w:b/>
                <w:bCs/>
                <w:color w:val="000000"/>
                <w:kern w:val="0"/>
                <w:sz w:val="24"/>
                <w:szCs w:val="24"/>
              </w:rPr>
              <w:t>合计（元）：</w:t>
            </w:r>
          </w:p>
        </w:tc>
      </w:tr>
      <w:tr w14:paraId="5CB8DF91">
        <w:tblPrEx>
          <w:tblCellMar>
            <w:top w:w="0" w:type="dxa"/>
            <w:left w:w="28" w:type="dxa"/>
            <w:bottom w:w="0" w:type="dxa"/>
            <w:right w:w="28" w:type="dxa"/>
          </w:tblCellMar>
        </w:tblPrEx>
        <w:trPr>
          <w:trHeight w:val="1570" w:hRule="atLeast"/>
          <w:jc w:val="center"/>
        </w:trPr>
        <w:tc>
          <w:tcPr>
            <w:tcW w:w="1963" w:type="dxa"/>
            <w:gridSpan w:val="2"/>
            <w:tcBorders>
              <w:top w:val="single" w:color="000000" w:sz="6" w:space="0"/>
              <w:left w:val="single" w:color="000000" w:sz="8" w:space="0"/>
              <w:bottom w:val="single" w:color="000000" w:sz="6" w:space="0"/>
              <w:right w:val="single" w:color="000000" w:sz="6" w:space="0"/>
            </w:tcBorders>
            <w:vAlign w:val="center"/>
          </w:tcPr>
          <w:p w14:paraId="1D598CCD">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kern w:val="0"/>
                <w:sz w:val="24"/>
                <w:szCs w:val="24"/>
                <w:lang w:val="zh-CN"/>
              </w:rPr>
              <w:t>磋商报价</w:t>
            </w:r>
          </w:p>
        </w:tc>
        <w:tc>
          <w:tcPr>
            <w:tcW w:w="7046" w:type="dxa"/>
            <w:gridSpan w:val="6"/>
            <w:tcBorders>
              <w:top w:val="single" w:color="000000" w:sz="6" w:space="0"/>
              <w:left w:val="single" w:color="000000" w:sz="6" w:space="0"/>
              <w:bottom w:val="single" w:color="000000" w:sz="6" w:space="0"/>
              <w:right w:val="single" w:color="000000" w:sz="8" w:space="0"/>
            </w:tcBorders>
            <w:vAlign w:val="center"/>
          </w:tcPr>
          <w:p w14:paraId="78894A40">
            <w:pPr>
              <w:autoSpaceDE w:val="0"/>
              <w:autoSpaceDN w:val="0"/>
              <w:spacing w:before="190" w:beforeLines="50" w:line="240" w:lineRule="auto"/>
              <w:rPr>
                <w:rFonts w:ascii="仿宋" w:hAnsi="仿宋" w:eastAsia="仿宋" w:cs="仿宋"/>
                <w:color w:val="000000"/>
                <w:kern w:val="0"/>
                <w:sz w:val="24"/>
                <w:szCs w:val="24"/>
              </w:rPr>
            </w:pPr>
            <w:r>
              <w:rPr>
                <w:rFonts w:hint="eastAsia" w:ascii="仿宋" w:hAnsi="仿宋" w:eastAsia="仿宋" w:cs="仿宋"/>
                <w:color w:val="000000"/>
                <w:kern w:val="0"/>
                <w:sz w:val="24"/>
                <w:szCs w:val="24"/>
                <w:lang w:val="zh-CN"/>
              </w:rPr>
              <w:t>小写：</w:t>
            </w:r>
            <w:r>
              <w:rPr>
                <w:rFonts w:hint="eastAsia" w:ascii="仿宋" w:hAnsi="仿宋" w:eastAsia="仿宋" w:cs="仿宋"/>
                <w:color w:val="000000"/>
                <w:kern w:val="0"/>
                <w:sz w:val="24"/>
                <w:szCs w:val="24"/>
                <w:lang w:val="zh-CN"/>
              </w:rPr>
              <w:br w:type="textWrapping"/>
            </w:r>
            <w:r>
              <w:rPr>
                <w:rFonts w:hint="eastAsia" w:ascii="仿宋" w:hAnsi="仿宋" w:eastAsia="仿宋" w:cs="仿宋"/>
                <w:color w:val="000000"/>
                <w:kern w:val="0"/>
                <w:sz w:val="24"/>
                <w:szCs w:val="24"/>
              </w:rPr>
              <w:t>大写：</w:t>
            </w:r>
          </w:p>
          <w:p w14:paraId="5F406E3C">
            <w:pPr>
              <w:wordWrap w:val="0"/>
              <w:autoSpaceDE w:val="0"/>
              <w:autoSpaceDN w:val="0"/>
              <w:spacing w:line="240" w:lineRule="auto"/>
              <w:jc w:val="right"/>
              <w:rPr>
                <w:rFonts w:ascii="仿宋" w:hAnsi="仿宋" w:eastAsia="仿宋" w:cs="仿宋"/>
                <w:color w:val="000000"/>
                <w:kern w:val="0"/>
                <w:sz w:val="24"/>
                <w:szCs w:val="24"/>
              </w:rPr>
            </w:pPr>
            <w:r>
              <w:rPr>
                <w:rFonts w:hint="eastAsia" w:ascii="仿宋" w:hAnsi="仿宋" w:eastAsia="仿宋" w:cs="仿宋"/>
                <w:color w:val="000000"/>
                <w:sz w:val="24"/>
                <w:szCs w:val="24"/>
              </w:rPr>
              <w:t xml:space="preserve">单位：元 </w:t>
            </w:r>
          </w:p>
        </w:tc>
      </w:tr>
    </w:tbl>
    <w:p w14:paraId="0A219954">
      <w:pPr>
        <w:tabs>
          <w:tab w:val="right" w:pos="9072"/>
        </w:tabs>
        <w:ind w:firstLine="426" w:firstLineChars="200"/>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rPr>
        <w:t>.本表“磋商报价”金额应与“第一次磋商报价表”中的“磋商报价”一致；</w:t>
      </w:r>
    </w:p>
    <w:p w14:paraId="1F684529">
      <w:pPr>
        <w:tabs>
          <w:tab w:val="right" w:pos="9072"/>
        </w:tabs>
        <w:ind w:firstLine="1065" w:firstLineChars="500"/>
        <w:rPr>
          <w:rFonts w:ascii="华文仿宋" w:cs="Times New Roman"/>
          <w:color w:val="000000"/>
          <w:sz w:val="24"/>
          <w:szCs w:val="24"/>
        </w:rPr>
      </w:pPr>
      <w:r>
        <w:rPr>
          <w:rFonts w:ascii="宋体" w:hAnsi="宋体" w:eastAsia="宋体" w:cs="宋体"/>
          <w:color w:val="000000"/>
          <w:sz w:val="21"/>
          <w:szCs w:val="21"/>
        </w:rPr>
        <w:t>2</w:t>
      </w:r>
      <w:r>
        <w:rPr>
          <w:rFonts w:hint="eastAsia" w:ascii="宋体" w:hAnsi="宋体" w:eastAsia="宋体" w:cs="宋体"/>
          <w:color w:val="000000"/>
          <w:sz w:val="21"/>
          <w:szCs w:val="21"/>
        </w:rPr>
        <w:t>.本表为样表，仅供参考，供应商根据项目实际需求进行填写。</w:t>
      </w:r>
    </w:p>
    <w:p w14:paraId="3A08E411">
      <w:pPr>
        <w:pStyle w:val="9"/>
        <w:spacing w:after="190"/>
        <w:rPr>
          <w:rFonts w:eastAsia="宋体"/>
          <w:color w:val="000000"/>
        </w:rPr>
      </w:pPr>
    </w:p>
    <w:p w14:paraId="491A39DA">
      <w:pPr>
        <w:widowControl w:val="0"/>
        <w:autoSpaceDE w:val="0"/>
        <w:autoSpaceDN w:val="0"/>
        <w:spacing w:line="240" w:lineRule="auto"/>
        <w:ind w:firstLine="1065" w:firstLineChars="500"/>
        <w:rPr>
          <w:rFonts w:ascii="宋体" w:hAnsi="宋体" w:eastAsia="宋体" w:cs="宋体"/>
          <w:color w:val="000000"/>
          <w:kern w:val="0"/>
          <w:sz w:val="21"/>
          <w:szCs w:val="21"/>
        </w:rPr>
      </w:pPr>
    </w:p>
    <w:p w14:paraId="408D3471">
      <w:pPr>
        <w:spacing w:line="500" w:lineRule="exact"/>
        <w:ind w:firstLine="566" w:firstLineChars="200"/>
        <w:rPr>
          <w:rFonts w:ascii="仿宋" w:hAnsi="仿宋" w:eastAsia="仿宋" w:cs="Calibri"/>
          <w:b/>
          <w:bCs/>
          <w:color w:val="000000"/>
        </w:rPr>
      </w:pPr>
    </w:p>
    <w:p w14:paraId="6B492571">
      <w:pPr>
        <w:pStyle w:val="9"/>
        <w:rPr>
          <w:color w:val="000000"/>
        </w:rPr>
      </w:pPr>
    </w:p>
    <w:p w14:paraId="04A6518A">
      <w:pPr>
        <w:pStyle w:val="9"/>
        <w:spacing w:line="500" w:lineRule="exact"/>
        <w:ind w:firstLine="5094" w:firstLineChars="1800"/>
        <w:rPr>
          <w:rFonts w:ascii="仿宋" w:hAnsi="仿宋" w:eastAsia="仿宋"/>
          <w:bCs/>
          <w:color w:val="000000"/>
        </w:rPr>
      </w:pPr>
      <w:r>
        <w:rPr>
          <w:rFonts w:hint="eastAsia" w:ascii="华文仿宋" w:hAnsi="华文仿宋" w:cs="华文仿宋"/>
          <w:bCs/>
          <w:color w:val="000000"/>
          <w:szCs w:val="32"/>
        </w:rPr>
        <w:t>供应商：</w:t>
      </w:r>
      <w:r>
        <w:rPr>
          <w:rFonts w:hint="eastAsia" w:ascii="华文仿宋" w:hAnsi="华文仿宋" w:cs="华文仿宋"/>
          <w:color w:val="000000"/>
          <w:szCs w:val="32"/>
          <w:u w:val="single"/>
        </w:rPr>
        <w:t>名称</w:t>
      </w:r>
      <w:r>
        <w:rPr>
          <w:rFonts w:hint="eastAsia" w:ascii="华文仿宋" w:hAnsi="华文仿宋" w:cs="华文仿宋"/>
          <w:bCs/>
          <w:color w:val="000000"/>
          <w:szCs w:val="32"/>
        </w:rPr>
        <w:t>（加盖公章）</w:t>
      </w:r>
      <w:r>
        <w:rPr>
          <w:rFonts w:ascii="仿宋" w:hAnsi="仿宋" w:eastAsia="仿宋"/>
          <w:bCs/>
          <w:color w:val="000000"/>
        </w:rPr>
        <w:tab/>
      </w:r>
    </w:p>
    <w:p w14:paraId="68547122">
      <w:pPr>
        <w:spacing w:line="500" w:lineRule="exact"/>
        <w:ind w:firstLine="5377" w:firstLineChars="1900"/>
        <w:rPr>
          <w:rFonts w:ascii="宋体" w:hAnsi="宋体"/>
          <w:b/>
          <w:bCs/>
          <w:color w:val="000000"/>
          <w:sz w:val="32"/>
          <w:szCs w:val="32"/>
        </w:rPr>
        <w:sectPr>
          <w:headerReference r:id="rId12" w:type="default"/>
          <w:footerReference r:id="rId13" w:type="default"/>
          <w:type w:val="continuous"/>
          <w:pgSz w:w="11906" w:h="16838"/>
          <w:pgMar w:top="1417" w:right="1417" w:bottom="1417" w:left="1417" w:header="850" w:footer="992" w:gutter="0"/>
          <w:cols w:space="720" w:num="1"/>
          <w:docGrid w:type="linesAndChars" w:linePitch="381" w:charSpace="704"/>
        </w:sectPr>
      </w:pPr>
      <w:r>
        <w:rPr>
          <w:color w:val="000000"/>
        </w:rPr>
        <w:t>日期：　年　月　</w:t>
      </w:r>
      <w:r>
        <w:rPr>
          <w:rFonts w:hint="eastAsia"/>
          <w:color w:val="000000"/>
        </w:rPr>
        <w:t xml:space="preserve"> 日</w:t>
      </w:r>
    </w:p>
    <w:p w14:paraId="71887B61">
      <w:pPr>
        <w:pStyle w:val="30"/>
        <w:ind w:firstLine="609"/>
        <w:jc w:val="both"/>
        <w:outlineLvl w:val="2"/>
        <w:rPr>
          <w:rFonts w:ascii="仿宋" w:hAnsi="仿宋" w:eastAsia="仿宋" w:cs="仿宋"/>
          <w:bCs w:val="0"/>
          <w:color w:val="000000"/>
        </w:rPr>
      </w:pPr>
      <w:bookmarkStart w:id="288" w:name="_Toc27738"/>
      <w:bookmarkStart w:id="289" w:name="_Toc31382"/>
      <w:bookmarkStart w:id="290" w:name="_Toc19377"/>
      <w:r>
        <w:rPr>
          <w:rFonts w:hint="eastAsia" w:ascii="仿宋" w:hAnsi="仿宋" w:eastAsia="仿宋" w:cs="仿宋"/>
          <w:color w:val="000000"/>
        </w:rPr>
        <w:br w:type="page"/>
      </w:r>
      <w:r>
        <w:rPr>
          <w:rFonts w:hint="eastAsia" w:ascii="仿宋" w:hAnsi="仿宋" w:eastAsia="仿宋" w:cs="仿宋"/>
          <w:color w:val="000000"/>
          <w:sz w:val="32"/>
        </w:rPr>
        <w:t>四、</w:t>
      </w:r>
      <w:bookmarkStart w:id="291" w:name="_Toc20905"/>
      <w:r>
        <w:rPr>
          <w:rFonts w:hint="eastAsia" w:ascii="仿宋" w:hAnsi="仿宋" w:eastAsia="仿宋" w:cs="仿宋"/>
          <w:bCs w:val="0"/>
          <w:color w:val="000000"/>
        </w:rPr>
        <w:t>供应商</w:t>
      </w:r>
      <w:bookmarkEnd w:id="288"/>
      <w:bookmarkEnd w:id="289"/>
      <w:bookmarkEnd w:id="290"/>
      <w:r>
        <w:rPr>
          <w:rFonts w:hint="eastAsia" w:ascii="仿宋" w:hAnsi="仿宋" w:eastAsia="仿宋" w:cs="仿宋"/>
          <w:bCs w:val="0"/>
          <w:color w:val="000000"/>
        </w:rPr>
        <w:t>承诺书</w:t>
      </w:r>
      <w:bookmarkEnd w:id="291"/>
    </w:p>
    <w:p w14:paraId="0F77DDCC">
      <w:pPr>
        <w:spacing w:line="500" w:lineRule="exact"/>
        <w:ind w:firstLine="566" w:firstLineChars="200"/>
        <w:rPr>
          <w:color w:val="000000"/>
        </w:rPr>
      </w:pPr>
      <w:r>
        <w:rPr>
          <w:color w:val="000000"/>
        </w:rPr>
        <w:t>未签署下列承诺书的，其责任由</w:t>
      </w:r>
      <w:r>
        <w:rPr>
          <w:rFonts w:hint="eastAsia"/>
          <w:color w:val="000000"/>
        </w:rPr>
        <w:t>供应商</w:t>
      </w:r>
      <w:r>
        <w:rPr>
          <w:color w:val="000000"/>
        </w:rPr>
        <w:t>自行承担。</w:t>
      </w:r>
    </w:p>
    <w:p w14:paraId="6D446DC5">
      <w:pPr>
        <w:spacing w:line="500" w:lineRule="exact"/>
        <w:ind w:firstLine="566" w:firstLineChars="200"/>
        <w:rPr>
          <w:b/>
          <w:color w:val="000000"/>
        </w:rPr>
      </w:pPr>
      <w:r>
        <w:rPr>
          <w:rFonts w:hint="eastAsia"/>
          <w:b/>
          <w:color w:val="000000"/>
        </w:rPr>
        <w:t>（</w:t>
      </w:r>
      <w:r>
        <w:rPr>
          <w:b/>
          <w:color w:val="000000"/>
        </w:rPr>
        <w:t>一</w:t>
      </w:r>
      <w:r>
        <w:rPr>
          <w:rFonts w:hint="eastAsia"/>
          <w:b/>
          <w:color w:val="000000"/>
        </w:rPr>
        <w:t>）</w:t>
      </w:r>
      <w:r>
        <w:rPr>
          <w:b/>
          <w:color w:val="000000"/>
        </w:rPr>
        <w:t>质量安全责任承诺书</w:t>
      </w:r>
    </w:p>
    <w:p w14:paraId="3ADEE5BF">
      <w:pPr>
        <w:spacing w:line="500" w:lineRule="exact"/>
        <w:ind w:firstLine="566" w:firstLineChars="200"/>
        <w:rPr>
          <w:color w:val="000000"/>
        </w:rPr>
      </w:pPr>
      <w:r>
        <w:rPr>
          <w:color w:val="000000"/>
        </w:rPr>
        <w:t>为保证本采购项目顺利进行，作为</w:t>
      </w:r>
      <w:r>
        <w:rPr>
          <w:rFonts w:hint="eastAsia"/>
          <w:color w:val="000000"/>
        </w:rPr>
        <w:t>供应商</w:t>
      </w:r>
      <w:r>
        <w:rPr>
          <w:color w:val="000000"/>
        </w:rPr>
        <w:t>，现郑重承诺：</w:t>
      </w:r>
    </w:p>
    <w:p w14:paraId="2C6D1FAE">
      <w:pPr>
        <w:spacing w:line="500" w:lineRule="exact"/>
        <w:ind w:firstLine="566" w:firstLineChars="200"/>
        <w:rPr>
          <w:color w:val="000000"/>
        </w:rPr>
      </w:pPr>
      <w:r>
        <w:rPr>
          <w:rFonts w:ascii="宋体" w:hAnsi="宋体" w:eastAsia="宋体" w:cs="宋体"/>
          <w:color w:val="000000"/>
        </w:rPr>
        <w:t>1</w:t>
      </w:r>
      <w:r>
        <w:rPr>
          <w:rFonts w:hint="eastAsia" w:ascii="宋体" w:hAnsi="宋体" w:eastAsia="宋体" w:cs="宋体"/>
          <w:color w:val="000000"/>
        </w:rPr>
        <w:t>.</w:t>
      </w:r>
      <w:r>
        <w:rPr>
          <w:color w:val="000000"/>
        </w:rPr>
        <w:t>我方</w:t>
      </w:r>
      <w:r>
        <w:rPr>
          <w:rFonts w:hint="eastAsia"/>
          <w:color w:val="000000"/>
        </w:rPr>
        <w:t>所投</w:t>
      </w:r>
      <w:r>
        <w:rPr>
          <w:color w:val="000000"/>
        </w:rPr>
        <w:t>产品的生产</w:t>
      </w:r>
      <w:r>
        <w:rPr>
          <w:rFonts w:hint="eastAsia"/>
          <w:color w:val="000000"/>
        </w:rPr>
        <w:t>（</w:t>
      </w:r>
      <w:r>
        <w:rPr>
          <w:color w:val="000000"/>
        </w:rPr>
        <w:t>包括设计、制造、安装、改造、维修等）、投入使用的材料等均完全符合国家现行</w:t>
      </w:r>
      <w:r>
        <w:rPr>
          <w:rFonts w:hint="eastAsia"/>
          <w:color w:val="000000"/>
        </w:rPr>
        <w:t>质量、安全、环保标准和要求。</w:t>
      </w:r>
    </w:p>
    <w:p w14:paraId="201FBCBF">
      <w:pPr>
        <w:spacing w:line="500" w:lineRule="exact"/>
        <w:ind w:firstLine="566" w:firstLineChars="200"/>
        <w:rPr>
          <w:color w:val="000000"/>
        </w:rPr>
      </w:pPr>
      <w:r>
        <w:rPr>
          <w:rFonts w:ascii="宋体" w:hAnsi="宋体" w:eastAsia="宋体" w:cs="宋体"/>
          <w:color w:val="000000"/>
        </w:rPr>
        <w:t>2</w:t>
      </w:r>
      <w:r>
        <w:rPr>
          <w:rFonts w:hint="eastAsia" w:ascii="宋体" w:hAnsi="宋体" w:eastAsia="宋体" w:cs="宋体"/>
          <w:color w:val="000000"/>
        </w:rPr>
        <w:t>.</w:t>
      </w:r>
      <w:r>
        <w:rPr>
          <w:color w:val="000000"/>
        </w:rPr>
        <w:t>我方将严格按照国家现行相关储存、运输、安装调试技术标准及规范、服务标准及规范、施工标准及规范，在规定的时限内，保质、保量完成项目全部内容，并向采购人交付合格产品。</w:t>
      </w:r>
    </w:p>
    <w:p w14:paraId="6806ABF4">
      <w:pPr>
        <w:spacing w:line="500" w:lineRule="exact"/>
        <w:ind w:firstLine="566" w:firstLineChars="200"/>
        <w:rPr>
          <w:color w:val="000000"/>
        </w:rPr>
      </w:pPr>
      <w:r>
        <w:rPr>
          <w:rFonts w:ascii="宋体" w:hAnsi="宋体" w:eastAsia="宋体" w:cs="宋体"/>
          <w:color w:val="000000"/>
        </w:rPr>
        <w:t>3</w:t>
      </w:r>
      <w:r>
        <w:rPr>
          <w:rFonts w:hint="eastAsia" w:ascii="宋体" w:hAnsi="宋体" w:eastAsia="宋体" w:cs="宋体"/>
          <w:color w:val="000000"/>
        </w:rPr>
        <w:t>.</w:t>
      </w:r>
      <w:r>
        <w:rPr>
          <w:color w:val="000000"/>
        </w:rPr>
        <w:t>对于因产品生产质量以及储存、运输、安装调试、服务、施工等过程中产生的任何安全事故，我方承担全部责任。</w:t>
      </w:r>
    </w:p>
    <w:p w14:paraId="71392A45">
      <w:pPr>
        <w:spacing w:line="500" w:lineRule="exact"/>
        <w:ind w:firstLine="566" w:firstLineChars="200"/>
        <w:rPr>
          <w:color w:val="000000"/>
        </w:rPr>
      </w:pPr>
      <w:r>
        <w:rPr>
          <w:rFonts w:ascii="宋体" w:hAnsi="宋体" w:eastAsia="宋体" w:cs="宋体"/>
          <w:color w:val="000000"/>
        </w:rPr>
        <w:t>4</w:t>
      </w:r>
      <w:r>
        <w:rPr>
          <w:rFonts w:hint="eastAsia" w:ascii="宋体" w:hAnsi="宋体" w:eastAsia="宋体" w:cs="宋体"/>
          <w:color w:val="000000"/>
        </w:rPr>
        <w:t>.</w:t>
      </w:r>
      <w:r>
        <w:rPr>
          <w:color w:val="000000"/>
        </w:rPr>
        <w:t>我方提供的货物、工程、服务等符合现行的国家、行业、地区、企业标准及要求，标准不一致的，以更为严格的为准，我方对提供的货物、工程、服务等的质量、安全、环保等承担全部责任。</w:t>
      </w:r>
    </w:p>
    <w:p w14:paraId="2788A71B">
      <w:pPr>
        <w:spacing w:line="500" w:lineRule="exact"/>
        <w:ind w:firstLine="566" w:firstLineChars="200"/>
        <w:rPr>
          <w:color w:val="000000"/>
        </w:rPr>
      </w:pPr>
    </w:p>
    <w:p w14:paraId="3D5F3B57">
      <w:pPr>
        <w:spacing w:line="500" w:lineRule="exact"/>
        <w:ind w:firstLine="5094" w:firstLineChars="1800"/>
        <w:jc w:val="right"/>
        <w:rPr>
          <w:color w:val="000000"/>
        </w:rPr>
      </w:pPr>
      <w:r>
        <w:rPr>
          <w:rFonts w:hint="eastAsia"/>
          <w:color w:val="000000"/>
        </w:rPr>
        <w:t>供应商</w:t>
      </w:r>
      <w:r>
        <w:rPr>
          <w:color w:val="000000"/>
        </w:rPr>
        <w:t>：</w:t>
      </w:r>
      <w:r>
        <w:rPr>
          <w:rFonts w:hint="eastAsia"/>
          <w:color w:val="000000"/>
          <w:u w:val="single"/>
        </w:rPr>
        <w:t>名称</w:t>
      </w:r>
      <w:r>
        <w:rPr>
          <w:rFonts w:hint="eastAsia"/>
          <w:color w:val="000000"/>
        </w:rPr>
        <w:t>（</w:t>
      </w:r>
      <w:r>
        <w:rPr>
          <w:color w:val="000000"/>
        </w:rPr>
        <w:t>加盖公章）</w:t>
      </w:r>
    </w:p>
    <w:p w14:paraId="6977F2B8">
      <w:pPr>
        <w:spacing w:line="500" w:lineRule="exact"/>
        <w:ind w:firstLine="566" w:firstLineChars="200"/>
        <w:jc w:val="right"/>
        <w:rPr>
          <w:color w:val="000000"/>
        </w:rPr>
      </w:pPr>
      <w:r>
        <w:rPr>
          <w:color w:val="000000"/>
        </w:rPr>
        <w:t>日期：　　年　月　日</w:t>
      </w:r>
    </w:p>
    <w:p w14:paraId="6B072E24">
      <w:pPr>
        <w:spacing w:line="500" w:lineRule="exact"/>
        <w:rPr>
          <w:color w:val="000000"/>
        </w:rPr>
      </w:pPr>
    </w:p>
    <w:p w14:paraId="46D2FC82">
      <w:pPr>
        <w:spacing w:line="500" w:lineRule="exact"/>
        <w:ind w:firstLine="566" w:firstLineChars="200"/>
        <w:rPr>
          <w:b/>
          <w:color w:val="000000"/>
        </w:rPr>
      </w:pPr>
      <w:r>
        <w:rPr>
          <w:rFonts w:hint="eastAsia"/>
          <w:b/>
          <w:color w:val="000000"/>
        </w:rPr>
        <w:br w:type="page"/>
      </w:r>
      <w:r>
        <w:rPr>
          <w:rFonts w:hint="eastAsia"/>
          <w:b/>
          <w:color w:val="000000"/>
        </w:rPr>
        <w:t>（</w:t>
      </w:r>
      <w:r>
        <w:rPr>
          <w:b/>
          <w:color w:val="000000"/>
        </w:rPr>
        <w:t>二</w:t>
      </w:r>
      <w:r>
        <w:rPr>
          <w:rFonts w:hint="eastAsia"/>
          <w:b/>
          <w:color w:val="000000"/>
        </w:rPr>
        <w:t>）拒绝政府采购领域商业贿赂承诺书</w:t>
      </w:r>
    </w:p>
    <w:p w14:paraId="6048294F">
      <w:pPr>
        <w:overflowPunct w:val="0"/>
        <w:topLinePunct/>
        <w:spacing w:line="440" w:lineRule="exact"/>
        <w:jc w:val="center"/>
        <w:rPr>
          <w:rFonts w:ascii="仿宋" w:hAnsi="仿宋" w:eastAsia="仿宋" w:cs="方正仿宋_GB18030"/>
          <w:bCs/>
          <w:color w:val="000000"/>
        </w:rPr>
      </w:pPr>
      <w:r>
        <w:rPr>
          <w:rFonts w:hint="eastAsia" w:ascii="仿宋" w:hAnsi="仿宋" w:eastAsia="仿宋" w:cs="方正仿宋_GB18030"/>
          <w:bCs/>
          <w:color w:val="000000"/>
        </w:rPr>
        <w:t>（执行陕财办采管[2006]21号文件）</w:t>
      </w:r>
    </w:p>
    <w:p w14:paraId="340AD548">
      <w:pPr>
        <w:spacing w:line="500" w:lineRule="exact"/>
        <w:ind w:firstLine="566" w:firstLineChars="200"/>
        <w:rPr>
          <w:color w:val="000000"/>
        </w:rPr>
      </w:pPr>
      <w:r>
        <w:rPr>
          <w:rFonts w:hint="eastAsia"/>
          <w:color w:val="000000"/>
        </w:rPr>
        <w:t>为响应党中央、国务院关于治理政府采购领域商业贿赂行为的号召，我公司在此庄严承诺：</w:t>
      </w:r>
    </w:p>
    <w:p w14:paraId="10987255">
      <w:pPr>
        <w:spacing w:line="500" w:lineRule="exact"/>
        <w:ind w:firstLine="566" w:firstLineChars="200"/>
        <w:rPr>
          <w:color w:val="000000"/>
        </w:rPr>
      </w:pPr>
      <w:r>
        <w:rPr>
          <w:rFonts w:hint="eastAsia" w:ascii="宋体" w:hAnsi="宋体" w:eastAsia="宋体" w:cs="宋体"/>
          <w:color w:val="000000"/>
        </w:rPr>
        <w:t>1.</w:t>
      </w:r>
      <w:r>
        <w:rPr>
          <w:rFonts w:hint="eastAsia"/>
          <w:color w:val="000000"/>
        </w:rPr>
        <w:t>在参与政府采购活动中遵纪守法、诚信经营、公平竞标。</w:t>
      </w:r>
    </w:p>
    <w:p w14:paraId="57E85D84">
      <w:pPr>
        <w:spacing w:line="500" w:lineRule="exact"/>
        <w:ind w:firstLine="566" w:firstLineChars="200"/>
        <w:rPr>
          <w:color w:val="000000"/>
        </w:rPr>
      </w:pPr>
      <w:r>
        <w:rPr>
          <w:rFonts w:hint="eastAsia" w:ascii="宋体" w:hAnsi="宋体" w:eastAsia="宋体" w:cs="宋体"/>
          <w:color w:val="000000"/>
        </w:rPr>
        <w:t>2.</w:t>
      </w:r>
      <w:r>
        <w:rPr>
          <w:rFonts w:hint="eastAsia"/>
          <w:color w:val="000000"/>
        </w:rPr>
        <w:t>不向政府采购人、采购代理机构和政府采购评审专家进行任何形式的商业贿赂以谋取交易机会。</w:t>
      </w:r>
    </w:p>
    <w:p w14:paraId="1C9543B3">
      <w:pPr>
        <w:spacing w:line="500" w:lineRule="exact"/>
        <w:ind w:firstLine="566" w:firstLineChars="200"/>
        <w:rPr>
          <w:color w:val="000000"/>
        </w:rPr>
      </w:pPr>
      <w:r>
        <w:rPr>
          <w:rFonts w:hint="eastAsia" w:ascii="宋体" w:hAnsi="宋体" w:eastAsia="宋体" w:cs="宋体"/>
          <w:color w:val="000000"/>
        </w:rPr>
        <w:t>3.</w:t>
      </w:r>
      <w:r>
        <w:rPr>
          <w:rFonts w:hint="eastAsia"/>
          <w:color w:val="000000"/>
        </w:rPr>
        <w:t>不向政府采购代理机构和采购人提供虚假资质文件或采用虚假应标方式参与政府采购市场竞争并谋取中标、成交。</w:t>
      </w:r>
    </w:p>
    <w:p w14:paraId="04833718">
      <w:pPr>
        <w:spacing w:line="500" w:lineRule="exact"/>
        <w:ind w:firstLine="566" w:firstLineChars="200"/>
        <w:rPr>
          <w:color w:val="000000"/>
        </w:rPr>
      </w:pPr>
      <w:r>
        <w:rPr>
          <w:rFonts w:hint="eastAsia" w:ascii="宋体" w:hAnsi="宋体" w:eastAsia="宋体" w:cs="宋体"/>
          <w:color w:val="000000"/>
        </w:rPr>
        <w:t>4.</w:t>
      </w:r>
      <w:r>
        <w:rPr>
          <w:rFonts w:hint="eastAsia"/>
          <w:color w:val="000000"/>
        </w:rPr>
        <w:t>不采取“围标、陪标”等商业欺诈手段获得政府采购定单。</w:t>
      </w:r>
    </w:p>
    <w:p w14:paraId="4AF98519">
      <w:pPr>
        <w:spacing w:line="500" w:lineRule="exact"/>
        <w:ind w:firstLine="566" w:firstLineChars="200"/>
        <w:rPr>
          <w:color w:val="000000"/>
        </w:rPr>
      </w:pPr>
      <w:r>
        <w:rPr>
          <w:rFonts w:hint="eastAsia" w:ascii="宋体" w:hAnsi="宋体" w:eastAsia="宋体" w:cs="宋体"/>
          <w:color w:val="000000"/>
        </w:rPr>
        <w:t>5.</w:t>
      </w:r>
      <w:r>
        <w:rPr>
          <w:rFonts w:hint="eastAsia"/>
          <w:color w:val="000000"/>
        </w:rPr>
        <w:t>不采取不正当手段诋毁、排挤其他供应商。</w:t>
      </w:r>
    </w:p>
    <w:p w14:paraId="06C7ADEA">
      <w:pPr>
        <w:spacing w:line="500" w:lineRule="exact"/>
        <w:ind w:firstLine="566" w:firstLineChars="200"/>
        <w:rPr>
          <w:color w:val="000000"/>
        </w:rPr>
      </w:pPr>
      <w:r>
        <w:rPr>
          <w:rFonts w:hint="eastAsia" w:ascii="宋体" w:hAnsi="宋体" w:eastAsia="宋体" w:cs="宋体"/>
          <w:color w:val="000000"/>
        </w:rPr>
        <w:t>6.</w:t>
      </w:r>
      <w:r>
        <w:rPr>
          <w:rFonts w:hint="eastAsia"/>
          <w:color w:val="000000"/>
        </w:rPr>
        <w:t>不在提供服务时损害采购人的合法权益。</w:t>
      </w:r>
    </w:p>
    <w:p w14:paraId="699D48F7">
      <w:pPr>
        <w:spacing w:line="500" w:lineRule="exact"/>
        <w:ind w:firstLine="566" w:firstLineChars="200"/>
        <w:rPr>
          <w:color w:val="000000"/>
        </w:rPr>
      </w:pPr>
      <w:r>
        <w:rPr>
          <w:rFonts w:hint="eastAsia" w:ascii="宋体" w:hAnsi="宋体" w:eastAsia="宋体" w:cs="宋体"/>
          <w:color w:val="000000"/>
        </w:rPr>
        <w:t>7.</w:t>
      </w:r>
      <w:r>
        <w:rPr>
          <w:rFonts w:hint="eastAsia"/>
          <w:color w:val="000000"/>
        </w:rPr>
        <w:t>不与采购人、采购代理机构政府采购评审专家或其它供应商恶意串通，进行质疑和投诉，维护政府采购市场秩序。</w:t>
      </w:r>
    </w:p>
    <w:p w14:paraId="200FE5AA">
      <w:pPr>
        <w:spacing w:line="500" w:lineRule="exact"/>
        <w:ind w:firstLine="566" w:firstLineChars="200"/>
        <w:rPr>
          <w:color w:val="000000"/>
        </w:rPr>
      </w:pPr>
      <w:r>
        <w:rPr>
          <w:rFonts w:hint="eastAsia" w:ascii="宋体" w:hAnsi="宋体" w:eastAsia="宋体" w:cs="宋体"/>
          <w:color w:val="000000"/>
        </w:rPr>
        <w:t>8.</w:t>
      </w:r>
      <w:r>
        <w:rPr>
          <w:rFonts w:hint="eastAsia"/>
          <w:color w:val="000000"/>
        </w:rPr>
        <w:t>尊重和接受政府采购监督管理部门的监督和政府采购代理机构招标采购要求，承担因违约行为给采购人造成的损失。</w:t>
      </w:r>
    </w:p>
    <w:p w14:paraId="5140FFDD">
      <w:pPr>
        <w:spacing w:line="500" w:lineRule="exact"/>
        <w:ind w:firstLine="566" w:firstLineChars="200"/>
        <w:rPr>
          <w:color w:val="000000"/>
        </w:rPr>
      </w:pPr>
      <w:r>
        <w:rPr>
          <w:rFonts w:hint="eastAsia" w:ascii="宋体" w:hAnsi="宋体" w:eastAsia="宋体" w:cs="宋体"/>
          <w:color w:val="000000"/>
        </w:rPr>
        <w:t>9.</w:t>
      </w:r>
      <w:r>
        <w:rPr>
          <w:rFonts w:hint="eastAsia"/>
          <w:color w:val="000000"/>
        </w:rPr>
        <w:t>不发生其他有悖于政府采购公开、公平、公正和诚信原则的行为。</w:t>
      </w:r>
    </w:p>
    <w:p w14:paraId="558C9D44">
      <w:pPr>
        <w:spacing w:line="500" w:lineRule="exact"/>
        <w:rPr>
          <w:color w:val="000000"/>
        </w:rPr>
      </w:pPr>
    </w:p>
    <w:p w14:paraId="75A6AE77">
      <w:pPr>
        <w:spacing w:line="500" w:lineRule="exact"/>
        <w:ind w:firstLine="5377" w:firstLineChars="1900"/>
        <w:rPr>
          <w:color w:val="000000"/>
        </w:rPr>
      </w:pPr>
      <w:r>
        <w:rPr>
          <w:rFonts w:hint="eastAsia"/>
          <w:color w:val="000000"/>
        </w:rPr>
        <w:t>供应商：</w:t>
      </w:r>
      <w:r>
        <w:rPr>
          <w:rFonts w:hint="eastAsia"/>
          <w:color w:val="000000"/>
          <w:u w:val="single"/>
        </w:rPr>
        <w:t>名称</w:t>
      </w:r>
      <w:r>
        <w:rPr>
          <w:rFonts w:hint="eastAsia"/>
          <w:color w:val="000000"/>
        </w:rPr>
        <w:t>（加盖公章）</w:t>
      </w:r>
    </w:p>
    <w:p w14:paraId="44EB8E42">
      <w:pPr>
        <w:spacing w:line="500" w:lineRule="exact"/>
        <w:ind w:firstLine="566" w:firstLineChars="200"/>
        <w:rPr>
          <w:color w:val="000000"/>
        </w:rPr>
      </w:pPr>
      <w:r>
        <w:rPr>
          <w:rFonts w:hint="eastAsia"/>
          <w:color w:val="000000"/>
        </w:rPr>
        <w:t xml:space="preserve">                                    日期：　 年　月　日</w:t>
      </w:r>
    </w:p>
    <w:p w14:paraId="2D8A0F75">
      <w:pPr>
        <w:spacing w:line="360" w:lineRule="atLeast"/>
        <w:jc w:val="left"/>
        <w:rPr>
          <w:rFonts w:ascii="宋体" w:hAnsi="宋体"/>
          <w:b/>
          <w:bCs/>
          <w:sz w:val="32"/>
          <w:szCs w:val="32"/>
        </w:rPr>
      </w:pPr>
      <w:r>
        <w:rPr>
          <w:rFonts w:hint="eastAsia"/>
          <w:color w:val="000000"/>
        </w:rPr>
        <w:br w:type="page"/>
      </w:r>
      <w:r>
        <w:rPr>
          <w:rFonts w:hint="eastAsia"/>
          <w:b/>
          <w:bCs/>
          <w:color w:val="000000"/>
        </w:rPr>
        <w:t>（三）</w:t>
      </w:r>
      <w:r>
        <w:rPr>
          <w:rFonts w:hint="eastAsia" w:ascii="宋体" w:hAnsi="宋体"/>
          <w:b/>
          <w:bCs/>
          <w:sz w:val="32"/>
          <w:szCs w:val="32"/>
        </w:rPr>
        <w:t>承诺书</w:t>
      </w:r>
      <w:r>
        <w:rPr>
          <w:rFonts w:hint="eastAsia" w:hAnsi="宋体"/>
          <w:b/>
          <w:sz w:val="32"/>
          <w:szCs w:val="32"/>
        </w:rPr>
        <w:t>Ⅰ</w:t>
      </w:r>
    </w:p>
    <w:p w14:paraId="09D020D1">
      <w:pPr>
        <w:pStyle w:val="11"/>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7E52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0D8A4E2E">
            <w:pPr>
              <w:spacing w:line="360" w:lineRule="atLeast"/>
              <w:rPr>
                <w:rFonts w:ascii="宋体" w:hAnsi="宋体"/>
                <w:sz w:val="24"/>
              </w:rPr>
            </w:pPr>
            <w:r>
              <w:rPr>
                <w:rFonts w:hint="eastAsia" w:ascii="宋体" w:hAnsi="宋体"/>
                <w:sz w:val="24"/>
              </w:rPr>
              <w:t>致：</w:t>
            </w:r>
            <w:r>
              <w:rPr>
                <w:rFonts w:hint="eastAsia" w:ascii="宋体" w:hAnsi="宋体"/>
                <w:spacing w:val="-6"/>
                <w:sz w:val="24"/>
              </w:rPr>
              <w:t>延安市公共资源交易中心（延安市市直单位政府采购中心）</w:t>
            </w:r>
          </w:p>
        </w:tc>
      </w:tr>
      <w:tr w14:paraId="3B0CD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1B2B8709">
            <w:pPr>
              <w:spacing w:line="360" w:lineRule="atLeast"/>
              <w:ind w:firstLine="486" w:firstLineChars="200"/>
              <w:rPr>
                <w:rFonts w:ascii="宋体" w:hAnsi="宋体"/>
                <w:sz w:val="24"/>
              </w:rPr>
            </w:pPr>
            <w:r>
              <w:rPr>
                <w:rFonts w:hint="eastAsia" w:ascii="宋体" w:hAnsi="宋体"/>
                <w:sz w:val="24"/>
              </w:rPr>
              <w:t>作为参加贵单位组织的磋商采购项目的投标人，本公司承诺：在参加本项目磋商之前不存在被依法禁止经营行为、财产被接管或冻结的情况，如有隐瞒实情，愿承担一切责任及后果。</w:t>
            </w:r>
          </w:p>
        </w:tc>
      </w:tr>
      <w:tr w14:paraId="64165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2BEE0248">
            <w:pPr>
              <w:spacing w:line="360" w:lineRule="atLeast"/>
              <w:jc w:val="center"/>
              <w:rPr>
                <w:rFonts w:ascii="宋体" w:hAnsi="宋体"/>
                <w:sz w:val="24"/>
              </w:rPr>
            </w:pPr>
            <w:r>
              <w:rPr>
                <w:rFonts w:hint="eastAsia" w:ascii="宋体" w:hAnsi="宋体"/>
                <w:sz w:val="24"/>
              </w:rPr>
              <w:t>响应人</w:t>
            </w:r>
          </w:p>
        </w:tc>
        <w:tc>
          <w:tcPr>
            <w:tcW w:w="3420" w:type="dxa"/>
            <w:vAlign w:val="center"/>
          </w:tcPr>
          <w:p w14:paraId="2F264C89">
            <w:pPr>
              <w:spacing w:line="360" w:lineRule="atLeast"/>
              <w:jc w:val="center"/>
              <w:rPr>
                <w:rFonts w:ascii="宋体" w:hAnsi="宋体"/>
                <w:sz w:val="24"/>
              </w:rPr>
            </w:pPr>
            <w:r>
              <w:rPr>
                <w:rFonts w:hint="eastAsia" w:ascii="宋体" w:hAnsi="宋体"/>
                <w:sz w:val="24"/>
              </w:rPr>
              <w:t>法定代表人</w:t>
            </w:r>
          </w:p>
        </w:tc>
        <w:tc>
          <w:tcPr>
            <w:tcW w:w="2340" w:type="dxa"/>
            <w:vAlign w:val="center"/>
          </w:tcPr>
          <w:p w14:paraId="14C21CDE">
            <w:pPr>
              <w:spacing w:line="360" w:lineRule="atLeast"/>
              <w:jc w:val="center"/>
              <w:rPr>
                <w:rFonts w:ascii="宋体" w:hAnsi="宋体"/>
                <w:sz w:val="24"/>
              </w:rPr>
            </w:pPr>
            <w:r>
              <w:rPr>
                <w:rFonts w:hint="eastAsia" w:ascii="宋体" w:hAnsi="宋体"/>
                <w:sz w:val="24"/>
              </w:rPr>
              <w:t>日  期</w:t>
            </w:r>
          </w:p>
        </w:tc>
      </w:tr>
      <w:tr w14:paraId="7BC12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1468D9D4">
            <w:pPr>
              <w:spacing w:line="360" w:lineRule="atLeast"/>
              <w:jc w:val="center"/>
              <w:rPr>
                <w:rFonts w:ascii="宋体" w:hAnsi="宋体"/>
                <w:sz w:val="24"/>
              </w:rPr>
            </w:pPr>
            <w:r>
              <w:rPr>
                <w:rFonts w:hint="eastAsia" w:ascii="宋体" w:hAnsi="宋体"/>
                <w:sz w:val="24"/>
              </w:rPr>
              <w:t>（公章）</w:t>
            </w:r>
          </w:p>
        </w:tc>
        <w:tc>
          <w:tcPr>
            <w:tcW w:w="3420" w:type="dxa"/>
            <w:vAlign w:val="center"/>
          </w:tcPr>
          <w:p w14:paraId="326C132E">
            <w:pPr>
              <w:spacing w:line="360" w:lineRule="atLeast"/>
              <w:jc w:val="center"/>
              <w:rPr>
                <w:rFonts w:ascii="宋体" w:hAnsi="宋体"/>
                <w:sz w:val="24"/>
              </w:rPr>
            </w:pPr>
            <w:r>
              <w:rPr>
                <w:rFonts w:hint="eastAsia" w:ascii="宋体" w:hAnsi="宋体"/>
                <w:sz w:val="24"/>
              </w:rPr>
              <w:t>（签字或盖章）</w:t>
            </w:r>
          </w:p>
        </w:tc>
        <w:tc>
          <w:tcPr>
            <w:tcW w:w="2340" w:type="dxa"/>
            <w:vAlign w:val="center"/>
          </w:tcPr>
          <w:p w14:paraId="73C5E050">
            <w:pPr>
              <w:spacing w:line="360" w:lineRule="atLeast"/>
              <w:ind w:firstLine="243" w:firstLineChars="100"/>
              <w:jc w:val="center"/>
              <w:rPr>
                <w:rFonts w:ascii="宋体" w:hAnsi="宋体"/>
                <w:sz w:val="24"/>
              </w:rPr>
            </w:pPr>
            <w:r>
              <w:rPr>
                <w:rFonts w:hint="eastAsia" w:ascii="宋体" w:hAnsi="宋体"/>
                <w:sz w:val="24"/>
              </w:rPr>
              <w:t>年  月  日</w:t>
            </w:r>
          </w:p>
        </w:tc>
      </w:tr>
    </w:tbl>
    <w:p w14:paraId="147EE38A">
      <w:pPr>
        <w:spacing w:line="360" w:lineRule="atLeast"/>
        <w:rPr>
          <w:rFonts w:ascii="宋体" w:hAnsi="宋体"/>
          <w:b/>
          <w:sz w:val="42"/>
          <w:szCs w:val="42"/>
        </w:rPr>
      </w:pPr>
    </w:p>
    <w:p w14:paraId="6844AD7F">
      <w:pPr>
        <w:spacing w:line="360" w:lineRule="atLeast"/>
        <w:rPr>
          <w:rFonts w:ascii="宋体" w:hAnsi="宋体"/>
          <w:b/>
          <w:sz w:val="32"/>
          <w:szCs w:val="32"/>
        </w:rPr>
      </w:pPr>
      <w:r>
        <w:rPr>
          <w:rFonts w:hint="eastAsia" w:ascii="宋体" w:hAnsi="宋体"/>
          <w:b/>
          <w:sz w:val="32"/>
          <w:szCs w:val="32"/>
        </w:rPr>
        <w:t>承诺书Ⅱ</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50B0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0F41BCB8">
            <w:pPr>
              <w:spacing w:line="360" w:lineRule="atLeast"/>
              <w:rPr>
                <w:rFonts w:ascii="宋体" w:hAnsi="宋体"/>
                <w:sz w:val="24"/>
              </w:rPr>
            </w:pPr>
            <w:r>
              <w:rPr>
                <w:rFonts w:hint="eastAsia" w:ascii="宋体" w:hAnsi="宋体"/>
                <w:sz w:val="24"/>
              </w:rPr>
              <w:t>致：</w:t>
            </w:r>
            <w:r>
              <w:rPr>
                <w:rFonts w:hint="eastAsia" w:ascii="宋体" w:hAnsi="宋体"/>
                <w:spacing w:val="-6"/>
                <w:sz w:val="24"/>
              </w:rPr>
              <w:t>延安市公共资源交易中心（延安市市直单位政府采购中心）</w:t>
            </w:r>
          </w:p>
        </w:tc>
      </w:tr>
      <w:tr w14:paraId="341EF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6DBEA784">
            <w:pPr>
              <w:spacing w:line="360" w:lineRule="atLeast"/>
              <w:ind w:firstLine="486" w:firstLineChars="200"/>
              <w:rPr>
                <w:rFonts w:ascii="宋体" w:hAnsi="宋体"/>
                <w:sz w:val="24"/>
              </w:rPr>
            </w:pPr>
            <w:r>
              <w:rPr>
                <w:rFonts w:hint="eastAsia" w:ascii="宋体" w:hAnsi="宋体"/>
                <w:sz w:val="24"/>
              </w:rPr>
              <w:t>作为参加贵单位组织的磋商采购项目的响应人，本公司郑重申告并承诺：近三年受到有关行政主管部门的行政处理、不良行为记录为</w:t>
            </w:r>
            <w:r>
              <w:rPr>
                <w:rFonts w:hint="eastAsia" w:ascii="宋体" w:hAnsi="宋体"/>
                <w:sz w:val="24"/>
                <w:u w:val="single"/>
              </w:rPr>
              <w:t xml:space="preserve">    </w:t>
            </w:r>
            <w:r>
              <w:rPr>
                <w:rFonts w:hint="eastAsia" w:ascii="宋体" w:hAnsi="宋体"/>
                <w:sz w:val="24"/>
              </w:rPr>
              <w:t>次（没有填零），如有隐瞒实情，愿承担一切责任及后果。</w:t>
            </w:r>
          </w:p>
        </w:tc>
      </w:tr>
      <w:tr w14:paraId="6A08A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F97F4D9">
            <w:pPr>
              <w:spacing w:line="360" w:lineRule="atLeast"/>
              <w:jc w:val="center"/>
              <w:rPr>
                <w:rFonts w:ascii="宋体" w:hAnsi="宋体"/>
                <w:sz w:val="24"/>
              </w:rPr>
            </w:pPr>
            <w:r>
              <w:rPr>
                <w:rFonts w:hint="eastAsia" w:ascii="宋体" w:hAnsi="宋体"/>
                <w:sz w:val="24"/>
              </w:rPr>
              <w:t>响应人</w:t>
            </w:r>
          </w:p>
        </w:tc>
        <w:tc>
          <w:tcPr>
            <w:tcW w:w="3420" w:type="dxa"/>
            <w:vAlign w:val="center"/>
          </w:tcPr>
          <w:p w14:paraId="278B4689">
            <w:pPr>
              <w:spacing w:line="360" w:lineRule="atLeast"/>
              <w:jc w:val="center"/>
              <w:rPr>
                <w:rFonts w:ascii="宋体" w:hAnsi="宋体"/>
                <w:sz w:val="24"/>
              </w:rPr>
            </w:pPr>
            <w:r>
              <w:rPr>
                <w:rFonts w:hint="eastAsia" w:ascii="宋体" w:hAnsi="宋体"/>
                <w:sz w:val="24"/>
              </w:rPr>
              <w:t>法定代表人</w:t>
            </w:r>
          </w:p>
        </w:tc>
        <w:tc>
          <w:tcPr>
            <w:tcW w:w="2340" w:type="dxa"/>
            <w:vAlign w:val="center"/>
          </w:tcPr>
          <w:p w14:paraId="0A421BAB">
            <w:pPr>
              <w:spacing w:line="360" w:lineRule="atLeast"/>
              <w:jc w:val="center"/>
              <w:rPr>
                <w:rFonts w:ascii="宋体" w:hAnsi="宋体"/>
                <w:sz w:val="24"/>
              </w:rPr>
            </w:pPr>
            <w:r>
              <w:rPr>
                <w:rFonts w:hint="eastAsia" w:ascii="宋体" w:hAnsi="宋体"/>
                <w:sz w:val="24"/>
              </w:rPr>
              <w:t>日  期</w:t>
            </w:r>
          </w:p>
        </w:tc>
      </w:tr>
      <w:tr w14:paraId="160CD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4CF27A12">
            <w:pPr>
              <w:spacing w:line="360" w:lineRule="atLeast"/>
              <w:jc w:val="center"/>
              <w:rPr>
                <w:rFonts w:ascii="宋体" w:hAnsi="宋体"/>
                <w:sz w:val="24"/>
              </w:rPr>
            </w:pPr>
            <w:r>
              <w:rPr>
                <w:rFonts w:hint="eastAsia" w:ascii="宋体" w:hAnsi="宋体"/>
                <w:sz w:val="24"/>
              </w:rPr>
              <w:t>（公章）</w:t>
            </w:r>
          </w:p>
        </w:tc>
        <w:tc>
          <w:tcPr>
            <w:tcW w:w="3420" w:type="dxa"/>
            <w:vAlign w:val="center"/>
          </w:tcPr>
          <w:p w14:paraId="13E49071">
            <w:pPr>
              <w:spacing w:line="360" w:lineRule="atLeast"/>
              <w:jc w:val="center"/>
              <w:rPr>
                <w:rFonts w:ascii="宋体" w:hAnsi="宋体"/>
                <w:sz w:val="24"/>
              </w:rPr>
            </w:pPr>
            <w:r>
              <w:rPr>
                <w:rFonts w:hint="eastAsia" w:ascii="宋体" w:hAnsi="宋体"/>
                <w:sz w:val="24"/>
              </w:rPr>
              <w:t>（签字或盖章）</w:t>
            </w:r>
          </w:p>
        </w:tc>
        <w:tc>
          <w:tcPr>
            <w:tcW w:w="2340" w:type="dxa"/>
            <w:vAlign w:val="center"/>
          </w:tcPr>
          <w:p w14:paraId="7441F255">
            <w:pPr>
              <w:spacing w:line="360" w:lineRule="atLeast"/>
              <w:ind w:firstLine="243" w:firstLineChars="100"/>
              <w:jc w:val="center"/>
              <w:rPr>
                <w:rFonts w:ascii="宋体" w:hAnsi="宋体"/>
                <w:sz w:val="24"/>
              </w:rPr>
            </w:pPr>
            <w:r>
              <w:rPr>
                <w:rFonts w:hint="eastAsia" w:ascii="宋体" w:hAnsi="宋体"/>
                <w:sz w:val="24"/>
              </w:rPr>
              <w:t>年  月  日</w:t>
            </w:r>
          </w:p>
        </w:tc>
      </w:tr>
    </w:tbl>
    <w:p w14:paraId="7EE2F9E0">
      <w:pPr>
        <w:spacing w:line="360" w:lineRule="atLeast"/>
        <w:rPr>
          <w:rFonts w:ascii="宋体" w:hAnsi="宋体"/>
          <w:b/>
          <w:sz w:val="32"/>
          <w:szCs w:val="32"/>
        </w:rPr>
      </w:pPr>
    </w:p>
    <w:p w14:paraId="7680653F">
      <w:pPr>
        <w:spacing w:line="360" w:lineRule="atLeast"/>
        <w:rPr>
          <w:rFonts w:ascii="宋体" w:hAnsi="宋体"/>
          <w:b/>
          <w:sz w:val="32"/>
          <w:szCs w:val="32"/>
        </w:rPr>
      </w:pPr>
      <w:r>
        <w:rPr>
          <w:rFonts w:hint="eastAsia" w:ascii="宋体" w:hAnsi="宋体"/>
          <w:b/>
          <w:sz w:val="32"/>
          <w:szCs w:val="32"/>
        </w:rPr>
        <w:t>承诺书Ⅲ</w:t>
      </w:r>
    </w:p>
    <w:p w14:paraId="2E6A35EA">
      <w:pPr>
        <w:pStyle w:val="11"/>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73E5266">
        <w:tblPrEx>
          <w:tblCellMar>
            <w:top w:w="0" w:type="dxa"/>
            <w:left w:w="108" w:type="dxa"/>
            <w:bottom w:w="0" w:type="dxa"/>
            <w:right w:w="108" w:type="dxa"/>
          </w:tblCellMar>
        </w:tblPrEx>
        <w:trPr>
          <w:trHeight w:val="570" w:hRule="atLeast"/>
          <w:jc w:val="center"/>
        </w:trPr>
        <w:tc>
          <w:tcPr>
            <w:tcW w:w="9000" w:type="dxa"/>
            <w:gridSpan w:val="3"/>
            <w:vAlign w:val="center"/>
          </w:tcPr>
          <w:p w14:paraId="47D43566">
            <w:pPr>
              <w:spacing w:line="360" w:lineRule="atLeast"/>
              <w:rPr>
                <w:rFonts w:ascii="宋体" w:hAnsi="宋体"/>
                <w:sz w:val="24"/>
              </w:rPr>
            </w:pPr>
            <w:r>
              <w:rPr>
                <w:rFonts w:hint="eastAsia" w:ascii="宋体" w:hAnsi="宋体"/>
                <w:sz w:val="24"/>
              </w:rPr>
              <w:t>致：</w:t>
            </w:r>
            <w:r>
              <w:rPr>
                <w:rFonts w:hint="eastAsia" w:ascii="宋体" w:hAnsi="宋体"/>
                <w:spacing w:val="-6"/>
                <w:sz w:val="24"/>
              </w:rPr>
              <w:t>延安市公共资源交易中心（延安市市直单位政府采购中心）</w:t>
            </w:r>
          </w:p>
        </w:tc>
      </w:tr>
      <w:tr w14:paraId="35065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58734008">
            <w:pPr>
              <w:spacing w:line="360" w:lineRule="atLeast"/>
              <w:ind w:firstLine="486" w:firstLineChars="200"/>
              <w:rPr>
                <w:rFonts w:ascii="宋体" w:hAnsi="宋体"/>
                <w:sz w:val="24"/>
              </w:rPr>
            </w:pPr>
            <w:r>
              <w:rPr>
                <w:rFonts w:hint="eastAsia" w:ascii="宋体" w:hAnsi="宋体"/>
                <w:sz w:val="24"/>
              </w:rPr>
              <w:t>作为参加贵单位组织的磋商采购项目的投标人，本公司郑重申告：近三年因服务问题的不法行为记录为</w:t>
            </w:r>
            <w:r>
              <w:rPr>
                <w:rFonts w:hint="eastAsia" w:ascii="宋体" w:hAnsi="宋体"/>
                <w:sz w:val="24"/>
                <w:u w:val="single"/>
              </w:rPr>
              <w:t xml:space="preserve">   </w:t>
            </w:r>
            <w:r>
              <w:rPr>
                <w:rFonts w:hint="eastAsia" w:ascii="宋体" w:hAnsi="宋体"/>
                <w:sz w:val="24"/>
              </w:rPr>
              <w:t>次（没有填零），如有隐瞒实情，愿承担一切责任及后果。</w:t>
            </w:r>
          </w:p>
          <w:p w14:paraId="656E9E88">
            <w:pPr>
              <w:spacing w:line="360" w:lineRule="atLeast"/>
              <w:ind w:firstLine="486" w:firstLineChars="200"/>
              <w:rPr>
                <w:rFonts w:ascii="宋体" w:hAnsi="宋体"/>
                <w:sz w:val="24"/>
              </w:rPr>
            </w:pPr>
            <w:r>
              <w:rPr>
                <w:rFonts w:hint="eastAsia" w:ascii="宋体" w:hAnsi="宋体"/>
                <w:sz w:val="24"/>
              </w:rPr>
              <w:t>本公司承诺：本次响应服务不涉及知识产权责任。</w:t>
            </w:r>
          </w:p>
        </w:tc>
      </w:tr>
      <w:tr w14:paraId="112C1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43ED52F2">
            <w:pPr>
              <w:spacing w:line="360" w:lineRule="atLeast"/>
              <w:jc w:val="center"/>
              <w:rPr>
                <w:rFonts w:ascii="宋体" w:hAnsi="宋体"/>
                <w:sz w:val="24"/>
              </w:rPr>
            </w:pPr>
            <w:r>
              <w:rPr>
                <w:rFonts w:hint="eastAsia" w:ascii="宋体" w:hAnsi="宋体"/>
                <w:sz w:val="24"/>
              </w:rPr>
              <w:t>响应人</w:t>
            </w:r>
          </w:p>
        </w:tc>
        <w:tc>
          <w:tcPr>
            <w:tcW w:w="3420" w:type="dxa"/>
            <w:vAlign w:val="center"/>
          </w:tcPr>
          <w:p w14:paraId="76A6D6BF">
            <w:pPr>
              <w:spacing w:line="360" w:lineRule="atLeast"/>
              <w:jc w:val="center"/>
              <w:rPr>
                <w:rFonts w:ascii="宋体" w:hAnsi="宋体"/>
                <w:sz w:val="24"/>
              </w:rPr>
            </w:pPr>
            <w:r>
              <w:rPr>
                <w:rFonts w:hint="eastAsia" w:ascii="宋体" w:hAnsi="宋体"/>
                <w:sz w:val="24"/>
              </w:rPr>
              <w:t>法定代表人</w:t>
            </w:r>
          </w:p>
        </w:tc>
        <w:tc>
          <w:tcPr>
            <w:tcW w:w="2340" w:type="dxa"/>
            <w:vAlign w:val="center"/>
          </w:tcPr>
          <w:p w14:paraId="69F4BC00">
            <w:pPr>
              <w:spacing w:line="360" w:lineRule="atLeast"/>
              <w:jc w:val="center"/>
              <w:rPr>
                <w:rFonts w:ascii="宋体" w:hAnsi="宋体"/>
                <w:sz w:val="24"/>
              </w:rPr>
            </w:pPr>
            <w:r>
              <w:rPr>
                <w:rFonts w:hint="eastAsia" w:ascii="宋体" w:hAnsi="宋体"/>
                <w:sz w:val="24"/>
              </w:rPr>
              <w:t>日   期</w:t>
            </w:r>
          </w:p>
        </w:tc>
      </w:tr>
      <w:tr w14:paraId="4E0D4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5BA69326">
            <w:pPr>
              <w:spacing w:line="360" w:lineRule="atLeast"/>
              <w:jc w:val="center"/>
              <w:rPr>
                <w:rFonts w:ascii="宋体" w:hAnsi="宋体"/>
                <w:sz w:val="24"/>
              </w:rPr>
            </w:pPr>
            <w:r>
              <w:rPr>
                <w:rFonts w:hint="eastAsia" w:ascii="宋体" w:hAnsi="宋体"/>
                <w:sz w:val="24"/>
              </w:rPr>
              <w:t>（公章）</w:t>
            </w:r>
          </w:p>
        </w:tc>
        <w:tc>
          <w:tcPr>
            <w:tcW w:w="3420" w:type="dxa"/>
            <w:vAlign w:val="center"/>
          </w:tcPr>
          <w:p w14:paraId="0036128F">
            <w:pPr>
              <w:spacing w:line="360" w:lineRule="atLeast"/>
              <w:jc w:val="center"/>
              <w:rPr>
                <w:rFonts w:ascii="宋体" w:hAnsi="宋体"/>
                <w:sz w:val="24"/>
              </w:rPr>
            </w:pPr>
            <w:r>
              <w:rPr>
                <w:rFonts w:hint="eastAsia" w:ascii="宋体" w:hAnsi="宋体"/>
                <w:sz w:val="24"/>
              </w:rPr>
              <w:t>（签字或盖章）</w:t>
            </w:r>
          </w:p>
        </w:tc>
        <w:tc>
          <w:tcPr>
            <w:tcW w:w="2340" w:type="dxa"/>
            <w:vAlign w:val="center"/>
          </w:tcPr>
          <w:p w14:paraId="46652569">
            <w:pPr>
              <w:spacing w:line="360" w:lineRule="atLeast"/>
              <w:ind w:firstLine="243" w:firstLineChars="100"/>
              <w:jc w:val="center"/>
              <w:rPr>
                <w:rFonts w:ascii="宋体" w:hAnsi="宋体"/>
                <w:sz w:val="24"/>
              </w:rPr>
            </w:pPr>
            <w:r>
              <w:rPr>
                <w:rFonts w:hint="eastAsia" w:ascii="宋体" w:hAnsi="宋体"/>
                <w:sz w:val="24"/>
              </w:rPr>
              <w:t>年  月  日</w:t>
            </w:r>
          </w:p>
        </w:tc>
      </w:tr>
    </w:tbl>
    <w:p w14:paraId="5CF50BB2">
      <w:pPr>
        <w:spacing w:line="360" w:lineRule="auto"/>
        <w:ind w:right="480"/>
        <w:rPr>
          <w:rFonts w:ascii="宋体" w:hAnsi="宋体"/>
          <w:sz w:val="24"/>
        </w:rPr>
      </w:pPr>
    </w:p>
    <w:p w14:paraId="3E45F288">
      <w:pPr>
        <w:spacing w:line="360" w:lineRule="atLeast"/>
        <w:rPr>
          <w:rFonts w:ascii="宋体" w:hAnsi="宋体"/>
          <w:b/>
          <w:sz w:val="32"/>
          <w:szCs w:val="32"/>
        </w:rPr>
      </w:pPr>
      <w:r>
        <w:rPr>
          <w:rFonts w:hint="eastAsia" w:ascii="宋体" w:hAnsi="宋体"/>
          <w:b/>
          <w:sz w:val="32"/>
          <w:szCs w:val="32"/>
        </w:rPr>
        <w:t>承诺书Ⅳ</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DFB5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04A280E">
            <w:pPr>
              <w:spacing w:line="360" w:lineRule="atLeast"/>
              <w:rPr>
                <w:rFonts w:ascii="宋体" w:hAnsi="宋体"/>
                <w:sz w:val="24"/>
              </w:rPr>
            </w:pPr>
            <w:r>
              <w:rPr>
                <w:rFonts w:hint="eastAsia" w:ascii="宋体" w:hAnsi="宋体"/>
                <w:sz w:val="24"/>
              </w:rPr>
              <w:t>致：</w:t>
            </w:r>
            <w:r>
              <w:rPr>
                <w:rFonts w:hint="eastAsia" w:ascii="宋体" w:hAnsi="宋体"/>
                <w:spacing w:val="-6"/>
                <w:sz w:val="24"/>
              </w:rPr>
              <w:t>延安市公共资源交易中心（延安市市直单位政府采购中心）</w:t>
            </w:r>
          </w:p>
        </w:tc>
      </w:tr>
      <w:tr w14:paraId="58E6E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6FEC1D65">
            <w:pPr>
              <w:spacing w:line="360" w:lineRule="atLeast"/>
              <w:ind w:firstLine="486" w:firstLineChars="200"/>
              <w:rPr>
                <w:rFonts w:ascii="宋体" w:hAnsi="宋体"/>
                <w:sz w:val="24"/>
              </w:rPr>
            </w:pPr>
            <w:r>
              <w:rPr>
                <w:rFonts w:hint="eastAsia" w:ascii="宋体" w:hAnsi="宋体"/>
                <w:sz w:val="24"/>
              </w:rPr>
              <w:t>作为参加贵单位组织的磋商采购项目的投标人，本公司承诺：参加本次磋商提交的所有资质证明文件及业绩证明文件是真实的、有效的，如有隐瞒实情，愿承担一切责任及后果。</w:t>
            </w:r>
          </w:p>
        </w:tc>
      </w:tr>
      <w:tr w14:paraId="3D456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2D610A9B">
            <w:pPr>
              <w:spacing w:line="360" w:lineRule="atLeast"/>
              <w:jc w:val="center"/>
              <w:rPr>
                <w:rFonts w:ascii="宋体" w:hAnsi="宋体"/>
                <w:sz w:val="24"/>
              </w:rPr>
            </w:pPr>
            <w:r>
              <w:rPr>
                <w:rFonts w:hint="eastAsia" w:ascii="宋体" w:hAnsi="宋体"/>
                <w:sz w:val="24"/>
              </w:rPr>
              <w:t>投标人</w:t>
            </w:r>
          </w:p>
        </w:tc>
        <w:tc>
          <w:tcPr>
            <w:tcW w:w="3420" w:type="dxa"/>
            <w:vAlign w:val="center"/>
          </w:tcPr>
          <w:p w14:paraId="14A8ADF4">
            <w:pPr>
              <w:spacing w:line="360" w:lineRule="atLeast"/>
              <w:jc w:val="center"/>
              <w:rPr>
                <w:rFonts w:ascii="宋体" w:hAnsi="宋体"/>
                <w:sz w:val="24"/>
              </w:rPr>
            </w:pPr>
            <w:r>
              <w:rPr>
                <w:rFonts w:hint="eastAsia" w:ascii="宋体" w:hAnsi="宋体"/>
                <w:sz w:val="24"/>
              </w:rPr>
              <w:t>法定代表人</w:t>
            </w:r>
          </w:p>
        </w:tc>
        <w:tc>
          <w:tcPr>
            <w:tcW w:w="2340" w:type="dxa"/>
            <w:vAlign w:val="center"/>
          </w:tcPr>
          <w:p w14:paraId="7E212545">
            <w:pPr>
              <w:spacing w:line="360" w:lineRule="atLeast"/>
              <w:jc w:val="center"/>
              <w:rPr>
                <w:rFonts w:ascii="宋体" w:hAnsi="宋体"/>
                <w:sz w:val="24"/>
              </w:rPr>
            </w:pPr>
            <w:r>
              <w:rPr>
                <w:rFonts w:hint="eastAsia" w:ascii="宋体" w:hAnsi="宋体"/>
                <w:sz w:val="24"/>
              </w:rPr>
              <w:t>日   期</w:t>
            </w:r>
          </w:p>
        </w:tc>
      </w:tr>
      <w:tr w14:paraId="39E09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55A5D180">
            <w:pPr>
              <w:spacing w:line="360" w:lineRule="atLeast"/>
              <w:jc w:val="center"/>
              <w:rPr>
                <w:rFonts w:ascii="宋体" w:hAnsi="宋体"/>
                <w:sz w:val="24"/>
              </w:rPr>
            </w:pPr>
            <w:r>
              <w:rPr>
                <w:rFonts w:hint="eastAsia" w:ascii="宋体" w:hAnsi="宋体"/>
                <w:sz w:val="24"/>
              </w:rPr>
              <w:t>（公章）</w:t>
            </w:r>
          </w:p>
        </w:tc>
        <w:tc>
          <w:tcPr>
            <w:tcW w:w="3420" w:type="dxa"/>
            <w:vAlign w:val="center"/>
          </w:tcPr>
          <w:p w14:paraId="0A3995D8">
            <w:pPr>
              <w:spacing w:line="360" w:lineRule="atLeast"/>
              <w:jc w:val="center"/>
              <w:rPr>
                <w:rFonts w:ascii="宋体" w:hAnsi="宋体"/>
                <w:sz w:val="24"/>
              </w:rPr>
            </w:pPr>
            <w:r>
              <w:rPr>
                <w:rFonts w:hint="eastAsia" w:ascii="宋体" w:hAnsi="宋体"/>
                <w:sz w:val="24"/>
              </w:rPr>
              <w:t>（签字或盖章）</w:t>
            </w:r>
          </w:p>
        </w:tc>
        <w:tc>
          <w:tcPr>
            <w:tcW w:w="2340" w:type="dxa"/>
            <w:vAlign w:val="center"/>
          </w:tcPr>
          <w:p w14:paraId="65E09D47">
            <w:pPr>
              <w:spacing w:line="360" w:lineRule="atLeast"/>
              <w:ind w:firstLine="243" w:firstLineChars="100"/>
              <w:jc w:val="center"/>
              <w:rPr>
                <w:rFonts w:ascii="宋体" w:hAnsi="宋体"/>
                <w:sz w:val="24"/>
              </w:rPr>
            </w:pPr>
            <w:r>
              <w:rPr>
                <w:rFonts w:hint="eastAsia" w:ascii="宋体" w:hAnsi="宋体"/>
                <w:sz w:val="24"/>
              </w:rPr>
              <w:t>年  月  日</w:t>
            </w:r>
          </w:p>
        </w:tc>
      </w:tr>
    </w:tbl>
    <w:p w14:paraId="5E4A15AB">
      <w:pPr>
        <w:wordWrap w:val="0"/>
        <w:spacing w:line="360" w:lineRule="auto"/>
        <w:ind w:right="456" w:firstLine="2584" w:firstLineChars="800"/>
        <w:rPr>
          <w:rFonts w:ascii="宋体" w:hAnsi="宋体"/>
          <w:b/>
          <w:bCs/>
          <w:color w:val="000000"/>
          <w:sz w:val="32"/>
        </w:rPr>
      </w:pPr>
    </w:p>
    <w:p w14:paraId="0EA2C03D">
      <w:pPr>
        <w:spacing w:line="360" w:lineRule="auto"/>
        <w:ind w:firstLine="364" w:firstLineChars="150"/>
        <w:rPr>
          <w:rFonts w:ascii="宋体" w:hAnsi="宋体" w:eastAsia="宋体" w:cs="Times New Roman"/>
          <w:sz w:val="24"/>
        </w:rPr>
      </w:pPr>
    </w:p>
    <w:p w14:paraId="140E4236">
      <w:pPr>
        <w:spacing w:line="500" w:lineRule="exact"/>
        <w:ind w:firstLine="646" w:firstLineChars="200"/>
        <w:outlineLvl w:val="2"/>
        <w:rPr>
          <w:rFonts w:ascii="仿宋" w:hAnsi="仿宋" w:eastAsia="仿宋"/>
          <w:b/>
          <w:color w:val="000000"/>
          <w:sz w:val="32"/>
          <w:szCs w:val="32"/>
        </w:rPr>
      </w:pPr>
      <w:r>
        <w:rPr>
          <w:rFonts w:hint="eastAsia" w:ascii="仿宋" w:hAnsi="仿宋" w:eastAsia="仿宋"/>
          <w:b/>
          <w:color w:val="000000"/>
          <w:sz w:val="32"/>
          <w:szCs w:val="32"/>
        </w:rPr>
        <w:t>五、</w:t>
      </w:r>
      <w:r>
        <w:rPr>
          <w:rFonts w:ascii="仿宋" w:hAnsi="仿宋" w:eastAsia="仿宋"/>
          <w:b/>
          <w:color w:val="000000"/>
          <w:sz w:val="32"/>
          <w:szCs w:val="32"/>
        </w:rPr>
        <w:t>技术</w:t>
      </w:r>
      <w:r>
        <w:rPr>
          <w:rFonts w:hint="eastAsia" w:ascii="仿宋" w:hAnsi="仿宋" w:eastAsia="仿宋"/>
          <w:b/>
          <w:color w:val="000000"/>
          <w:sz w:val="32"/>
          <w:szCs w:val="32"/>
        </w:rPr>
        <w:t>服务偏差表</w:t>
      </w:r>
    </w:p>
    <w:p w14:paraId="328B2DAC">
      <w:pPr>
        <w:pStyle w:val="33"/>
        <w:spacing w:line="500" w:lineRule="exact"/>
        <w:ind w:firstLine="566" w:firstLineChars="200"/>
        <w:rPr>
          <w:rFonts w:ascii="仿宋" w:hAnsi="仿宋" w:eastAsia="仿宋" w:cs="仿宋"/>
          <w:b/>
          <w:bCs/>
          <w:color w:val="000000"/>
          <w:sz w:val="28"/>
          <w:szCs w:val="28"/>
        </w:rPr>
      </w:pPr>
      <w:r>
        <w:rPr>
          <w:rFonts w:hint="eastAsia" w:ascii="仿宋" w:hAnsi="仿宋" w:eastAsia="仿宋" w:cs="仿宋"/>
          <w:b/>
          <w:bCs/>
          <w:color w:val="000000"/>
          <w:sz w:val="28"/>
          <w:szCs w:val="28"/>
        </w:rPr>
        <w:t>（一）实质性条款响应表</w:t>
      </w:r>
    </w:p>
    <w:tbl>
      <w:tblPr>
        <w:tblStyle w:val="20"/>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3014"/>
        <w:gridCol w:w="3099"/>
        <w:gridCol w:w="1686"/>
      </w:tblGrid>
      <w:tr w14:paraId="21D57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91" w:type="dxa"/>
            <w:shd w:val="clear" w:color="auto" w:fill="D8D8D8"/>
            <w:vAlign w:val="center"/>
          </w:tcPr>
          <w:p w14:paraId="454C173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序号</w:t>
            </w:r>
          </w:p>
        </w:tc>
        <w:tc>
          <w:tcPr>
            <w:tcW w:w="3014" w:type="dxa"/>
            <w:shd w:val="clear" w:color="auto" w:fill="D8D8D8"/>
            <w:vAlign w:val="center"/>
          </w:tcPr>
          <w:p w14:paraId="4F9E6A89">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电子磋商文件实质性条款</w:t>
            </w:r>
          </w:p>
        </w:tc>
        <w:tc>
          <w:tcPr>
            <w:tcW w:w="3099" w:type="dxa"/>
            <w:shd w:val="clear" w:color="auto" w:fill="D8D8D8"/>
            <w:vAlign w:val="center"/>
          </w:tcPr>
          <w:p w14:paraId="7CC98534">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电子响应文件响应条款</w:t>
            </w:r>
          </w:p>
        </w:tc>
        <w:tc>
          <w:tcPr>
            <w:tcW w:w="1686" w:type="dxa"/>
            <w:shd w:val="clear" w:color="auto" w:fill="D8D8D8"/>
            <w:vAlign w:val="center"/>
          </w:tcPr>
          <w:p w14:paraId="52E36170">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是否完全响应</w:t>
            </w:r>
          </w:p>
        </w:tc>
      </w:tr>
      <w:tr w14:paraId="1D9A5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533F9554">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1</w:t>
            </w:r>
          </w:p>
        </w:tc>
        <w:tc>
          <w:tcPr>
            <w:tcW w:w="3014" w:type="dxa"/>
            <w:vAlign w:val="center"/>
          </w:tcPr>
          <w:p w14:paraId="3A4AA2C3">
            <w:pPr>
              <w:spacing w:line="500" w:lineRule="exact"/>
              <w:rPr>
                <w:rFonts w:ascii="仿宋" w:hAnsi="仿宋" w:eastAsia="仿宋" w:cs="仿宋"/>
                <w:color w:val="000000"/>
                <w:sz w:val="24"/>
                <w:szCs w:val="24"/>
              </w:rPr>
            </w:pPr>
          </w:p>
        </w:tc>
        <w:tc>
          <w:tcPr>
            <w:tcW w:w="3099" w:type="dxa"/>
            <w:vAlign w:val="center"/>
          </w:tcPr>
          <w:p w14:paraId="5321F9A6">
            <w:pPr>
              <w:spacing w:line="500" w:lineRule="exact"/>
              <w:rPr>
                <w:rFonts w:ascii="仿宋" w:hAnsi="仿宋" w:eastAsia="仿宋" w:cs="仿宋"/>
                <w:color w:val="000000"/>
                <w:sz w:val="24"/>
                <w:szCs w:val="24"/>
              </w:rPr>
            </w:pPr>
          </w:p>
        </w:tc>
        <w:tc>
          <w:tcPr>
            <w:tcW w:w="1686" w:type="dxa"/>
            <w:vAlign w:val="center"/>
          </w:tcPr>
          <w:p w14:paraId="482465E7">
            <w:pPr>
              <w:spacing w:line="500" w:lineRule="exact"/>
              <w:rPr>
                <w:rFonts w:ascii="仿宋" w:hAnsi="仿宋" w:eastAsia="仿宋" w:cs="仿宋"/>
                <w:color w:val="000000"/>
                <w:sz w:val="24"/>
                <w:szCs w:val="24"/>
              </w:rPr>
            </w:pPr>
          </w:p>
        </w:tc>
      </w:tr>
      <w:tr w14:paraId="5B2EA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02254431">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2</w:t>
            </w:r>
          </w:p>
        </w:tc>
        <w:tc>
          <w:tcPr>
            <w:tcW w:w="3014" w:type="dxa"/>
            <w:vAlign w:val="center"/>
          </w:tcPr>
          <w:p w14:paraId="2C0D5481">
            <w:pPr>
              <w:spacing w:line="500" w:lineRule="exact"/>
              <w:rPr>
                <w:rFonts w:ascii="仿宋" w:hAnsi="仿宋" w:eastAsia="仿宋" w:cs="仿宋"/>
                <w:color w:val="000000"/>
                <w:sz w:val="24"/>
                <w:szCs w:val="24"/>
              </w:rPr>
            </w:pPr>
          </w:p>
        </w:tc>
        <w:tc>
          <w:tcPr>
            <w:tcW w:w="3099" w:type="dxa"/>
            <w:vAlign w:val="center"/>
          </w:tcPr>
          <w:p w14:paraId="31DAC158">
            <w:pPr>
              <w:spacing w:line="500" w:lineRule="exact"/>
              <w:rPr>
                <w:rFonts w:ascii="仿宋" w:hAnsi="仿宋" w:eastAsia="仿宋" w:cs="仿宋"/>
                <w:color w:val="000000"/>
                <w:sz w:val="24"/>
                <w:szCs w:val="24"/>
              </w:rPr>
            </w:pPr>
          </w:p>
        </w:tc>
        <w:tc>
          <w:tcPr>
            <w:tcW w:w="1686" w:type="dxa"/>
            <w:vAlign w:val="center"/>
          </w:tcPr>
          <w:p w14:paraId="166D9F20">
            <w:pPr>
              <w:spacing w:line="500" w:lineRule="exact"/>
              <w:rPr>
                <w:rFonts w:ascii="仿宋" w:hAnsi="仿宋" w:eastAsia="仿宋" w:cs="仿宋"/>
                <w:color w:val="000000"/>
                <w:sz w:val="24"/>
                <w:szCs w:val="24"/>
              </w:rPr>
            </w:pPr>
          </w:p>
        </w:tc>
      </w:tr>
      <w:tr w14:paraId="2F7B4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300B4C2C">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3</w:t>
            </w:r>
          </w:p>
        </w:tc>
        <w:tc>
          <w:tcPr>
            <w:tcW w:w="3014" w:type="dxa"/>
            <w:vAlign w:val="center"/>
          </w:tcPr>
          <w:p w14:paraId="2BE1F489">
            <w:pPr>
              <w:spacing w:line="500" w:lineRule="exact"/>
              <w:rPr>
                <w:rFonts w:ascii="仿宋" w:hAnsi="仿宋" w:eastAsia="仿宋" w:cs="仿宋"/>
                <w:color w:val="000000"/>
                <w:sz w:val="24"/>
                <w:szCs w:val="24"/>
              </w:rPr>
            </w:pPr>
          </w:p>
        </w:tc>
        <w:tc>
          <w:tcPr>
            <w:tcW w:w="3099" w:type="dxa"/>
            <w:vAlign w:val="center"/>
          </w:tcPr>
          <w:p w14:paraId="14859D7F">
            <w:pPr>
              <w:spacing w:line="500" w:lineRule="exact"/>
              <w:rPr>
                <w:rFonts w:ascii="仿宋" w:hAnsi="仿宋" w:eastAsia="仿宋" w:cs="仿宋"/>
                <w:color w:val="000000"/>
                <w:sz w:val="24"/>
                <w:szCs w:val="24"/>
              </w:rPr>
            </w:pPr>
          </w:p>
        </w:tc>
        <w:tc>
          <w:tcPr>
            <w:tcW w:w="1686" w:type="dxa"/>
            <w:vAlign w:val="center"/>
          </w:tcPr>
          <w:p w14:paraId="5071DCFB">
            <w:pPr>
              <w:spacing w:line="500" w:lineRule="exact"/>
              <w:rPr>
                <w:rFonts w:ascii="仿宋" w:hAnsi="仿宋" w:eastAsia="仿宋" w:cs="仿宋"/>
                <w:color w:val="000000"/>
                <w:sz w:val="24"/>
                <w:szCs w:val="24"/>
              </w:rPr>
            </w:pPr>
          </w:p>
        </w:tc>
      </w:tr>
      <w:tr w14:paraId="7B94B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3DFEB40F">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4</w:t>
            </w:r>
          </w:p>
        </w:tc>
        <w:tc>
          <w:tcPr>
            <w:tcW w:w="3014" w:type="dxa"/>
            <w:vAlign w:val="center"/>
          </w:tcPr>
          <w:p w14:paraId="6C34652C">
            <w:pPr>
              <w:spacing w:line="500" w:lineRule="exact"/>
              <w:rPr>
                <w:rFonts w:ascii="仿宋" w:hAnsi="仿宋" w:eastAsia="仿宋" w:cs="仿宋"/>
                <w:color w:val="000000"/>
                <w:sz w:val="24"/>
                <w:szCs w:val="24"/>
              </w:rPr>
            </w:pPr>
          </w:p>
        </w:tc>
        <w:tc>
          <w:tcPr>
            <w:tcW w:w="3099" w:type="dxa"/>
            <w:vAlign w:val="center"/>
          </w:tcPr>
          <w:p w14:paraId="3295AA69">
            <w:pPr>
              <w:spacing w:line="500" w:lineRule="exact"/>
              <w:rPr>
                <w:rFonts w:ascii="仿宋" w:hAnsi="仿宋" w:eastAsia="仿宋" w:cs="仿宋"/>
                <w:color w:val="000000"/>
                <w:sz w:val="24"/>
                <w:szCs w:val="24"/>
              </w:rPr>
            </w:pPr>
          </w:p>
        </w:tc>
        <w:tc>
          <w:tcPr>
            <w:tcW w:w="1686" w:type="dxa"/>
            <w:vAlign w:val="center"/>
          </w:tcPr>
          <w:p w14:paraId="33F8DFCD">
            <w:pPr>
              <w:spacing w:line="500" w:lineRule="exact"/>
              <w:rPr>
                <w:rFonts w:ascii="仿宋" w:hAnsi="仿宋" w:eastAsia="仿宋" w:cs="仿宋"/>
                <w:color w:val="000000"/>
                <w:sz w:val="24"/>
                <w:szCs w:val="24"/>
              </w:rPr>
            </w:pPr>
          </w:p>
        </w:tc>
      </w:tr>
      <w:tr w14:paraId="61A19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87F8D5A">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5</w:t>
            </w:r>
          </w:p>
        </w:tc>
        <w:tc>
          <w:tcPr>
            <w:tcW w:w="3014" w:type="dxa"/>
            <w:vAlign w:val="center"/>
          </w:tcPr>
          <w:p w14:paraId="53551264">
            <w:pPr>
              <w:spacing w:line="500" w:lineRule="exact"/>
              <w:rPr>
                <w:rFonts w:ascii="仿宋" w:hAnsi="仿宋" w:eastAsia="仿宋" w:cs="仿宋"/>
                <w:color w:val="000000"/>
                <w:sz w:val="24"/>
                <w:szCs w:val="24"/>
              </w:rPr>
            </w:pPr>
          </w:p>
        </w:tc>
        <w:tc>
          <w:tcPr>
            <w:tcW w:w="3099" w:type="dxa"/>
            <w:vAlign w:val="center"/>
          </w:tcPr>
          <w:p w14:paraId="26B4FA14">
            <w:pPr>
              <w:spacing w:line="500" w:lineRule="exact"/>
              <w:rPr>
                <w:rFonts w:ascii="仿宋" w:hAnsi="仿宋" w:eastAsia="仿宋" w:cs="仿宋"/>
                <w:color w:val="000000"/>
                <w:sz w:val="24"/>
                <w:szCs w:val="24"/>
              </w:rPr>
            </w:pPr>
          </w:p>
        </w:tc>
        <w:tc>
          <w:tcPr>
            <w:tcW w:w="1686" w:type="dxa"/>
            <w:vAlign w:val="center"/>
          </w:tcPr>
          <w:p w14:paraId="3C184741">
            <w:pPr>
              <w:spacing w:line="500" w:lineRule="exact"/>
              <w:rPr>
                <w:rFonts w:ascii="仿宋" w:hAnsi="仿宋" w:eastAsia="仿宋" w:cs="仿宋"/>
                <w:color w:val="000000"/>
                <w:sz w:val="24"/>
                <w:szCs w:val="24"/>
              </w:rPr>
            </w:pPr>
          </w:p>
        </w:tc>
      </w:tr>
      <w:tr w14:paraId="4F31D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003CDF34">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6</w:t>
            </w:r>
          </w:p>
        </w:tc>
        <w:tc>
          <w:tcPr>
            <w:tcW w:w="3014" w:type="dxa"/>
            <w:vAlign w:val="center"/>
          </w:tcPr>
          <w:p w14:paraId="26C63CC4">
            <w:pPr>
              <w:spacing w:line="500" w:lineRule="exact"/>
              <w:rPr>
                <w:rFonts w:ascii="仿宋" w:hAnsi="仿宋" w:eastAsia="仿宋" w:cs="仿宋"/>
                <w:color w:val="000000"/>
                <w:sz w:val="24"/>
                <w:szCs w:val="24"/>
              </w:rPr>
            </w:pPr>
          </w:p>
        </w:tc>
        <w:tc>
          <w:tcPr>
            <w:tcW w:w="3099" w:type="dxa"/>
            <w:vAlign w:val="center"/>
          </w:tcPr>
          <w:p w14:paraId="42A0FAA8">
            <w:pPr>
              <w:spacing w:line="500" w:lineRule="exact"/>
              <w:rPr>
                <w:rFonts w:ascii="仿宋" w:hAnsi="仿宋" w:eastAsia="仿宋" w:cs="仿宋"/>
                <w:color w:val="000000"/>
                <w:sz w:val="24"/>
                <w:szCs w:val="24"/>
              </w:rPr>
            </w:pPr>
          </w:p>
        </w:tc>
        <w:tc>
          <w:tcPr>
            <w:tcW w:w="1686" w:type="dxa"/>
            <w:vAlign w:val="center"/>
          </w:tcPr>
          <w:p w14:paraId="15681C24">
            <w:pPr>
              <w:spacing w:line="500" w:lineRule="exact"/>
              <w:rPr>
                <w:rFonts w:ascii="仿宋" w:hAnsi="仿宋" w:eastAsia="仿宋" w:cs="仿宋"/>
                <w:color w:val="000000"/>
                <w:sz w:val="24"/>
                <w:szCs w:val="24"/>
              </w:rPr>
            </w:pPr>
          </w:p>
        </w:tc>
      </w:tr>
      <w:tr w14:paraId="58E2D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09EB7AD4">
            <w:pPr>
              <w:spacing w:line="500" w:lineRule="exact"/>
              <w:rPr>
                <w:rFonts w:ascii="仿宋" w:hAnsi="仿宋" w:eastAsia="仿宋" w:cs="Times New Roman"/>
                <w:color w:val="000000"/>
                <w:sz w:val="24"/>
                <w:szCs w:val="24"/>
              </w:rPr>
            </w:pPr>
            <w:r>
              <w:rPr>
                <w:rFonts w:hint="eastAsia" w:ascii="仿宋" w:hAnsi="仿宋" w:eastAsia="仿宋" w:cs="仿宋"/>
                <w:color w:val="000000"/>
                <w:sz w:val="24"/>
                <w:szCs w:val="24"/>
              </w:rPr>
              <w:t>……</w:t>
            </w:r>
          </w:p>
        </w:tc>
        <w:tc>
          <w:tcPr>
            <w:tcW w:w="3014" w:type="dxa"/>
            <w:vAlign w:val="center"/>
          </w:tcPr>
          <w:p w14:paraId="57B8F00F">
            <w:pPr>
              <w:spacing w:line="500" w:lineRule="exact"/>
              <w:rPr>
                <w:rFonts w:ascii="仿宋" w:hAnsi="仿宋" w:eastAsia="仿宋" w:cs="Times New Roman"/>
                <w:color w:val="000000"/>
                <w:sz w:val="24"/>
                <w:szCs w:val="24"/>
              </w:rPr>
            </w:pPr>
          </w:p>
        </w:tc>
        <w:tc>
          <w:tcPr>
            <w:tcW w:w="3099" w:type="dxa"/>
            <w:vAlign w:val="center"/>
          </w:tcPr>
          <w:p w14:paraId="68DC4546">
            <w:pPr>
              <w:spacing w:line="500" w:lineRule="exact"/>
              <w:rPr>
                <w:rFonts w:ascii="仿宋" w:hAnsi="仿宋" w:eastAsia="仿宋" w:cs="Times New Roman"/>
                <w:color w:val="000000"/>
                <w:sz w:val="24"/>
                <w:szCs w:val="24"/>
              </w:rPr>
            </w:pPr>
          </w:p>
        </w:tc>
        <w:tc>
          <w:tcPr>
            <w:tcW w:w="1686" w:type="dxa"/>
            <w:vAlign w:val="center"/>
          </w:tcPr>
          <w:p w14:paraId="190B5D62">
            <w:pPr>
              <w:spacing w:line="500" w:lineRule="exact"/>
              <w:rPr>
                <w:rFonts w:ascii="仿宋" w:hAnsi="仿宋" w:eastAsia="仿宋" w:cs="Times New Roman"/>
                <w:color w:val="000000"/>
                <w:sz w:val="24"/>
                <w:szCs w:val="24"/>
              </w:rPr>
            </w:pPr>
          </w:p>
        </w:tc>
      </w:tr>
    </w:tbl>
    <w:p w14:paraId="2D294385">
      <w:pPr>
        <w:widowControl w:val="0"/>
        <w:ind w:firstLine="426" w:firstLineChars="200"/>
        <w:rPr>
          <w:rFonts w:ascii="宋体" w:hAnsi="宋体" w:eastAsia="宋体" w:cs="宋体"/>
          <w:b/>
          <w:bCs/>
          <w:sz w:val="21"/>
          <w:szCs w:val="21"/>
        </w:rPr>
      </w:pPr>
      <w:r>
        <w:rPr>
          <w:rFonts w:hint="eastAsia" w:ascii="宋体" w:hAnsi="宋体" w:eastAsia="宋体" w:cs="宋体"/>
          <w:b/>
          <w:bCs/>
          <w:color w:val="000000"/>
          <w:sz w:val="21"/>
          <w:szCs w:val="21"/>
        </w:rPr>
        <w:t>备</w:t>
      </w:r>
      <w:r>
        <w:rPr>
          <w:rFonts w:hint="eastAsia" w:ascii="宋体" w:hAnsi="宋体" w:eastAsia="宋体" w:cs="宋体"/>
          <w:b/>
          <w:bCs/>
          <w:sz w:val="21"/>
          <w:szCs w:val="21"/>
        </w:rPr>
        <w:t>注：</w:t>
      </w:r>
    </w:p>
    <w:p w14:paraId="02FF8DE1">
      <w:pPr>
        <w:widowControl w:val="0"/>
        <w:ind w:firstLine="426" w:firstLineChars="200"/>
        <w:rPr>
          <w:rFonts w:ascii="宋体" w:hAnsi="宋体" w:eastAsia="宋体" w:cs="宋体"/>
          <w:b/>
          <w:bCs/>
          <w:sz w:val="21"/>
          <w:szCs w:val="21"/>
        </w:rPr>
      </w:pPr>
      <w:r>
        <w:rPr>
          <w:rFonts w:hint="eastAsia" w:ascii="宋体" w:hAnsi="宋体" w:eastAsia="宋体" w:cs="宋体"/>
          <w:b/>
          <w:bCs/>
          <w:sz w:val="21"/>
          <w:szCs w:val="21"/>
        </w:rPr>
        <w:t>1.上表填写以第三章“磋商内容及采购要求”中内容项为基本响应要求，须逐条响应，未逐条响应、有缺漏将被视为无效投标。</w:t>
      </w:r>
    </w:p>
    <w:p w14:paraId="5F695611">
      <w:pPr>
        <w:widowControl w:val="0"/>
        <w:ind w:firstLine="426" w:firstLineChars="200"/>
        <w:rPr>
          <w:rFonts w:ascii="宋体" w:hAnsi="宋体" w:eastAsia="宋体" w:cs="宋体"/>
          <w:sz w:val="21"/>
          <w:szCs w:val="21"/>
        </w:rPr>
      </w:pPr>
      <w:r>
        <w:rPr>
          <w:rFonts w:hint="eastAsia" w:ascii="宋体" w:hAnsi="宋体" w:eastAsia="宋体" w:cs="宋体"/>
          <w:b/>
          <w:bCs/>
          <w:sz w:val="21"/>
          <w:szCs w:val="21"/>
        </w:rPr>
        <w:t>2.“是否完全响应”一栏根据“投标文件响应条款”与电子磋商文件逐项对照的结果填写，填写“是”或者“否”（如填写“否”将被视为无效响应）。</w:t>
      </w:r>
    </w:p>
    <w:p w14:paraId="31F5F149">
      <w:pPr>
        <w:pStyle w:val="9"/>
        <w:spacing w:line="500" w:lineRule="exact"/>
        <w:rPr>
          <w:rFonts w:ascii="华文仿宋" w:hAnsi="华文仿宋" w:cs="华文仿宋"/>
        </w:rPr>
      </w:pPr>
    </w:p>
    <w:p w14:paraId="0C412507">
      <w:pPr>
        <w:pStyle w:val="9"/>
        <w:spacing w:line="500" w:lineRule="exact"/>
        <w:ind w:firstLine="5377" w:firstLineChars="1900"/>
        <w:jc w:val="right"/>
        <w:rPr>
          <w:rFonts w:ascii="华文仿宋" w:hAnsi="华文仿宋" w:cs="华文仿宋"/>
        </w:rPr>
      </w:pPr>
      <w:r>
        <w:rPr>
          <w:rFonts w:hint="eastAsia" w:ascii="华文仿宋" w:hAnsi="华文仿宋" w:cs="华文仿宋"/>
        </w:rPr>
        <w:t>供应商：</w:t>
      </w:r>
      <w:r>
        <w:rPr>
          <w:rFonts w:hint="eastAsia" w:ascii="华文仿宋" w:hAnsi="华文仿宋" w:cs="华文仿宋"/>
          <w:u w:val="single"/>
        </w:rPr>
        <w:t>名称</w:t>
      </w:r>
      <w:r>
        <w:rPr>
          <w:rFonts w:hint="eastAsia" w:ascii="华文仿宋" w:hAnsi="华文仿宋" w:cs="华文仿宋"/>
        </w:rPr>
        <w:t>（加盖公章）</w:t>
      </w:r>
    </w:p>
    <w:p w14:paraId="53D40B90">
      <w:pPr>
        <w:tabs>
          <w:tab w:val="right" w:pos="9070"/>
        </w:tabs>
        <w:spacing w:line="500" w:lineRule="exact"/>
        <w:ind w:firstLine="5660" w:firstLineChars="2000"/>
        <w:jc w:val="right"/>
        <w:rPr>
          <w:rFonts w:ascii="仿宋" w:hAnsi="仿宋" w:eastAsia="仿宋" w:cs="Times New Roman"/>
        </w:rPr>
      </w:pPr>
      <w:r>
        <w:rPr>
          <w:rFonts w:hint="eastAsia" w:ascii="华文仿宋" w:hAnsi="华文仿宋" w:cs="华文仿宋"/>
        </w:rPr>
        <w:t>日期：　年　月　</w:t>
      </w:r>
      <w:r>
        <w:rPr>
          <w:rFonts w:hint="eastAsia" w:ascii="华文仿宋" w:hAnsi="华文仿宋" w:cs="华文仿宋"/>
          <w:sz w:val="24"/>
          <w:szCs w:val="24"/>
        </w:rPr>
        <w:t>日</w:t>
      </w:r>
      <w:r>
        <w:rPr>
          <w:rFonts w:ascii="仿宋" w:hAnsi="仿宋" w:eastAsia="仿宋" w:cs="Times New Roman"/>
        </w:rPr>
        <w:tab/>
      </w:r>
    </w:p>
    <w:p w14:paraId="3A03540D">
      <w:pPr>
        <w:tabs>
          <w:tab w:val="right" w:pos="9070"/>
        </w:tabs>
        <w:spacing w:line="500" w:lineRule="exact"/>
        <w:ind w:firstLine="566" w:firstLineChars="200"/>
        <w:rPr>
          <w:rFonts w:ascii="仿宋" w:hAnsi="仿宋" w:eastAsia="仿宋" w:cs="Times New Roman"/>
        </w:rPr>
      </w:pPr>
    </w:p>
    <w:p w14:paraId="04E11D54">
      <w:pPr>
        <w:pStyle w:val="9"/>
        <w:spacing w:after="190"/>
      </w:pPr>
    </w:p>
    <w:p w14:paraId="2B515BF7">
      <w:pPr>
        <w:pStyle w:val="9"/>
        <w:spacing w:line="500" w:lineRule="exact"/>
        <w:ind w:firstLine="566" w:firstLineChars="200"/>
        <w:rPr>
          <w:rFonts w:ascii="仿宋" w:hAnsi="仿宋" w:eastAsia="仿宋" w:cs="仿宋"/>
          <w:b/>
          <w:bCs/>
        </w:rPr>
      </w:pPr>
      <w:r>
        <w:rPr>
          <w:rFonts w:hint="eastAsia" w:ascii="仿宋" w:hAnsi="仿宋" w:eastAsia="仿宋" w:cs="仿宋"/>
          <w:b/>
          <w:bCs/>
        </w:rPr>
        <w:t>（二）其他材料</w:t>
      </w:r>
    </w:p>
    <w:p w14:paraId="738FDDB4">
      <w:pPr>
        <w:tabs>
          <w:tab w:val="right" w:pos="9070"/>
        </w:tabs>
        <w:spacing w:line="500" w:lineRule="exact"/>
        <w:ind w:firstLine="566" w:firstLineChars="200"/>
        <w:rPr>
          <w:rFonts w:ascii="仿宋" w:hAnsi="仿宋" w:eastAsia="仿宋" w:cs="仿宋"/>
          <w:b/>
          <w:bCs/>
        </w:rPr>
      </w:pPr>
      <w:r>
        <w:rPr>
          <w:rFonts w:hint="eastAsia" w:ascii="华文仿宋" w:hAnsi="华文仿宋" w:cs="华文仿宋"/>
        </w:rPr>
        <w:t>根据电子磋商文件要求须附相关证明材料，则供应商应将相关证明材料附至此处，如未按要求提供相关证明材料，将被视为无效响应。</w:t>
      </w:r>
    </w:p>
    <w:p w14:paraId="3FD67BE0">
      <w:pPr>
        <w:pStyle w:val="18"/>
        <w:ind w:firstLine="183"/>
        <w:rPr>
          <w:rFonts w:ascii="仿宋" w:hAnsi="仿宋" w:eastAsia="仿宋"/>
          <w:bCs/>
        </w:rPr>
      </w:pPr>
    </w:p>
    <w:p w14:paraId="3CAB0F02">
      <w:pPr>
        <w:rPr>
          <w:rFonts w:ascii="仿宋" w:hAnsi="仿宋" w:eastAsia="仿宋"/>
          <w:bCs/>
        </w:rPr>
      </w:pPr>
      <w:r>
        <w:rPr>
          <w:rFonts w:ascii="仿宋" w:hAnsi="仿宋" w:eastAsia="仿宋"/>
          <w:bCs/>
        </w:rPr>
        <w:br w:type="page"/>
      </w:r>
    </w:p>
    <w:p w14:paraId="399DA0BC">
      <w:pPr>
        <w:spacing w:line="240" w:lineRule="auto"/>
        <w:ind w:firstLine="646" w:firstLineChars="200"/>
        <w:outlineLvl w:val="2"/>
        <w:rPr>
          <w:rFonts w:ascii="仿宋" w:hAnsi="仿宋" w:eastAsia="仿宋"/>
          <w:bCs/>
          <w:color w:val="000000"/>
        </w:rPr>
      </w:pPr>
      <w:r>
        <w:rPr>
          <w:rFonts w:hint="eastAsia" w:ascii="仿宋" w:hAnsi="仿宋" w:eastAsia="仿宋" w:cs="仿宋"/>
          <w:b/>
          <w:color w:val="000000"/>
          <w:sz w:val="32"/>
          <w:szCs w:val="32"/>
        </w:rPr>
        <w:t>六、合同草案</w:t>
      </w:r>
      <w:r>
        <w:rPr>
          <w:rFonts w:ascii="仿宋" w:hAnsi="仿宋" w:eastAsia="仿宋" w:cs="仿宋"/>
          <w:b/>
          <w:color w:val="000000"/>
          <w:sz w:val="32"/>
          <w:szCs w:val="32"/>
        </w:rPr>
        <w:t>条款</w:t>
      </w:r>
      <w:r>
        <w:rPr>
          <w:rFonts w:hint="eastAsia" w:ascii="仿宋" w:hAnsi="仿宋" w:eastAsia="仿宋" w:cs="仿宋"/>
          <w:b/>
          <w:color w:val="000000"/>
          <w:sz w:val="32"/>
          <w:szCs w:val="32"/>
        </w:rPr>
        <w:t>响应</w:t>
      </w:r>
    </w:p>
    <w:p w14:paraId="6022AB14">
      <w:pPr>
        <w:spacing w:line="500" w:lineRule="exact"/>
        <w:ind w:firstLine="566" w:firstLineChars="200"/>
        <w:rPr>
          <w:bCs/>
          <w:color w:val="000000"/>
        </w:rPr>
      </w:pPr>
      <w:r>
        <w:rPr>
          <w:rFonts w:hint="eastAsia"/>
          <w:bCs/>
          <w:color w:val="000000"/>
        </w:rPr>
        <w:t>完全理解并接受电子磋商文件中“合同草案条款”要求。</w:t>
      </w:r>
    </w:p>
    <w:p w14:paraId="1E2E780A">
      <w:pPr>
        <w:pStyle w:val="18"/>
        <w:ind w:firstLine="183"/>
        <w:rPr>
          <w:color w:val="000000"/>
        </w:rPr>
      </w:pPr>
    </w:p>
    <w:p w14:paraId="229A3101">
      <w:pPr>
        <w:spacing w:line="500" w:lineRule="exact"/>
        <w:ind w:firstLine="5094" w:firstLineChars="1800"/>
        <w:rPr>
          <w:rFonts w:ascii="仿宋" w:hAnsi="仿宋" w:eastAsia="仿宋" w:cs="仿宋"/>
          <w:color w:val="000000"/>
        </w:rPr>
      </w:pPr>
    </w:p>
    <w:p w14:paraId="581FFC74">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rPr>
        <w:t>（加盖公章）</w:t>
      </w:r>
    </w:p>
    <w:p w14:paraId="07A7AC1F">
      <w:pPr>
        <w:tabs>
          <w:tab w:val="right" w:pos="9070"/>
        </w:tabs>
        <w:spacing w:line="500" w:lineRule="exact"/>
        <w:ind w:firstLine="5377" w:firstLineChars="1900"/>
        <w:rPr>
          <w:rFonts w:ascii="仿宋" w:hAnsi="仿宋" w:eastAsia="仿宋"/>
          <w:bCs/>
          <w:color w:val="000000"/>
        </w:rPr>
      </w:pPr>
      <w:r>
        <w:rPr>
          <w:rFonts w:hint="eastAsia" w:ascii="仿宋" w:hAnsi="仿宋" w:eastAsia="仿宋" w:cs="仿宋"/>
          <w:color w:val="000000"/>
        </w:rPr>
        <w:t>日期：　　年　月　日</w:t>
      </w:r>
      <w:r>
        <w:rPr>
          <w:rFonts w:ascii="仿宋" w:hAnsi="仿宋" w:eastAsia="仿宋"/>
          <w:bCs/>
          <w:color w:val="000000"/>
        </w:rPr>
        <w:tab/>
      </w:r>
    </w:p>
    <w:p w14:paraId="4274E0EF">
      <w:pPr>
        <w:pStyle w:val="18"/>
        <w:ind w:firstLine="183"/>
        <w:rPr>
          <w:color w:val="000000"/>
        </w:rPr>
      </w:pPr>
    </w:p>
    <w:p w14:paraId="7B37F2C6">
      <w:pPr>
        <w:pStyle w:val="30"/>
        <w:ind w:firstLine="0" w:firstLineChars="0"/>
        <w:rPr>
          <w:rFonts w:ascii="黑体" w:hAnsi="黑体" w:eastAsia="黑体"/>
          <w:b w:val="0"/>
          <w:color w:val="000000"/>
        </w:rPr>
      </w:pPr>
      <w:r>
        <w:rPr>
          <w:rFonts w:ascii="黑体" w:hAnsi="黑体" w:eastAsia="黑体"/>
          <w:b w:val="0"/>
          <w:color w:val="000000"/>
        </w:rPr>
        <w:br w:type="page"/>
      </w:r>
      <w:bookmarkStart w:id="292" w:name="_Toc15586"/>
      <w:bookmarkStart w:id="293" w:name="_Toc12899"/>
      <w:bookmarkStart w:id="294" w:name="_Toc525"/>
      <w:bookmarkStart w:id="295" w:name="_Toc18795"/>
      <w:bookmarkStart w:id="296" w:name="_Toc11295"/>
      <w:r>
        <w:rPr>
          <w:rFonts w:hint="eastAsia" w:ascii="黑体" w:hAnsi="黑体" w:eastAsia="黑体"/>
          <w:b w:val="0"/>
          <w:color w:val="000000"/>
          <w:sz w:val="32"/>
          <w:szCs w:val="36"/>
        </w:rPr>
        <w:t>第三部分  响应方案</w:t>
      </w:r>
      <w:bookmarkEnd w:id="292"/>
      <w:bookmarkEnd w:id="293"/>
      <w:bookmarkEnd w:id="294"/>
      <w:bookmarkEnd w:id="295"/>
      <w:bookmarkEnd w:id="296"/>
    </w:p>
    <w:p w14:paraId="2712DFDC">
      <w:pPr>
        <w:pStyle w:val="30"/>
        <w:ind w:firstLine="609"/>
        <w:jc w:val="both"/>
        <w:outlineLvl w:val="2"/>
        <w:rPr>
          <w:rFonts w:ascii="仿宋" w:hAnsi="仿宋" w:eastAsia="仿宋" w:cs="仿宋"/>
          <w:bCs w:val="0"/>
          <w:color w:val="000000"/>
        </w:rPr>
      </w:pPr>
      <w:bookmarkStart w:id="297" w:name="_Toc9079"/>
      <w:bookmarkStart w:id="298" w:name="_Toc24887"/>
      <w:bookmarkStart w:id="299" w:name="_Toc7989"/>
      <w:bookmarkStart w:id="300" w:name="_Toc17062_WPSOffice_Level2"/>
      <w:bookmarkStart w:id="301" w:name="_Toc28702"/>
      <w:bookmarkStart w:id="302" w:name="_Toc11555"/>
      <w:bookmarkStart w:id="303" w:name="_Toc17621"/>
      <w:bookmarkStart w:id="304" w:name="_Toc29975_WPSOffice_Level2"/>
      <w:bookmarkStart w:id="305" w:name="_Toc9337_WPSOffice_Level2"/>
      <w:bookmarkStart w:id="306" w:name="_Toc7732"/>
      <w:bookmarkStart w:id="307" w:name="_Toc15660_WPSOffice_Level2"/>
      <w:r>
        <w:rPr>
          <w:rFonts w:hint="eastAsia" w:ascii="仿宋" w:hAnsi="仿宋" w:eastAsia="仿宋" w:cs="仿宋"/>
          <w:bCs w:val="0"/>
          <w:color w:val="000000"/>
        </w:rPr>
        <w:t>一、供应商概况</w:t>
      </w:r>
      <w:bookmarkEnd w:id="297"/>
      <w:bookmarkEnd w:id="298"/>
      <w:bookmarkEnd w:id="299"/>
      <w:bookmarkEnd w:id="300"/>
      <w:bookmarkEnd w:id="301"/>
      <w:bookmarkEnd w:id="302"/>
      <w:bookmarkEnd w:id="303"/>
      <w:bookmarkEnd w:id="304"/>
      <w:bookmarkEnd w:id="305"/>
      <w:bookmarkEnd w:id="306"/>
      <w:bookmarkEnd w:id="307"/>
    </w:p>
    <w:p w14:paraId="6F5A3C0A">
      <w:pPr>
        <w:spacing w:line="500" w:lineRule="exact"/>
        <w:ind w:firstLine="566" w:firstLineChars="200"/>
        <w:rPr>
          <w:rFonts w:cs="华文仿宋"/>
          <w:b/>
          <w:bCs/>
          <w:color w:val="000000"/>
        </w:rPr>
      </w:pPr>
      <w:r>
        <w:rPr>
          <w:rFonts w:hint="eastAsia" w:cs="华文仿宋"/>
          <w:color w:val="000000"/>
        </w:rPr>
        <w:t>包括但不限于成立时间、经营范围、股权变更、总公司分公司分布及经营状况、管理制度、人员配备、用户评价、正在实施的项目以及评优获奖</w:t>
      </w:r>
      <w:r>
        <w:rPr>
          <w:rFonts w:hint="eastAsia" w:cs="华文仿宋"/>
        </w:rPr>
        <w:t>以及</w:t>
      </w:r>
      <w:r>
        <w:rPr>
          <w:rFonts w:hint="eastAsia" w:ascii="华文仿宋" w:hAnsi="华文仿宋" w:cs="华文仿宋"/>
        </w:rPr>
        <w:t>供应商认为有利于成交的其他情况说明</w:t>
      </w:r>
      <w:r>
        <w:rPr>
          <w:rFonts w:hint="eastAsia" w:cs="华文仿宋"/>
          <w:color w:val="000000"/>
        </w:rPr>
        <w:t>。</w:t>
      </w:r>
    </w:p>
    <w:p w14:paraId="4EB2EB8B">
      <w:pPr>
        <w:spacing w:line="240" w:lineRule="auto"/>
        <w:rPr>
          <w:bCs/>
          <w:color w:val="000000"/>
        </w:rPr>
      </w:pPr>
      <w:r>
        <w:rPr>
          <w:bCs/>
          <w:color w:val="000000"/>
        </w:rPr>
        <w:br w:type="page"/>
      </w:r>
    </w:p>
    <w:p w14:paraId="3949C3F1">
      <w:pPr>
        <w:pStyle w:val="30"/>
        <w:ind w:firstLine="609"/>
        <w:jc w:val="both"/>
        <w:rPr>
          <w:rFonts w:ascii="仿宋" w:hAnsi="仿宋" w:eastAsia="仿宋" w:cs="仿宋"/>
          <w:color w:val="000000"/>
        </w:rPr>
      </w:pPr>
      <w:r>
        <w:rPr>
          <w:rFonts w:hint="eastAsia" w:ascii="仿宋" w:hAnsi="仿宋" w:eastAsia="仿宋" w:cs="仿宋"/>
          <w:color w:val="000000"/>
        </w:rPr>
        <w:t>二、响应方案</w:t>
      </w:r>
    </w:p>
    <w:p w14:paraId="3165C49C">
      <w:pPr>
        <w:spacing w:line="500" w:lineRule="exact"/>
        <w:ind w:firstLine="566" w:firstLineChars="200"/>
        <w:rPr>
          <w:bCs/>
          <w:color w:val="000000"/>
        </w:rPr>
      </w:pPr>
      <w:r>
        <w:rPr>
          <w:bCs/>
          <w:color w:val="000000"/>
        </w:rPr>
        <w:t>参照</w:t>
      </w:r>
      <w:r>
        <w:rPr>
          <w:rFonts w:hint="eastAsia"/>
          <w:bCs/>
          <w:color w:val="000000"/>
        </w:rPr>
        <w:t>电子磋商文件</w:t>
      </w:r>
      <w:r>
        <w:rPr>
          <w:bCs/>
          <w:color w:val="000000"/>
        </w:rPr>
        <w:t>第二章《</w:t>
      </w:r>
      <w:r>
        <w:rPr>
          <w:rFonts w:hint="eastAsia"/>
          <w:bCs/>
          <w:color w:val="000000"/>
        </w:rPr>
        <w:t>组织评审</w:t>
      </w:r>
      <w:r>
        <w:rPr>
          <w:bCs/>
          <w:color w:val="000000"/>
        </w:rPr>
        <w:t>》各条款的要求，结合第三章《</w:t>
      </w:r>
      <w:r>
        <w:rPr>
          <w:rFonts w:hint="eastAsia"/>
          <w:bCs/>
          <w:color w:val="000000"/>
        </w:rPr>
        <w:t>磋商</w:t>
      </w:r>
      <w:r>
        <w:rPr>
          <w:bCs/>
          <w:color w:val="000000"/>
        </w:rPr>
        <w:t>内容及</w:t>
      </w:r>
      <w:r>
        <w:rPr>
          <w:rFonts w:hint="eastAsia"/>
          <w:bCs/>
          <w:color w:val="000000"/>
        </w:rPr>
        <w:t>采购要求</w:t>
      </w:r>
      <w:r>
        <w:rPr>
          <w:bCs/>
          <w:color w:val="000000"/>
        </w:rPr>
        <w:t>》编制</w:t>
      </w:r>
      <w:r>
        <w:rPr>
          <w:rFonts w:hint="eastAsia"/>
          <w:bCs/>
          <w:color w:val="000000"/>
        </w:rPr>
        <w:t>响应</w:t>
      </w:r>
      <w:r>
        <w:rPr>
          <w:bCs/>
          <w:color w:val="000000"/>
        </w:rPr>
        <w:t>方案。</w:t>
      </w:r>
    </w:p>
    <w:p w14:paraId="3738B966">
      <w:pPr>
        <w:tabs>
          <w:tab w:val="right" w:pos="9070"/>
        </w:tabs>
        <w:spacing w:line="500" w:lineRule="exact"/>
        <w:ind w:firstLine="646" w:firstLineChars="200"/>
        <w:rPr>
          <w:rFonts w:ascii="仿宋" w:hAnsi="仿宋" w:eastAsia="仿宋"/>
          <w:b/>
          <w:color w:val="000000"/>
          <w:sz w:val="32"/>
          <w:szCs w:val="32"/>
        </w:rPr>
      </w:pPr>
    </w:p>
    <w:p w14:paraId="33584344">
      <w:pPr>
        <w:spacing w:line="240" w:lineRule="auto"/>
        <w:rPr>
          <w:rFonts w:ascii="仿宋" w:hAnsi="仿宋" w:eastAsia="仿宋"/>
          <w:bCs/>
          <w:color w:val="000000"/>
        </w:rPr>
      </w:pPr>
      <w:r>
        <w:rPr>
          <w:rFonts w:ascii="仿宋" w:hAnsi="仿宋" w:eastAsia="仿宋"/>
          <w:b/>
          <w:color w:val="000000"/>
          <w:sz w:val="32"/>
          <w:szCs w:val="32"/>
        </w:rPr>
        <w:br w:type="page"/>
      </w:r>
      <w:r>
        <w:rPr>
          <w:rFonts w:hint="eastAsia" w:ascii="仿宋" w:hAnsi="仿宋" w:eastAsia="仿宋"/>
          <w:b/>
          <w:color w:val="000000"/>
        </w:rPr>
        <w:t>三、参考样表</w:t>
      </w:r>
    </w:p>
    <w:p w14:paraId="1E8D68A7">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（一）业绩合同样表（仅供参考）</w:t>
      </w:r>
    </w:p>
    <w:tbl>
      <w:tblPr>
        <w:tblStyle w:val="20"/>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736"/>
        <w:gridCol w:w="1701"/>
        <w:gridCol w:w="2557"/>
        <w:gridCol w:w="1984"/>
      </w:tblGrid>
      <w:tr w14:paraId="75740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6285ED9A">
            <w:pPr>
              <w:widowControl w:val="0"/>
              <w:adjustRightInd w:val="0"/>
              <w:snapToGrid w:val="0"/>
              <w:spacing w:line="440" w:lineRule="exact"/>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736" w:type="dxa"/>
            <w:vAlign w:val="center"/>
          </w:tcPr>
          <w:p w14:paraId="2C159BFE">
            <w:pPr>
              <w:jc w:val="center"/>
              <w:rPr>
                <w:rFonts w:ascii="仿宋" w:hAnsi="仿宋" w:eastAsia="仿宋" w:cs="仿宋"/>
                <w:b/>
                <w:color w:val="000000"/>
                <w:sz w:val="24"/>
                <w:szCs w:val="24"/>
              </w:rPr>
            </w:pPr>
            <w:r>
              <w:rPr>
                <w:rFonts w:hint="eastAsia" w:ascii="仿宋" w:hAnsi="仿宋" w:eastAsia="仿宋" w:cs="仿宋"/>
                <w:b/>
                <w:color w:val="000000"/>
                <w:sz w:val="24"/>
                <w:szCs w:val="24"/>
              </w:rPr>
              <w:t>采购单位名称</w:t>
            </w:r>
          </w:p>
        </w:tc>
        <w:tc>
          <w:tcPr>
            <w:tcW w:w="1701" w:type="dxa"/>
            <w:vAlign w:val="center"/>
          </w:tcPr>
          <w:p w14:paraId="4F21FDF1">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合同名称</w:t>
            </w:r>
          </w:p>
        </w:tc>
        <w:tc>
          <w:tcPr>
            <w:tcW w:w="2557" w:type="dxa"/>
            <w:vAlign w:val="center"/>
          </w:tcPr>
          <w:p w14:paraId="116CBC0F">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合同起止时间</w:t>
            </w:r>
          </w:p>
        </w:tc>
        <w:tc>
          <w:tcPr>
            <w:tcW w:w="1984" w:type="dxa"/>
            <w:vAlign w:val="center"/>
          </w:tcPr>
          <w:p w14:paraId="358F989C">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合同金额（万元）</w:t>
            </w:r>
          </w:p>
        </w:tc>
      </w:tr>
      <w:tr w14:paraId="2DB3F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438395CB">
            <w:pPr>
              <w:widowControl w:val="0"/>
              <w:spacing w:line="440" w:lineRule="exact"/>
              <w:jc w:val="center"/>
              <w:rPr>
                <w:rFonts w:ascii="仿宋" w:hAnsi="仿宋" w:eastAsia="仿宋" w:cs="仿宋"/>
                <w:color w:val="000000"/>
                <w:sz w:val="24"/>
                <w:szCs w:val="24"/>
              </w:rPr>
            </w:pPr>
          </w:p>
        </w:tc>
        <w:tc>
          <w:tcPr>
            <w:tcW w:w="1736" w:type="dxa"/>
            <w:vAlign w:val="center"/>
          </w:tcPr>
          <w:p w14:paraId="6A9B68FF">
            <w:pPr>
              <w:widowControl w:val="0"/>
              <w:spacing w:line="440" w:lineRule="exact"/>
              <w:jc w:val="center"/>
              <w:rPr>
                <w:rFonts w:ascii="仿宋" w:hAnsi="仿宋" w:eastAsia="仿宋" w:cs="仿宋"/>
                <w:color w:val="000000"/>
                <w:sz w:val="24"/>
                <w:szCs w:val="24"/>
              </w:rPr>
            </w:pPr>
          </w:p>
        </w:tc>
        <w:tc>
          <w:tcPr>
            <w:tcW w:w="1701" w:type="dxa"/>
            <w:vAlign w:val="center"/>
          </w:tcPr>
          <w:p w14:paraId="696EC992">
            <w:pPr>
              <w:widowControl w:val="0"/>
              <w:spacing w:line="440" w:lineRule="exact"/>
              <w:jc w:val="center"/>
              <w:rPr>
                <w:rFonts w:ascii="仿宋" w:hAnsi="仿宋" w:eastAsia="仿宋" w:cs="仿宋"/>
                <w:color w:val="000000"/>
                <w:sz w:val="24"/>
                <w:szCs w:val="24"/>
              </w:rPr>
            </w:pPr>
          </w:p>
        </w:tc>
        <w:tc>
          <w:tcPr>
            <w:tcW w:w="2557" w:type="dxa"/>
            <w:vAlign w:val="center"/>
          </w:tcPr>
          <w:p w14:paraId="014C1867">
            <w:pPr>
              <w:widowControl w:val="0"/>
              <w:spacing w:line="440" w:lineRule="exact"/>
              <w:jc w:val="center"/>
              <w:rPr>
                <w:rFonts w:ascii="仿宋" w:hAnsi="仿宋" w:eastAsia="仿宋" w:cs="仿宋"/>
                <w:color w:val="000000"/>
                <w:sz w:val="24"/>
                <w:szCs w:val="24"/>
              </w:rPr>
            </w:pPr>
          </w:p>
        </w:tc>
        <w:tc>
          <w:tcPr>
            <w:tcW w:w="1984" w:type="dxa"/>
            <w:vAlign w:val="center"/>
          </w:tcPr>
          <w:p w14:paraId="2FC84962">
            <w:pPr>
              <w:widowControl w:val="0"/>
              <w:spacing w:line="440" w:lineRule="exact"/>
              <w:jc w:val="center"/>
              <w:rPr>
                <w:rFonts w:ascii="仿宋" w:hAnsi="仿宋" w:eastAsia="仿宋" w:cs="仿宋"/>
                <w:color w:val="000000"/>
                <w:sz w:val="24"/>
                <w:szCs w:val="24"/>
              </w:rPr>
            </w:pPr>
          </w:p>
        </w:tc>
      </w:tr>
      <w:tr w14:paraId="5D3CC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0BE45E4B">
            <w:pPr>
              <w:widowControl w:val="0"/>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736" w:type="dxa"/>
            <w:vAlign w:val="center"/>
          </w:tcPr>
          <w:p w14:paraId="30DF01A3">
            <w:pPr>
              <w:widowControl w:val="0"/>
              <w:spacing w:line="440" w:lineRule="exact"/>
              <w:jc w:val="center"/>
              <w:rPr>
                <w:rFonts w:ascii="仿宋" w:hAnsi="仿宋" w:eastAsia="仿宋" w:cs="仿宋"/>
                <w:color w:val="000000"/>
                <w:sz w:val="24"/>
                <w:szCs w:val="24"/>
              </w:rPr>
            </w:pPr>
          </w:p>
        </w:tc>
        <w:tc>
          <w:tcPr>
            <w:tcW w:w="1701" w:type="dxa"/>
            <w:vAlign w:val="center"/>
          </w:tcPr>
          <w:p w14:paraId="42F6DDF5">
            <w:pPr>
              <w:widowControl w:val="0"/>
              <w:spacing w:line="440" w:lineRule="exact"/>
              <w:jc w:val="center"/>
              <w:rPr>
                <w:rFonts w:ascii="仿宋" w:hAnsi="仿宋" w:eastAsia="仿宋" w:cs="仿宋"/>
                <w:color w:val="000000"/>
                <w:sz w:val="24"/>
                <w:szCs w:val="24"/>
              </w:rPr>
            </w:pPr>
          </w:p>
        </w:tc>
        <w:tc>
          <w:tcPr>
            <w:tcW w:w="2557" w:type="dxa"/>
            <w:vAlign w:val="center"/>
          </w:tcPr>
          <w:p w14:paraId="53C9F2E7">
            <w:pPr>
              <w:widowControl w:val="0"/>
              <w:spacing w:line="440" w:lineRule="exact"/>
              <w:jc w:val="center"/>
              <w:rPr>
                <w:rFonts w:ascii="仿宋" w:hAnsi="仿宋" w:eastAsia="仿宋" w:cs="仿宋"/>
                <w:color w:val="000000"/>
                <w:sz w:val="24"/>
                <w:szCs w:val="24"/>
              </w:rPr>
            </w:pPr>
          </w:p>
        </w:tc>
        <w:tc>
          <w:tcPr>
            <w:tcW w:w="1984" w:type="dxa"/>
            <w:vAlign w:val="center"/>
          </w:tcPr>
          <w:p w14:paraId="278DFBD8">
            <w:pPr>
              <w:widowControl w:val="0"/>
              <w:spacing w:line="440" w:lineRule="exact"/>
              <w:jc w:val="center"/>
              <w:rPr>
                <w:rFonts w:ascii="仿宋" w:hAnsi="仿宋" w:eastAsia="仿宋" w:cs="仿宋"/>
                <w:color w:val="000000"/>
                <w:sz w:val="24"/>
                <w:szCs w:val="24"/>
              </w:rPr>
            </w:pPr>
          </w:p>
        </w:tc>
      </w:tr>
      <w:tr w14:paraId="6F5B9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89" w:type="dxa"/>
            <w:gridSpan w:val="5"/>
            <w:vAlign w:val="center"/>
          </w:tcPr>
          <w:p w14:paraId="032B47BF">
            <w:pPr>
              <w:widowControl w:val="0"/>
              <w:spacing w:line="440" w:lineRule="exact"/>
              <w:jc w:val="left"/>
              <w:rPr>
                <w:rFonts w:ascii="仿宋" w:hAnsi="仿宋" w:eastAsia="仿宋" w:cs="仿宋"/>
                <w:color w:val="000000"/>
                <w:sz w:val="24"/>
                <w:szCs w:val="24"/>
              </w:rPr>
            </w:pPr>
            <w:r>
              <w:rPr>
                <w:rFonts w:hint="eastAsia" w:ascii="仿宋" w:hAnsi="仿宋" w:eastAsia="仿宋" w:cs="仿宋"/>
                <w:b/>
                <w:color w:val="000000"/>
                <w:sz w:val="24"/>
                <w:szCs w:val="24"/>
              </w:rPr>
              <w:t>数量合计（个）</w:t>
            </w:r>
            <w:r>
              <w:rPr>
                <w:rFonts w:hint="eastAsia" w:ascii="仿宋" w:hAnsi="仿宋" w:eastAsia="仿宋" w:cs="仿宋"/>
                <w:color w:val="000000"/>
                <w:sz w:val="24"/>
                <w:szCs w:val="24"/>
              </w:rPr>
              <w:t>：</w:t>
            </w:r>
          </w:p>
        </w:tc>
      </w:tr>
    </w:tbl>
    <w:p w14:paraId="7FB8FA69">
      <w:pPr>
        <w:tabs>
          <w:tab w:val="right" w:pos="9070"/>
        </w:tabs>
        <w:snapToGrid w:val="0"/>
        <w:spacing w:line="240" w:lineRule="auto"/>
        <w:rPr>
          <w:rFonts w:ascii="华文仿宋" w:hAnsi="华文仿宋" w:eastAsia="仿宋" w:cs="华文仿宋"/>
          <w:b/>
          <w:bCs/>
          <w:color w:val="000000"/>
        </w:rPr>
      </w:pPr>
      <w:r>
        <w:rPr>
          <w:rFonts w:hint="eastAsia"/>
          <w:color w:val="000000"/>
          <w:sz w:val="24"/>
          <w:szCs w:val="24"/>
        </w:rPr>
        <w:t xml:space="preserve">    注：提供</w:t>
      </w:r>
      <w:r>
        <w:rPr>
          <w:rFonts w:hint="eastAsia" w:ascii="仿宋" w:hAnsi="仿宋" w:eastAsia="仿宋" w:cs="仿宋"/>
          <w:bCs/>
          <w:color w:val="000000"/>
          <w:sz w:val="24"/>
          <w:szCs w:val="24"/>
        </w:rPr>
        <w:t>202</w:t>
      </w:r>
      <w:r>
        <w:rPr>
          <w:rFonts w:hint="eastAsia" w:ascii="仿宋" w:hAnsi="仿宋" w:eastAsia="仿宋" w:cs="仿宋"/>
          <w:bCs/>
          <w:color w:val="000000"/>
          <w:sz w:val="24"/>
          <w:szCs w:val="24"/>
          <w:lang w:val="en-US" w:eastAsia="zh-CN"/>
        </w:rPr>
        <w:t>1</w:t>
      </w:r>
      <w:r>
        <w:rPr>
          <w:rFonts w:hint="eastAsia" w:ascii="仿宋" w:hAnsi="仿宋" w:eastAsia="仿宋" w:cs="仿宋"/>
          <w:bCs/>
          <w:color w:val="000000"/>
          <w:sz w:val="24"/>
          <w:szCs w:val="24"/>
        </w:rPr>
        <w:t>年1月1日以来类似项目业绩（以合同签订日期为准），</w:t>
      </w:r>
      <w:r>
        <w:rPr>
          <w:rFonts w:hint="eastAsia" w:ascii="仿宋" w:hAnsi="仿宋" w:eastAsia="仿宋" w:cs="仿宋"/>
          <w:color w:val="000000"/>
          <w:sz w:val="24"/>
          <w:szCs w:val="24"/>
        </w:rPr>
        <w:t>需提供完整合同业绩原件的扫描件。不提供不得分。</w:t>
      </w:r>
    </w:p>
    <w:p w14:paraId="74866330">
      <w:pPr>
        <w:tabs>
          <w:tab w:val="right" w:pos="9070"/>
        </w:tabs>
        <w:snapToGrid w:val="0"/>
        <w:spacing w:line="500" w:lineRule="exact"/>
        <w:ind w:left="566" w:leftChars="200"/>
        <w:rPr>
          <w:rFonts w:ascii="Calibri" w:hAnsi="Calibri" w:cs="Calibri"/>
          <w:color w:val="000000"/>
          <w:szCs w:val="21"/>
        </w:rPr>
      </w:pPr>
      <w:r>
        <w:rPr>
          <w:rFonts w:hint="eastAsia" w:ascii="华文仿宋" w:hAnsi="华文仿宋" w:cs="华文仿宋"/>
          <w:b/>
          <w:bCs/>
          <w:color w:val="000000"/>
        </w:rPr>
        <w:t>（二）</w:t>
      </w:r>
      <w:r>
        <w:rPr>
          <w:rFonts w:hint="eastAsia" w:ascii="Calibri" w:hAnsi="Calibri" w:cs="Calibri"/>
          <w:b/>
          <w:bCs/>
          <w:color w:val="000000"/>
          <w:szCs w:val="21"/>
        </w:rPr>
        <w:t>项目团队样表（仅供参考）</w:t>
      </w:r>
    </w:p>
    <w:p w14:paraId="0B6D63F5">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1.项目团队情况概述</w:t>
      </w:r>
    </w:p>
    <w:p w14:paraId="711123E5">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概述内容包括但不限于为本项目提供服务的团队整体情况、团队负责人、联系人基本情况、背景、能力介绍等，具体内容自行编制。</w:t>
      </w:r>
    </w:p>
    <w:p w14:paraId="225A4A39">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2.项目团队人员清单</w:t>
      </w:r>
    </w:p>
    <w:tbl>
      <w:tblPr>
        <w:tblStyle w:val="20"/>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969"/>
        <w:gridCol w:w="1260"/>
        <w:gridCol w:w="24"/>
        <w:gridCol w:w="1363"/>
        <w:gridCol w:w="17"/>
        <w:gridCol w:w="6"/>
        <w:gridCol w:w="1581"/>
        <w:gridCol w:w="1740"/>
        <w:gridCol w:w="42"/>
        <w:gridCol w:w="1049"/>
      </w:tblGrid>
      <w:tr w14:paraId="0704C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42" w:type="dxa"/>
            <w:gridSpan w:val="11"/>
            <w:tcBorders>
              <w:top w:val="single" w:color="auto" w:sz="12" w:space="0"/>
              <w:left w:val="single" w:color="auto" w:sz="12" w:space="0"/>
              <w:bottom w:val="single" w:color="auto" w:sz="6" w:space="0"/>
              <w:right w:val="single" w:color="auto" w:sz="12" w:space="0"/>
            </w:tcBorders>
            <w:vAlign w:val="center"/>
          </w:tcPr>
          <w:p w14:paraId="78A04EA1">
            <w:pPr>
              <w:tabs>
                <w:tab w:val="right" w:pos="9070"/>
              </w:tabs>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1.项目负责人/技术负责人</w:t>
            </w:r>
          </w:p>
        </w:tc>
      </w:tr>
      <w:tr w14:paraId="1CAEA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31CB313">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50E40F90">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530DEB98">
            <w:pPr>
              <w:jc w:val="center"/>
              <w:rPr>
                <w:rFonts w:ascii="仿宋" w:hAnsi="仿宋" w:eastAsia="仿宋" w:cs="仿宋"/>
                <w:color w:val="000000"/>
                <w:sz w:val="24"/>
                <w:szCs w:val="24"/>
              </w:rPr>
            </w:pPr>
            <w:r>
              <w:rPr>
                <w:rFonts w:hint="eastAsia" w:ascii="仿宋" w:hAnsi="仿宋" w:eastAsia="仿宋" w:cs="仿宋"/>
                <w:color w:val="000000"/>
                <w:sz w:val="24"/>
                <w:szCs w:val="24"/>
              </w:rPr>
              <w:t>学历</w:t>
            </w:r>
          </w:p>
        </w:tc>
        <w:tc>
          <w:tcPr>
            <w:tcW w:w="1387" w:type="dxa"/>
            <w:gridSpan w:val="2"/>
            <w:vAlign w:val="center"/>
          </w:tcPr>
          <w:p w14:paraId="6E62DBDC">
            <w:pPr>
              <w:jc w:val="center"/>
              <w:rPr>
                <w:rFonts w:ascii="仿宋" w:hAnsi="仿宋" w:eastAsia="仿宋" w:cs="仿宋"/>
                <w:color w:val="000000"/>
                <w:sz w:val="24"/>
                <w:szCs w:val="24"/>
              </w:rPr>
            </w:pPr>
            <w:r>
              <w:rPr>
                <w:rFonts w:hint="eastAsia" w:ascii="仿宋" w:hAnsi="仿宋" w:eastAsia="仿宋" w:cs="仿宋"/>
                <w:color w:val="000000"/>
                <w:sz w:val="24"/>
                <w:szCs w:val="24"/>
              </w:rPr>
              <w:t>职业证书</w:t>
            </w:r>
          </w:p>
        </w:tc>
        <w:tc>
          <w:tcPr>
            <w:tcW w:w="1604" w:type="dxa"/>
            <w:gridSpan w:val="3"/>
            <w:vAlign w:val="center"/>
          </w:tcPr>
          <w:p w14:paraId="2685451F">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40" w:type="dxa"/>
            <w:tcBorders>
              <w:right w:val="single" w:color="auto" w:sz="2" w:space="0"/>
            </w:tcBorders>
            <w:vAlign w:val="center"/>
          </w:tcPr>
          <w:p w14:paraId="7D705FF3">
            <w:pPr>
              <w:spacing w:line="2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主要工作</w:t>
            </w:r>
          </w:p>
          <w:p w14:paraId="4EBFD441">
            <w:pPr>
              <w:spacing w:line="2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业绩和经历</w:t>
            </w:r>
          </w:p>
        </w:tc>
        <w:tc>
          <w:tcPr>
            <w:tcW w:w="1091" w:type="dxa"/>
            <w:gridSpan w:val="2"/>
            <w:tcBorders>
              <w:left w:val="single" w:color="auto" w:sz="2" w:space="0"/>
              <w:right w:val="single" w:color="auto" w:sz="12" w:space="0"/>
            </w:tcBorders>
            <w:vAlign w:val="center"/>
          </w:tcPr>
          <w:p w14:paraId="03CA8136">
            <w:pPr>
              <w:spacing w:line="2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岗位</w:t>
            </w:r>
          </w:p>
        </w:tc>
      </w:tr>
      <w:tr w14:paraId="49902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6B31408">
            <w:pPr>
              <w:rPr>
                <w:rFonts w:ascii="仿宋" w:hAnsi="仿宋" w:eastAsia="仿宋" w:cs="仿宋"/>
                <w:color w:val="000000"/>
                <w:sz w:val="24"/>
                <w:szCs w:val="24"/>
              </w:rPr>
            </w:pPr>
          </w:p>
        </w:tc>
        <w:tc>
          <w:tcPr>
            <w:tcW w:w="969" w:type="dxa"/>
            <w:tcBorders>
              <w:left w:val="single" w:color="auto" w:sz="6" w:space="0"/>
            </w:tcBorders>
            <w:vAlign w:val="center"/>
          </w:tcPr>
          <w:p w14:paraId="57BBC13F">
            <w:pPr>
              <w:rPr>
                <w:rFonts w:ascii="仿宋" w:hAnsi="仿宋" w:eastAsia="仿宋" w:cs="仿宋"/>
                <w:color w:val="000000"/>
                <w:sz w:val="24"/>
                <w:szCs w:val="24"/>
              </w:rPr>
            </w:pPr>
          </w:p>
        </w:tc>
        <w:tc>
          <w:tcPr>
            <w:tcW w:w="1260" w:type="dxa"/>
            <w:vAlign w:val="center"/>
          </w:tcPr>
          <w:p w14:paraId="6F3CA576">
            <w:pPr>
              <w:rPr>
                <w:rFonts w:ascii="仿宋" w:hAnsi="仿宋" w:eastAsia="仿宋" w:cs="仿宋"/>
                <w:color w:val="000000"/>
                <w:sz w:val="24"/>
                <w:szCs w:val="24"/>
              </w:rPr>
            </w:pPr>
          </w:p>
        </w:tc>
        <w:tc>
          <w:tcPr>
            <w:tcW w:w="1387" w:type="dxa"/>
            <w:gridSpan w:val="2"/>
            <w:vAlign w:val="center"/>
          </w:tcPr>
          <w:p w14:paraId="6AB86F13">
            <w:pPr>
              <w:rPr>
                <w:rFonts w:ascii="仿宋" w:hAnsi="仿宋" w:eastAsia="仿宋" w:cs="仿宋"/>
                <w:color w:val="000000"/>
                <w:sz w:val="24"/>
                <w:szCs w:val="24"/>
              </w:rPr>
            </w:pPr>
          </w:p>
        </w:tc>
        <w:tc>
          <w:tcPr>
            <w:tcW w:w="1604" w:type="dxa"/>
            <w:gridSpan w:val="3"/>
            <w:vAlign w:val="center"/>
          </w:tcPr>
          <w:p w14:paraId="120C2C39">
            <w:pPr>
              <w:rPr>
                <w:rFonts w:ascii="仿宋" w:hAnsi="仿宋" w:eastAsia="仿宋" w:cs="仿宋"/>
                <w:color w:val="000000"/>
                <w:sz w:val="24"/>
                <w:szCs w:val="24"/>
              </w:rPr>
            </w:pPr>
          </w:p>
        </w:tc>
        <w:tc>
          <w:tcPr>
            <w:tcW w:w="1740" w:type="dxa"/>
            <w:tcBorders>
              <w:right w:val="single" w:color="auto" w:sz="2" w:space="0"/>
            </w:tcBorders>
            <w:vAlign w:val="center"/>
          </w:tcPr>
          <w:p w14:paraId="6BF4A9EE">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2DEADB51">
            <w:pPr>
              <w:rPr>
                <w:rFonts w:ascii="仿宋" w:hAnsi="仿宋" w:eastAsia="仿宋" w:cs="仿宋"/>
                <w:color w:val="000000"/>
                <w:sz w:val="24"/>
                <w:szCs w:val="24"/>
              </w:rPr>
            </w:pPr>
          </w:p>
        </w:tc>
      </w:tr>
      <w:tr w14:paraId="3EF7A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0248541">
            <w:pPr>
              <w:rPr>
                <w:rFonts w:ascii="仿宋" w:hAnsi="仿宋" w:eastAsia="仿宋" w:cs="仿宋"/>
                <w:color w:val="000000"/>
                <w:sz w:val="24"/>
                <w:szCs w:val="24"/>
              </w:rPr>
            </w:pPr>
          </w:p>
        </w:tc>
        <w:tc>
          <w:tcPr>
            <w:tcW w:w="969" w:type="dxa"/>
            <w:tcBorders>
              <w:left w:val="single" w:color="auto" w:sz="6" w:space="0"/>
            </w:tcBorders>
            <w:vAlign w:val="center"/>
          </w:tcPr>
          <w:p w14:paraId="0D3BE554">
            <w:pPr>
              <w:rPr>
                <w:rFonts w:ascii="仿宋" w:hAnsi="仿宋" w:eastAsia="仿宋" w:cs="仿宋"/>
                <w:color w:val="000000"/>
                <w:sz w:val="24"/>
                <w:szCs w:val="24"/>
              </w:rPr>
            </w:pPr>
          </w:p>
        </w:tc>
        <w:tc>
          <w:tcPr>
            <w:tcW w:w="1260" w:type="dxa"/>
            <w:vAlign w:val="center"/>
          </w:tcPr>
          <w:p w14:paraId="1229E369">
            <w:pPr>
              <w:rPr>
                <w:rFonts w:ascii="仿宋" w:hAnsi="仿宋" w:eastAsia="仿宋" w:cs="仿宋"/>
                <w:color w:val="000000"/>
                <w:sz w:val="24"/>
                <w:szCs w:val="24"/>
              </w:rPr>
            </w:pPr>
          </w:p>
        </w:tc>
        <w:tc>
          <w:tcPr>
            <w:tcW w:w="1387" w:type="dxa"/>
            <w:gridSpan w:val="2"/>
            <w:vAlign w:val="center"/>
          </w:tcPr>
          <w:p w14:paraId="41E440F6">
            <w:pPr>
              <w:rPr>
                <w:rFonts w:ascii="仿宋" w:hAnsi="仿宋" w:eastAsia="仿宋" w:cs="仿宋"/>
                <w:color w:val="000000"/>
                <w:sz w:val="24"/>
                <w:szCs w:val="24"/>
              </w:rPr>
            </w:pPr>
          </w:p>
        </w:tc>
        <w:tc>
          <w:tcPr>
            <w:tcW w:w="1604" w:type="dxa"/>
            <w:gridSpan w:val="3"/>
            <w:vAlign w:val="center"/>
          </w:tcPr>
          <w:p w14:paraId="61BFBB97">
            <w:pPr>
              <w:rPr>
                <w:rFonts w:ascii="仿宋" w:hAnsi="仿宋" w:eastAsia="仿宋" w:cs="仿宋"/>
                <w:color w:val="000000"/>
                <w:sz w:val="24"/>
                <w:szCs w:val="24"/>
              </w:rPr>
            </w:pPr>
          </w:p>
        </w:tc>
        <w:tc>
          <w:tcPr>
            <w:tcW w:w="1740" w:type="dxa"/>
            <w:tcBorders>
              <w:right w:val="single" w:color="auto" w:sz="2" w:space="0"/>
            </w:tcBorders>
            <w:vAlign w:val="center"/>
          </w:tcPr>
          <w:p w14:paraId="0311C922">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09079C4B">
            <w:pPr>
              <w:rPr>
                <w:rFonts w:ascii="仿宋" w:hAnsi="仿宋" w:eastAsia="仿宋" w:cs="仿宋"/>
                <w:color w:val="000000"/>
                <w:sz w:val="24"/>
                <w:szCs w:val="24"/>
              </w:rPr>
            </w:pPr>
          </w:p>
        </w:tc>
      </w:tr>
      <w:tr w14:paraId="51029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314EED3">
            <w:pPr>
              <w:rPr>
                <w:rFonts w:ascii="仿宋" w:hAnsi="仿宋" w:eastAsia="仿宋" w:cs="仿宋"/>
                <w:color w:val="000000"/>
                <w:sz w:val="24"/>
                <w:szCs w:val="24"/>
              </w:rPr>
            </w:pPr>
          </w:p>
        </w:tc>
        <w:tc>
          <w:tcPr>
            <w:tcW w:w="969" w:type="dxa"/>
            <w:tcBorders>
              <w:left w:val="single" w:color="auto" w:sz="6" w:space="0"/>
            </w:tcBorders>
            <w:vAlign w:val="center"/>
          </w:tcPr>
          <w:p w14:paraId="412491FA">
            <w:pPr>
              <w:rPr>
                <w:rFonts w:ascii="仿宋" w:hAnsi="仿宋" w:eastAsia="仿宋" w:cs="仿宋"/>
                <w:color w:val="000000"/>
                <w:sz w:val="24"/>
                <w:szCs w:val="24"/>
              </w:rPr>
            </w:pPr>
          </w:p>
        </w:tc>
        <w:tc>
          <w:tcPr>
            <w:tcW w:w="1260" w:type="dxa"/>
            <w:vAlign w:val="center"/>
          </w:tcPr>
          <w:p w14:paraId="669AEE8F">
            <w:pPr>
              <w:rPr>
                <w:rFonts w:ascii="仿宋" w:hAnsi="仿宋" w:eastAsia="仿宋" w:cs="仿宋"/>
                <w:color w:val="000000"/>
                <w:sz w:val="24"/>
                <w:szCs w:val="24"/>
              </w:rPr>
            </w:pPr>
          </w:p>
        </w:tc>
        <w:tc>
          <w:tcPr>
            <w:tcW w:w="1387" w:type="dxa"/>
            <w:gridSpan w:val="2"/>
            <w:vAlign w:val="center"/>
          </w:tcPr>
          <w:p w14:paraId="79F0D9D2">
            <w:pPr>
              <w:rPr>
                <w:rFonts w:ascii="仿宋" w:hAnsi="仿宋" w:eastAsia="仿宋" w:cs="仿宋"/>
                <w:color w:val="000000"/>
                <w:sz w:val="24"/>
                <w:szCs w:val="24"/>
              </w:rPr>
            </w:pPr>
          </w:p>
        </w:tc>
        <w:tc>
          <w:tcPr>
            <w:tcW w:w="1604" w:type="dxa"/>
            <w:gridSpan w:val="3"/>
            <w:vAlign w:val="center"/>
          </w:tcPr>
          <w:p w14:paraId="5B575463">
            <w:pPr>
              <w:rPr>
                <w:rFonts w:ascii="仿宋" w:hAnsi="仿宋" w:eastAsia="仿宋" w:cs="仿宋"/>
                <w:color w:val="000000"/>
                <w:sz w:val="24"/>
                <w:szCs w:val="24"/>
              </w:rPr>
            </w:pPr>
          </w:p>
        </w:tc>
        <w:tc>
          <w:tcPr>
            <w:tcW w:w="1740" w:type="dxa"/>
            <w:tcBorders>
              <w:right w:val="single" w:color="auto" w:sz="2" w:space="0"/>
            </w:tcBorders>
            <w:vAlign w:val="center"/>
          </w:tcPr>
          <w:p w14:paraId="6B99634E">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35DFBA3A">
            <w:pPr>
              <w:rPr>
                <w:rFonts w:ascii="仿宋" w:hAnsi="仿宋" w:eastAsia="仿宋" w:cs="仿宋"/>
                <w:color w:val="000000"/>
                <w:sz w:val="24"/>
                <w:szCs w:val="24"/>
              </w:rPr>
            </w:pPr>
          </w:p>
        </w:tc>
      </w:tr>
      <w:tr w14:paraId="5A8F9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1A1E24A6">
            <w:pPr>
              <w:rPr>
                <w:rFonts w:ascii="仿宋" w:hAnsi="仿宋" w:eastAsia="仿宋" w:cs="仿宋"/>
                <w:color w:val="000000"/>
                <w:sz w:val="24"/>
                <w:szCs w:val="24"/>
              </w:rPr>
            </w:pPr>
            <w:r>
              <w:rPr>
                <w:rFonts w:hint="eastAsia" w:ascii="仿宋" w:hAnsi="仿宋" w:eastAsia="仿宋" w:cs="仿宋"/>
                <w:color w:val="000000"/>
                <w:sz w:val="24"/>
                <w:szCs w:val="24"/>
              </w:rPr>
              <w:t>2.技术人员</w:t>
            </w:r>
          </w:p>
        </w:tc>
      </w:tr>
      <w:tr w14:paraId="1D07C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987D554">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69398D13">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2B9D5221">
            <w:pPr>
              <w:jc w:val="center"/>
              <w:rPr>
                <w:rFonts w:ascii="仿宋" w:hAnsi="仿宋" w:eastAsia="仿宋" w:cs="仿宋"/>
                <w:color w:val="000000"/>
                <w:sz w:val="24"/>
                <w:szCs w:val="24"/>
              </w:rPr>
            </w:pPr>
            <w:r>
              <w:rPr>
                <w:rFonts w:hint="eastAsia" w:ascii="仿宋" w:hAnsi="仿宋" w:eastAsia="仿宋" w:cs="仿宋"/>
                <w:color w:val="000000"/>
                <w:sz w:val="24"/>
                <w:szCs w:val="24"/>
              </w:rPr>
              <w:t>学历</w:t>
            </w:r>
          </w:p>
        </w:tc>
        <w:tc>
          <w:tcPr>
            <w:tcW w:w="1404" w:type="dxa"/>
            <w:gridSpan w:val="3"/>
            <w:vAlign w:val="center"/>
          </w:tcPr>
          <w:p w14:paraId="764BEC59">
            <w:pPr>
              <w:jc w:val="center"/>
              <w:rPr>
                <w:rFonts w:ascii="仿宋" w:hAnsi="仿宋" w:eastAsia="仿宋" w:cs="仿宋"/>
                <w:color w:val="000000"/>
                <w:sz w:val="24"/>
                <w:szCs w:val="24"/>
              </w:rPr>
            </w:pPr>
            <w:r>
              <w:rPr>
                <w:rFonts w:hint="eastAsia" w:ascii="仿宋" w:hAnsi="仿宋" w:eastAsia="仿宋" w:cs="仿宋"/>
                <w:color w:val="000000"/>
                <w:sz w:val="24"/>
                <w:szCs w:val="24"/>
              </w:rPr>
              <w:t>职业证书</w:t>
            </w:r>
          </w:p>
        </w:tc>
        <w:tc>
          <w:tcPr>
            <w:tcW w:w="1587" w:type="dxa"/>
            <w:gridSpan w:val="2"/>
            <w:vAlign w:val="center"/>
          </w:tcPr>
          <w:p w14:paraId="560E9203">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82" w:type="dxa"/>
            <w:gridSpan w:val="2"/>
            <w:vAlign w:val="center"/>
          </w:tcPr>
          <w:p w14:paraId="182A74EF">
            <w:pPr>
              <w:spacing w:line="2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主要工作</w:t>
            </w:r>
          </w:p>
          <w:p w14:paraId="00FFFA16">
            <w:pPr>
              <w:spacing w:line="2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业绩和经历</w:t>
            </w:r>
          </w:p>
        </w:tc>
        <w:tc>
          <w:tcPr>
            <w:tcW w:w="1049" w:type="dxa"/>
            <w:tcBorders>
              <w:right w:val="single" w:color="auto" w:sz="12" w:space="0"/>
            </w:tcBorders>
            <w:vAlign w:val="center"/>
          </w:tcPr>
          <w:p w14:paraId="7967350E">
            <w:pPr>
              <w:spacing w:line="2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岗位</w:t>
            </w:r>
          </w:p>
        </w:tc>
      </w:tr>
      <w:tr w14:paraId="4086F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7223D233">
            <w:pPr>
              <w:rPr>
                <w:rFonts w:ascii="仿宋" w:hAnsi="仿宋" w:eastAsia="仿宋" w:cs="仿宋"/>
                <w:color w:val="000000"/>
                <w:sz w:val="24"/>
                <w:szCs w:val="24"/>
              </w:rPr>
            </w:pPr>
          </w:p>
        </w:tc>
        <w:tc>
          <w:tcPr>
            <w:tcW w:w="969" w:type="dxa"/>
            <w:tcBorders>
              <w:left w:val="single" w:color="auto" w:sz="6" w:space="0"/>
            </w:tcBorders>
            <w:vAlign w:val="center"/>
          </w:tcPr>
          <w:p w14:paraId="367B928F">
            <w:pPr>
              <w:rPr>
                <w:rFonts w:ascii="仿宋" w:hAnsi="仿宋" w:eastAsia="仿宋" w:cs="仿宋"/>
                <w:color w:val="000000"/>
                <w:sz w:val="24"/>
                <w:szCs w:val="24"/>
              </w:rPr>
            </w:pPr>
          </w:p>
        </w:tc>
        <w:tc>
          <w:tcPr>
            <w:tcW w:w="1260" w:type="dxa"/>
            <w:vAlign w:val="center"/>
          </w:tcPr>
          <w:p w14:paraId="34618EC9">
            <w:pPr>
              <w:rPr>
                <w:rFonts w:ascii="仿宋" w:hAnsi="仿宋" w:eastAsia="仿宋" w:cs="仿宋"/>
                <w:color w:val="000000"/>
                <w:sz w:val="24"/>
                <w:szCs w:val="24"/>
              </w:rPr>
            </w:pPr>
          </w:p>
        </w:tc>
        <w:tc>
          <w:tcPr>
            <w:tcW w:w="1404" w:type="dxa"/>
            <w:gridSpan w:val="3"/>
            <w:vAlign w:val="center"/>
          </w:tcPr>
          <w:p w14:paraId="7AE74159">
            <w:pPr>
              <w:rPr>
                <w:rFonts w:ascii="仿宋" w:hAnsi="仿宋" w:eastAsia="仿宋" w:cs="仿宋"/>
                <w:color w:val="000000"/>
                <w:sz w:val="24"/>
                <w:szCs w:val="24"/>
              </w:rPr>
            </w:pPr>
          </w:p>
        </w:tc>
        <w:tc>
          <w:tcPr>
            <w:tcW w:w="1587" w:type="dxa"/>
            <w:gridSpan w:val="2"/>
            <w:vAlign w:val="center"/>
          </w:tcPr>
          <w:p w14:paraId="77EAF3E6">
            <w:pPr>
              <w:rPr>
                <w:rFonts w:ascii="仿宋" w:hAnsi="仿宋" w:eastAsia="仿宋" w:cs="仿宋"/>
                <w:color w:val="000000"/>
                <w:sz w:val="24"/>
                <w:szCs w:val="24"/>
              </w:rPr>
            </w:pPr>
          </w:p>
        </w:tc>
        <w:tc>
          <w:tcPr>
            <w:tcW w:w="1782" w:type="dxa"/>
            <w:gridSpan w:val="2"/>
            <w:vAlign w:val="center"/>
          </w:tcPr>
          <w:p w14:paraId="466524E0">
            <w:pPr>
              <w:rPr>
                <w:rFonts w:ascii="仿宋" w:hAnsi="仿宋" w:eastAsia="仿宋" w:cs="仿宋"/>
                <w:color w:val="000000"/>
                <w:sz w:val="24"/>
                <w:szCs w:val="24"/>
              </w:rPr>
            </w:pPr>
          </w:p>
        </w:tc>
        <w:tc>
          <w:tcPr>
            <w:tcW w:w="1049" w:type="dxa"/>
            <w:tcBorders>
              <w:right w:val="single" w:color="auto" w:sz="12" w:space="0"/>
            </w:tcBorders>
            <w:vAlign w:val="center"/>
          </w:tcPr>
          <w:p w14:paraId="45276ABA">
            <w:pPr>
              <w:rPr>
                <w:rFonts w:ascii="仿宋" w:hAnsi="仿宋" w:eastAsia="仿宋" w:cs="仿宋"/>
                <w:color w:val="000000"/>
                <w:sz w:val="24"/>
                <w:szCs w:val="24"/>
              </w:rPr>
            </w:pPr>
          </w:p>
        </w:tc>
      </w:tr>
      <w:tr w14:paraId="6BC79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07386F3C">
            <w:pPr>
              <w:rPr>
                <w:rFonts w:ascii="仿宋" w:hAnsi="仿宋" w:eastAsia="仿宋" w:cs="仿宋"/>
                <w:color w:val="000000"/>
                <w:sz w:val="24"/>
                <w:szCs w:val="24"/>
              </w:rPr>
            </w:pPr>
          </w:p>
        </w:tc>
        <w:tc>
          <w:tcPr>
            <w:tcW w:w="969" w:type="dxa"/>
            <w:tcBorders>
              <w:left w:val="single" w:color="auto" w:sz="6" w:space="0"/>
            </w:tcBorders>
            <w:vAlign w:val="center"/>
          </w:tcPr>
          <w:p w14:paraId="6A50ACC7">
            <w:pPr>
              <w:rPr>
                <w:rFonts w:ascii="仿宋" w:hAnsi="仿宋" w:eastAsia="仿宋" w:cs="仿宋"/>
                <w:color w:val="000000"/>
                <w:sz w:val="24"/>
                <w:szCs w:val="24"/>
              </w:rPr>
            </w:pPr>
          </w:p>
        </w:tc>
        <w:tc>
          <w:tcPr>
            <w:tcW w:w="1260" w:type="dxa"/>
            <w:vAlign w:val="center"/>
          </w:tcPr>
          <w:p w14:paraId="7B432FAE">
            <w:pPr>
              <w:rPr>
                <w:rFonts w:ascii="仿宋" w:hAnsi="仿宋" w:eastAsia="仿宋" w:cs="仿宋"/>
                <w:color w:val="000000"/>
                <w:sz w:val="24"/>
                <w:szCs w:val="24"/>
              </w:rPr>
            </w:pPr>
          </w:p>
        </w:tc>
        <w:tc>
          <w:tcPr>
            <w:tcW w:w="1404" w:type="dxa"/>
            <w:gridSpan w:val="3"/>
            <w:vAlign w:val="center"/>
          </w:tcPr>
          <w:p w14:paraId="308C930A">
            <w:pPr>
              <w:rPr>
                <w:rFonts w:ascii="仿宋" w:hAnsi="仿宋" w:eastAsia="仿宋" w:cs="仿宋"/>
                <w:color w:val="000000"/>
                <w:sz w:val="24"/>
                <w:szCs w:val="24"/>
              </w:rPr>
            </w:pPr>
          </w:p>
        </w:tc>
        <w:tc>
          <w:tcPr>
            <w:tcW w:w="1587" w:type="dxa"/>
            <w:gridSpan w:val="2"/>
            <w:vAlign w:val="center"/>
          </w:tcPr>
          <w:p w14:paraId="3D7B4CF7">
            <w:pPr>
              <w:rPr>
                <w:rFonts w:ascii="仿宋" w:hAnsi="仿宋" w:eastAsia="仿宋" w:cs="仿宋"/>
                <w:color w:val="000000"/>
                <w:sz w:val="24"/>
                <w:szCs w:val="24"/>
              </w:rPr>
            </w:pPr>
          </w:p>
        </w:tc>
        <w:tc>
          <w:tcPr>
            <w:tcW w:w="1782" w:type="dxa"/>
            <w:gridSpan w:val="2"/>
            <w:vAlign w:val="center"/>
          </w:tcPr>
          <w:p w14:paraId="3D45EE4C">
            <w:pPr>
              <w:rPr>
                <w:rFonts w:ascii="仿宋" w:hAnsi="仿宋" w:eastAsia="仿宋" w:cs="仿宋"/>
                <w:color w:val="000000"/>
                <w:sz w:val="24"/>
                <w:szCs w:val="24"/>
              </w:rPr>
            </w:pPr>
          </w:p>
        </w:tc>
        <w:tc>
          <w:tcPr>
            <w:tcW w:w="1049" w:type="dxa"/>
            <w:tcBorders>
              <w:right w:val="single" w:color="auto" w:sz="12" w:space="0"/>
            </w:tcBorders>
            <w:vAlign w:val="center"/>
          </w:tcPr>
          <w:p w14:paraId="371F357E">
            <w:pPr>
              <w:rPr>
                <w:rFonts w:ascii="仿宋" w:hAnsi="仿宋" w:eastAsia="仿宋" w:cs="仿宋"/>
                <w:color w:val="000000"/>
                <w:sz w:val="24"/>
                <w:szCs w:val="24"/>
              </w:rPr>
            </w:pPr>
          </w:p>
        </w:tc>
      </w:tr>
      <w:tr w14:paraId="194F6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44804BD">
            <w:pPr>
              <w:rPr>
                <w:rFonts w:ascii="仿宋" w:hAnsi="仿宋" w:eastAsia="仿宋" w:cs="仿宋"/>
                <w:color w:val="000000"/>
                <w:sz w:val="24"/>
                <w:szCs w:val="24"/>
              </w:rPr>
            </w:pPr>
          </w:p>
        </w:tc>
        <w:tc>
          <w:tcPr>
            <w:tcW w:w="969" w:type="dxa"/>
            <w:tcBorders>
              <w:left w:val="single" w:color="auto" w:sz="6" w:space="0"/>
            </w:tcBorders>
            <w:vAlign w:val="center"/>
          </w:tcPr>
          <w:p w14:paraId="5FACF8F1">
            <w:pPr>
              <w:rPr>
                <w:rFonts w:ascii="仿宋" w:hAnsi="仿宋" w:eastAsia="仿宋" w:cs="仿宋"/>
                <w:color w:val="000000"/>
                <w:sz w:val="24"/>
                <w:szCs w:val="24"/>
              </w:rPr>
            </w:pPr>
          </w:p>
        </w:tc>
        <w:tc>
          <w:tcPr>
            <w:tcW w:w="1260" w:type="dxa"/>
            <w:vAlign w:val="center"/>
          </w:tcPr>
          <w:p w14:paraId="6600EC2E">
            <w:pPr>
              <w:rPr>
                <w:rFonts w:ascii="仿宋" w:hAnsi="仿宋" w:eastAsia="仿宋" w:cs="仿宋"/>
                <w:color w:val="000000"/>
                <w:sz w:val="24"/>
                <w:szCs w:val="24"/>
              </w:rPr>
            </w:pPr>
          </w:p>
        </w:tc>
        <w:tc>
          <w:tcPr>
            <w:tcW w:w="1404" w:type="dxa"/>
            <w:gridSpan w:val="3"/>
            <w:vAlign w:val="center"/>
          </w:tcPr>
          <w:p w14:paraId="163BCA0A">
            <w:pPr>
              <w:rPr>
                <w:rFonts w:ascii="仿宋" w:hAnsi="仿宋" w:eastAsia="仿宋" w:cs="仿宋"/>
                <w:color w:val="000000"/>
                <w:sz w:val="24"/>
                <w:szCs w:val="24"/>
              </w:rPr>
            </w:pPr>
          </w:p>
        </w:tc>
        <w:tc>
          <w:tcPr>
            <w:tcW w:w="1587" w:type="dxa"/>
            <w:gridSpan w:val="2"/>
            <w:vAlign w:val="center"/>
          </w:tcPr>
          <w:p w14:paraId="7C4D536D">
            <w:pPr>
              <w:rPr>
                <w:rFonts w:ascii="仿宋" w:hAnsi="仿宋" w:eastAsia="仿宋" w:cs="仿宋"/>
                <w:color w:val="000000"/>
                <w:sz w:val="24"/>
                <w:szCs w:val="24"/>
              </w:rPr>
            </w:pPr>
          </w:p>
        </w:tc>
        <w:tc>
          <w:tcPr>
            <w:tcW w:w="1782" w:type="dxa"/>
            <w:gridSpan w:val="2"/>
            <w:vAlign w:val="center"/>
          </w:tcPr>
          <w:p w14:paraId="694E91B3">
            <w:pPr>
              <w:rPr>
                <w:rFonts w:ascii="仿宋" w:hAnsi="仿宋" w:eastAsia="仿宋" w:cs="仿宋"/>
                <w:color w:val="000000"/>
                <w:sz w:val="24"/>
                <w:szCs w:val="24"/>
              </w:rPr>
            </w:pPr>
          </w:p>
        </w:tc>
        <w:tc>
          <w:tcPr>
            <w:tcW w:w="1049" w:type="dxa"/>
            <w:tcBorders>
              <w:right w:val="single" w:color="auto" w:sz="12" w:space="0"/>
            </w:tcBorders>
            <w:vAlign w:val="center"/>
          </w:tcPr>
          <w:p w14:paraId="5BB11312">
            <w:pPr>
              <w:rPr>
                <w:rFonts w:ascii="仿宋" w:hAnsi="仿宋" w:eastAsia="仿宋" w:cs="仿宋"/>
                <w:color w:val="000000"/>
                <w:sz w:val="24"/>
                <w:szCs w:val="24"/>
              </w:rPr>
            </w:pPr>
          </w:p>
        </w:tc>
      </w:tr>
      <w:tr w14:paraId="4A279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262F501C">
            <w:pPr>
              <w:rPr>
                <w:rFonts w:ascii="仿宋" w:hAnsi="仿宋" w:eastAsia="仿宋" w:cs="仿宋"/>
                <w:color w:val="000000"/>
                <w:sz w:val="24"/>
                <w:szCs w:val="24"/>
              </w:rPr>
            </w:pPr>
            <w:r>
              <w:rPr>
                <w:rFonts w:hint="eastAsia" w:ascii="仿宋" w:hAnsi="仿宋" w:eastAsia="仿宋" w:cs="仿宋"/>
                <w:color w:val="000000"/>
                <w:sz w:val="24"/>
                <w:szCs w:val="24"/>
              </w:rPr>
              <w:t>3.辅助人员</w:t>
            </w:r>
          </w:p>
        </w:tc>
      </w:tr>
      <w:tr w14:paraId="23013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15C9ACCB">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3236CE10">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84" w:type="dxa"/>
            <w:gridSpan w:val="2"/>
            <w:tcBorders>
              <w:right w:val="single" w:color="auto" w:sz="2" w:space="0"/>
            </w:tcBorders>
            <w:vAlign w:val="center"/>
          </w:tcPr>
          <w:p w14:paraId="4EBFCF12">
            <w:pPr>
              <w:jc w:val="center"/>
              <w:rPr>
                <w:rFonts w:ascii="仿宋" w:hAnsi="仿宋" w:eastAsia="仿宋" w:cs="仿宋"/>
                <w:color w:val="000000"/>
                <w:sz w:val="24"/>
                <w:szCs w:val="24"/>
              </w:rPr>
            </w:pPr>
            <w:r>
              <w:rPr>
                <w:rFonts w:hint="eastAsia" w:ascii="仿宋" w:hAnsi="仿宋" w:eastAsia="仿宋" w:cs="仿宋"/>
                <w:color w:val="000000"/>
                <w:sz w:val="24"/>
                <w:szCs w:val="24"/>
              </w:rPr>
              <w:t>学历</w:t>
            </w:r>
          </w:p>
        </w:tc>
        <w:tc>
          <w:tcPr>
            <w:tcW w:w="1386" w:type="dxa"/>
            <w:gridSpan w:val="3"/>
            <w:tcBorders>
              <w:left w:val="single" w:color="auto" w:sz="2" w:space="0"/>
            </w:tcBorders>
            <w:vAlign w:val="center"/>
          </w:tcPr>
          <w:p w14:paraId="628C30C5">
            <w:pPr>
              <w:jc w:val="center"/>
              <w:rPr>
                <w:rFonts w:ascii="仿宋" w:hAnsi="仿宋" w:eastAsia="仿宋" w:cs="仿宋"/>
                <w:color w:val="000000"/>
                <w:sz w:val="24"/>
                <w:szCs w:val="24"/>
              </w:rPr>
            </w:pPr>
            <w:r>
              <w:rPr>
                <w:rFonts w:hint="eastAsia" w:ascii="仿宋" w:hAnsi="仿宋" w:eastAsia="仿宋" w:cs="仿宋"/>
                <w:color w:val="000000"/>
                <w:sz w:val="24"/>
                <w:szCs w:val="24"/>
              </w:rPr>
              <w:t>职业证书</w:t>
            </w:r>
          </w:p>
        </w:tc>
        <w:tc>
          <w:tcPr>
            <w:tcW w:w="1581" w:type="dxa"/>
            <w:vAlign w:val="center"/>
          </w:tcPr>
          <w:p w14:paraId="4DFFDE6A">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从事类似项目工作年限</w:t>
            </w:r>
          </w:p>
        </w:tc>
        <w:tc>
          <w:tcPr>
            <w:tcW w:w="1782" w:type="dxa"/>
            <w:gridSpan w:val="2"/>
            <w:vAlign w:val="center"/>
          </w:tcPr>
          <w:p w14:paraId="74579FB5">
            <w:pPr>
              <w:spacing w:line="2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主要工作</w:t>
            </w:r>
          </w:p>
          <w:p w14:paraId="33E1F67C">
            <w:pPr>
              <w:spacing w:line="2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业绩和经历</w:t>
            </w:r>
          </w:p>
        </w:tc>
        <w:tc>
          <w:tcPr>
            <w:tcW w:w="1049" w:type="dxa"/>
            <w:tcBorders>
              <w:right w:val="single" w:color="auto" w:sz="12" w:space="0"/>
            </w:tcBorders>
            <w:vAlign w:val="center"/>
          </w:tcPr>
          <w:p w14:paraId="79BA3EB2">
            <w:pPr>
              <w:spacing w:line="2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岗位</w:t>
            </w:r>
          </w:p>
        </w:tc>
      </w:tr>
      <w:tr w14:paraId="0664B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1F405864">
            <w:pPr>
              <w:rPr>
                <w:rFonts w:ascii="仿宋" w:hAnsi="仿宋" w:eastAsia="仿宋" w:cs="仿宋"/>
                <w:color w:val="000000"/>
                <w:sz w:val="24"/>
                <w:szCs w:val="24"/>
              </w:rPr>
            </w:pPr>
          </w:p>
        </w:tc>
        <w:tc>
          <w:tcPr>
            <w:tcW w:w="969" w:type="dxa"/>
            <w:tcBorders>
              <w:left w:val="single" w:color="auto" w:sz="6" w:space="0"/>
            </w:tcBorders>
            <w:vAlign w:val="center"/>
          </w:tcPr>
          <w:p w14:paraId="318D9CD5">
            <w:pPr>
              <w:rPr>
                <w:rFonts w:ascii="仿宋" w:hAnsi="仿宋" w:eastAsia="仿宋" w:cs="仿宋"/>
                <w:color w:val="000000"/>
                <w:sz w:val="24"/>
                <w:szCs w:val="24"/>
              </w:rPr>
            </w:pPr>
          </w:p>
        </w:tc>
        <w:tc>
          <w:tcPr>
            <w:tcW w:w="1284" w:type="dxa"/>
            <w:gridSpan w:val="2"/>
            <w:tcBorders>
              <w:right w:val="single" w:color="auto" w:sz="2" w:space="0"/>
            </w:tcBorders>
            <w:vAlign w:val="center"/>
          </w:tcPr>
          <w:p w14:paraId="6BD92003">
            <w:pPr>
              <w:rPr>
                <w:rFonts w:ascii="仿宋" w:hAnsi="仿宋" w:eastAsia="仿宋" w:cs="仿宋"/>
                <w:color w:val="000000"/>
                <w:sz w:val="24"/>
                <w:szCs w:val="24"/>
              </w:rPr>
            </w:pPr>
          </w:p>
        </w:tc>
        <w:tc>
          <w:tcPr>
            <w:tcW w:w="1386" w:type="dxa"/>
            <w:gridSpan w:val="3"/>
            <w:tcBorders>
              <w:left w:val="single" w:color="auto" w:sz="2" w:space="0"/>
            </w:tcBorders>
            <w:vAlign w:val="center"/>
          </w:tcPr>
          <w:p w14:paraId="6829299D">
            <w:pPr>
              <w:rPr>
                <w:rFonts w:ascii="仿宋" w:hAnsi="仿宋" w:eastAsia="仿宋" w:cs="仿宋"/>
                <w:color w:val="000000"/>
                <w:sz w:val="24"/>
                <w:szCs w:val="24"/>
              </w:rPr>
            </w:pPr>
          </w:p>
        </w:tc>
        <w:tc>
          <w:tcPr>
            <w:tcW w:w="1581" w:type="dxa"/>
            <w:vAlign w:val="center"/>
          </w:tcPr>
          <w:p w14:paraId="06C70CF9">
            <w:pPr>
              <w:rPr>
                <w:rFonts w:ascii="仿宋" w:hAnsi="仿宋" w:eastAsia="仿宋" w:cs="仿宋"/>
                <w:color w:val="000000"/>
                <w:sz w:val="24"/>
                <w:szCs w:val="24"/>
              </w:rPr>
            </w:pPr>
          </w:p>
        </w:tc>
        <w:tc>
          <w:tcPr>
            <w:tcW w:w="1782" w:type="dxa"/>
            <w:gridSpan w:val="2"/>
            <w:vAlign w:val="center"/>
          </w:tcPr>
          <w:p w14:paraId="02D0272A">
            <w:pPr>
              <w:rPr>
                <w:rFonts w:ascii="仿宋" w:hAnsi="仿宋" w:eastAsia="仿宋" w:cs="仿宋"/>
                <w:color w:val="000000"/>
                <w:sz w:val="24"/>
                <w:szCs w:val="24"/>
              </w:rPr>
            </w:pPr>
          </w:p>
        </w:tc>
        <w:tc>
          <w:tcPr>
            <w:tcW w:w="1049" w:type="dxa"/>
            <w:tcBorders>
              <w:right w:val="single" w:color="auto" w:sz="12" w:space="0"/>
            </w:tcBorders>
            <w:vAlign w:val="center"/>
          </w:tcPr>
          <w:p w14:paraId="5827C4CD">
            <w:pPr>
              <w:rPr>
                <w:rFonts w:ascii="仿宋" w:hAnsi="仿宋" w:eastAsia="仿宋" w:cs="仿宋"/>
                <w:color w:val="000000"/>
                <w:sz w:val="24"/>
                <w:szCs w:val="24"/>
              </w:rPr>
            </w:pPr>
          </w:p>
        </w:tc>
      </w:tr>
      <w:tr w14:paraId="588C7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1CF8AF2">
            <w:pPr>
              <w:rPr>
                <w:rFonts w:ascii="仿宋" w:hAnsi="仿宋" w:eastAsia="仿宋" w:cs="仿宋"/>
                <w:color w:val="000000"/>
                <w:sz w:val="24"/>
                <w:szCs w:val="24"/>
              </w:rPr>
            </w:pPr>
          </w:p>
        </w:tc>
        <w:tc>
          <w:tcPr>
            <w:tcW w:w="969" w:type="dxa"/>
            <w:tcBorders>
              <w:left w:val="single" w:color="auto" w:sz="6" w:space="0"/>
            </w:tcBorders>
            <w:vAlign w:val="center"/>
          </w:tcPr>
          <w:p w14:paraId="5302BC3A">
            <w:pPr>
              <w:rPr>
                <w:rFonts w:ascii="仿宋" w:hAnsi="仿宋" w:eastAsia="仿宋" w:cs="仿宋"/>
                <w:color w:val="000000"/>
                <w:sz w:val="24"/>
                <w:szCs w:val="24"/>
              </w:rPr>
            </w:pPr>
          </w:p>
        </w:tc>
        <w:tc>
          <w:tcPr>
            <w:tcW w:w="1284" w:type="dxa"/>
            <w:gridSpan w:val="2"/>
            <w:tcBorders>
              <w:right w:val="single" w:color="auto" w:sz="2" w:space="0"/>
            </w:tcBorders>
            <w:vAlign w:val="center"/>
          </w:tcPr>
          <w:p w14:paraId="1FF72D42">
            <w:pPr>
              <w:rPr>
                <w:rFonts w:ascii="仿宋" w:hAnsi="仿宋" w:eastAsia="仿宋" w:cs="仿宋"/>
                <w:color w:val="000000"/>
                <w:sz w:val="24"/>
                <w:szCs w:val="24"/>
              </w:rPr>
            </w:pPr>
          </w:p>
        </w:tc>
        <w:tc>
          <w:tcPr>
            <w:tcW w:w="1386" w:type="dxa"/>
            <w:gridSpan w:val="3"/>
            <w:tcBorders>
              <w:left w:val="single" w:color="auto" w:sz="2" w:space="0"/>
            </w:tcBorders>
            <w:vAlign w:val="center"/>
          </w:tcPr>
          <w:p w14:paraId="62F6AEF3">
            <w:pPr>
              <w:rPr>
                <w:rFonts w:ascii="仿宋" w:hAnsi="仿宋" w:eastAsia="仿宋" w:cs="仿宋"/>
                <w:color w:val="000000"/>
                <w:sz w:val="24"/>
                <w:szCs w:val="24"/>
              </w:rPr>
            </w:pPr>
          </w:p>
        </w:tc>
        <w:tc>
          <w:tcPr>
            <w:tcW w:w="1581" w:type="dxa"/>
            <w:vAlign w:val="center"/>
          </w:tcPr>
          <w:p w14:paraId="385E9146">
            <w:pPr>
              <w:rPr>
                <w:rFonts w:ascii="仿宋" w:hAnsi="仿宋" w:eastAsia="仿宋" w:cs="仿宋"/>
                <w:color w:val="000000"/>
                <w:sz w:val="24"/>
                <w:szCs w:val="24"/>
              </w:rPr>
            </w:pPr>
          </w:p>
        </w:tc>
        <w:tc>
          <w:tcPr>
            <w:tcW w:w="1782" w:type="dxa"/>
            <w:gridSpan w:val="2"/>
            <w:vAlign w:val="center"/>
          </w:tcPr>
          <w:p w14:paraId="25FFC28D">
            <w:pPr>
              <w:rPr>
                <w:rFonts w:ascii="仿宋" w:hAnsi="仿宋" w:eastAsia="仿宋" w:cs="仿宋"/>
                <w:color w:val="000000"/>
                <w:sz w:val="24"/>
                <w:szCs w:val="24"/>
              </w:rPr>
            </w:pPr>
          </w:p>
        </w:tc>
        <w:tc>
          <w:tcPr>
            <w:tcW w:w="1049" w:type="dxa"/>
            <w:tcBorders>
              <w:right w:val="single" w:color="auto" w:sz="12" w:space="0"/>
            </w:tcBorders>
            <w:vAlign w:val="center"/>
          </w:tcPr>
          <w:p w14:paraId="37F1FD41">
            <w:pPr>
              <w:rPr>
                <w:rFonts w:ascii="仿宋" w:hAnsi="仿宋" w:eastAsia="仿宋" w:cs="仿宋"/>
                <w:color w:val="000000"/>
                <w:sz w:val="24"/>
                <w:szCs w:val="24"/>
              </w:rPr>
            </w:pPr>
          </w:p>
        </w:tc>
      </w:tr>
      <w:tr w14:paraId="3239E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0791336F">
            <w:pPr>
              <w:rPr>
                <w:rFonts w:ascii="仿宋" w:hAnsi="仿宋" w:eastAsia="仿宋" w:cs="仿宋"/>
                <w:color w:val="000000"/>
                <w:sz w:val="24"/>
                <w:szCs w:val="24"/>
              </w:rPr>
            </w:pPr>
          </w:p>
        </w:tc>
        <w:tc>
          <w:tcPr>
            <w:tcW w:w="969" w:type="dxa"/>
            <w:tcBorders>
              <w:left w:val="single" w:color="auto" w:sz="6" w:space="0"/>
            </w:tcBorders>
            <w:vAlign w:val="center"/>
          </w:tcPr>
          <w:p w14:paraId="15916DA5">
            <w:pPr>
              <w:rPr>
                <w:rFonts w:ascii="仿宋" w:hAnsi="仿宋" w:eastAsia="仿宋" w:cs="仿宋"/>
                <w:color w:val="000000"/>
                <w:sz w:val="24"/>
                <w:szCs w:val="24"/>
              </w:rPr>
            </w:pPr>
          </w:p>
        </w:tc>
        <w:tc>
          <w:tcPr>
            <w:tcW w:w="1284" w:type="dxa"/>
            <w:gridSpan w:val="2"/>
            <w:tcBorders>
              <w:right w:val="single" w:color="auto" w:sz="2" w:space="0"/>
            </w:tcBorders>
            <w:vAlign w:val="center"/>
          </w:tcPr>
          <w:p w14:paraId="647A55F9">
            <w:pPr>
              <w:rPr>
                <w:rFonts w:ascii="仿宋" w:hAnsi="仿宋" w:eastAsia="仿宋" w:cs="仿宋"/>
                <w:color w:val="000000"/>
                <w:sz w:val="24"/>
                <w:szCs w:val="24"/>
              </w:rPr>
            </w:pPr>
          </w:p>
        </w:tc>
        <w:tc>
          <w:tcPr>
            <w:tcW w:w="1386" w:type="dxa"/>
            <w:gridSpan w:val="3"/>
            <w:tcBorders>
              <w:left w:val="single" w:color="auto" w:sz="2" w:space="0"/>
            </w:tcBorders>
            <w:vAlign w:val="center"/>
          </w:tcPr>
          <w:p w14:paraId="4CA467DF">
            <w:pPr>
              <w:rPr>
                <w:rFonts w:ascii="仿宋" w:hAnsi="仿宋" w:eastAsia="仿宋" w:cs="仿宋"/>
                <w:color w:val="000000"/>
                <w:sz w:val="24"/>
                <w:szCs w:val="24"/>
              </w:rPr>
            </w:pPr>
          </w:p>
        </w:tc>
        <w:tc>
          <w:tcPr>
            <w:tcW w:w="1581" w:type="dxa"/>
            <w:vAlign w:val="center"/>
          </w:tcPr>
          <w:p w14:paraId="3641C1F8">
            <w:pPr>
              <w:rPr>
                <w:rFonts w:ascii="仿宋" w:hAnsi="仿宋" w:eastAsia="仿宋" w:cs="仿宋"/>
                <w:color w:val="000000"/>
                <w:sz w:val="24"/>
                <w:szCs w:val="24"/>
              </w:rPr>
            </w:pPr>
          </w:p>
        </w:tc>
        <w:tc>
          <w:tcPr>
            <w:tcW w:w="1782" w:type="dxa"/>
            <w:gridSpan w:val="2"/>
            <w:vAlign w:val="center"/>
          </w:tcPr>
          <w:p w14:paraId="6BDB71D5">
            <w:pPr>
              <w:rPr>
                <w:rFonts w:ascii="仿宋" w:hAnsi="仿宋" w:eastAsia="仿宋" w:cs="仿宋"/>
                <w:color w:val="000000"/>
                <w:sz w:val="24"/>
                <w:szCs w:val="24"/>
              </w:rPr>
            </w:pPr>
          </w:p>
        </w:tc>
        <w:tc>
          <w:tcPr>
            <w:tcW w:w="1049" w:type="dxa"/>
            <w:tcBorders>
              <w:right w:val="single" w:color="auto" w:sz="12" w:space="0"/>
            </w:tcBorders>
            <w:vAlign w:val="center"/>
          </w:tcPr>
          <w:p w14:paraId="38F333DB">
            <w:pPr>
              <w:rPr>
                <w:rFonts w:ascii="仿宋" w:hAnsi="仿宋" w:eastAsia="仿宋" w:cs="仿宋"/>
                <w:color w:val="000000"/>
                <w:sz w:val="24"/>
                <w:szCs w:val="24"/>
              </w:rPr>
            </w:pPr>
          </w:p>
        </w:tc>
      </w:tr>
      <w:tr w14:paraId="0AEA8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1CB44CF">
            <w:pPr>
              <w:rPr>
                <w:rFonts w:ascii="仿宋" w:hAnsi="仿宋" w:eastAsia="仿宋" w:cs="仿宋"/>
                <w:color w:val="000000"/>
                <w:sz w:val="24"/>
                <w:szCs w:val="24"/>
              </w:rPr>
            </w:pPr>
            <w:r>
              <w:rPr>
                <w:rFonts w:hint="eastAsia" w:ascii="仿宋" w:hAnsi="仿宋" w:eastAsia="仿宋" w:cs="仿宋"/>
                <w:color w:val="000000"/>
                <w:sz w:val="24"/>
                <w:szCs w:val="24"/>
              </w:rPr>
              <w:t>备注</w:t>
            </w:r>
          </w:p>
        </w:tc>
        <w:tc>
          <w:tcPr>
            <w:tcW w:w="8051" w:type="dxa"/>
            <w:gridSpan w:val="10"/>
            <w:tcBorders>
              <w:left w:val="single" w:color="auto" w:sz="6" w:space="0"/>
              <w:right w:val="single" w:color="auto" w:sz="12" w:space="0"/>
            </w:tcBorders>
            <w:vAlign w:val="center"/>
          </w:tcPr>
          <w:p w14:paraId="6501A2EA">
            <w:pPr>
              <w:rPr>
                <w:rFonts w:ascii="仿宋" w:hAnsi="仿宋" w:eastAsia="仿宋" w:cs="仿宋"/>
                <w:color w:val="000000"/>
                <w:sz w:val="24"/>
                <w:szCs w:val="24"/>
              </w:rPr>
            </w:pPr>
            <w:r>
              <w:rPr>
                <w:rFonts w:hint="eastAsia" w:ascii="仿宋" w:hAnsi="仿宋" w:eastAsia="仿宋" w:cs="仿宋"/>
                <w:color w:val="000000"/>
                <w:sz w:val="24"/>
                <w:szCs w:val="24"/>
              </w:rPr>
              <w:t>表格空间不足时请自行扩展。</w:t>
            </w:r>
          </w:p>
        </w:tc>
      </w:tr>
    </w:tbl>
    <w:p w14:paraId="1D595359">
      <w:pPr>
        <w:spacing w:line="360" w:lineRule="exact"/>
      </w:pPr>
    </w:p>
    <w:sectPr>
      <w:type w:val="continuous"/>
      <w:pgSz w:w="11906" w:h="16838"/>
      <w:pgMar w:top="1417" w:right="1417" w:bottom="1417" w:left="1417" w:header="850" w:footer="992" w:gutter="0"/>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BA68940-9854-4923-A10F-FF2BD486A927}"/>
  </w:font>
  <w:font w:name="黑体">
    <w:panose1 w:val="02010609060101010101"/>
    <w:charset w:val="86"/>
    <w:family w:val="auto"/>
    <w:pitch w:val="default"/>
    <w:sig w:usb0="800002BF" w:usb1="38CF7CFA" w:usb2="00000016" w:usb3="00000000" w:csb0="00040001" w:csb1="00000000"/>
    <w:embedRegular r:id="rId2" w:fontKey="{EEE12719-74B4-47A2-BDB0-9DEA1BBBA9B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E7C5A0C2-1F75-40A5-8BEA-114C1129638A}"/>
  </w:font>
  <w:font w:name="Calibri Light">
    <w:panose1 w:val="020F0302020204030204"/>
    <w:charset w:val="00"/>
    <w:family w:val="swiss"/>
    <w:pitch w:val="default"/>
    <w:sig w:usb0="E4002EFF" w:usb1="C000247B" w:usb2="00000009" w:usb3="00000000" w:csb0="200001FF" w:csb1="00000000"/>
    <w:embedRegular r:id="rId4" w:fontKey="{DB8789AC-47EA-44FD-82CC-F1B6C2CDACEB}"/>
  </w:font>
  <w:font w:name="华文仿宋">
    <w:panose1 w:val="02010600040101010101"/>
    <w:charset w:val="86"/>
    <w:family w:val="auto"/>
    <w:pitch w:val="default"/>
    <w:sig w:usb0="00000287" w:usb1="080F0000" w:usb2="00000000" w:usb3="00000000" w:csb0="0004009F" w:csb1="DFD70000"/>
    <w:embedRegular r:id="rId5" w:fontKey="{3296D3AE-3611-400C-8DC3-589D51A268EF}"/>
  </w:font>
  <w:font w:name="仿宋_GB2312">
    <w:panose1 w:val="02010609030101010101"/>
    <w:charset w:val="86"/>
    <w:family w:val="modern"/>
    <w:pitch w:val="default"/>
    <w:sig w:usb0="00000001" w:usb1="080E0000" w:usb2="00000000" w:usb3="00000000" w:csb0="00040000" w:csb1="00000000"/>
  </w:font>
  <w:font w:name="方正楷体_GB2312">
    <w:panose1 w:val="02000000000000000000"/>
    <w:charset w:val="86"/>
    <w:family w:val="auto"/>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embedRegular r:id="rId6" w:fontKey="{8DFDA35B-063F-4F38-9A4E-2C5197CB7E78}"/>
  </w:font>
  <w:font w:name="华文中宋">
    <w:panose1 w:val="02010600040101010101"/>
    <w:charset w:val="86"/>
    <w:family w:val="auto"/>
    <w:pitch w:val="default"/>
    <w:sig w:usb0="00000287" w:usb1="080F0000" w:usb2="00000000" w:usb3="00000000" w:csb0="0004009F" w:csb1="DFD70000"/>
    <w:embedRegular r:id="rId7" w:fontKey="{85B7BB96-B5E9-4943-9A87-58FF5BF69CEC}"/>
  </w:font>
  <w:font w:name="方正仿宋_GB18030">
    <w:panose1 w:val="02000000000000000000"/>
    <w:charset w:val="86"/>
    <w:family w:val="auto"/>
    <w:pitch w:val="default"/>
    <w:sig w:usb0="00000001" w:usb1="08000000" w:usb2="00000000" w:usb3="00000000" w:csb0="00040000" w:csb1="00000000"/>
    <w:embedRegular r:id="rId8" w:fontKey="{A54523B6-BB49-4619-A894-5508DC4857C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38140">
    <w:pPr>
      <w:pStyle w:val="12"/>
      <w:tabs>
        <w:tab w:val="clear" w:pos="4153"/>
        <w:tab w:val="clear" w:pos="8306"/>
      </w:tabs>
      <w:jc w:val="center"/>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23A26">
    <w:pPr>
      <w:pStyle w:val="12"/>
      <w:tabs>
        <w:tab w:val="clear" w:pos="4153"/>
        <w:tab w:val="clear" w:pos="8306"/>
      </w:tabs>
      <w:jc w:val="center"/>
      <w:rPr>
        <w:rFonts w:ascii="宋体" w:hAnsi="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A9923">
    <w:pPr>
      <w:pStyle w:val="12"/>
      <w:tabs>
        <w:tab w:val="center" w:pos="4536"/>
        <w:tab w:val="right" w:pos="10489"/>
        <w:tab w:val="clear" w:pos="4153"/>
        <w:tab w:val="clear" w:pos="8306"/>
      </w:tabs>
      <w:rPr>
        <w:rFonts w:ascii="宋体" w:hAnsi="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DE6CB6">
                          <w:pPr>
                            <w:pStyle w:val="12"/>
                            <w:rPr>
                              <w:rFonts w:eastAsia="华文仿宋"/>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29</w:t>
                          </w:r>
                          <w:r>
                            <w:rPr>
                              <w:rFonts w:hint="eastAsia"/>
                            </w:rPr>
                            <w:fldChar w:fldCharType="end"/>
                          </w:r>
                          <w:r>
                            <w:rPr>
                              <w:rFonts w:hint="eastAsia"/>
                            </w:rPr>
                            <w:t xml:space="preserve"> 页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2EDE6CB6">
                    <w:pPr>
                      <w:pStyle w:val="12"/>
                      <w:rPr>
                        <w:rFonts w:eastAsia="华文仿宋"/>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29</w:t>
                    </w:r>
                    <w:r>
                      <w:rPr>
                        <w:rFonts w:hint="eastAsia"/>
                      </w:rPr>
                      <w:fldChar w:fldCharType="end"/>
                    </w:r>
                    <w:r>
                      <w:rPr>
                        <w:rFonts w:hint="eastAsia"/>
                      </w:rPr>
                      <w:t xml:space="preserve"> 页 </w:t>
                    </w:r>
                  </w:p>
                </w:txbxContent>
              </v:textbox>
            </v:shape>
          </w:pict>
        </mc:Fallback>
      </mc:AlternateContent>
    </w:r>
    <w:r>
      <w:rPr>
        <w:rFonts w:ascii="宋体" w:hAnsi="宋体"/>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20CBA">
    <w:pPr>
      <w:pStyle w:val="12"/>
      <w:tabs>
        <w:tab w:val="center" w:pos="4536"/>
        <w:tab w:val="right" w:pos="9070"/>
        <w:tab w:val="clear" w:pos="4153"/>
        <w:tab w:val="clear" w:pos="8306"/>
      </w:tabs>
    </w:pPr>
    <w:r>
      <w:rPr>
        <w:rFonts w:hint="eastAsia" w:ascii="宋体" w:hAnsi="宋体"/>
      </w:rPr>
      <w:t>西安市市级单位政府采购中心第</w:t>
    </w:r>
    <w:r>
      <w:rPr>
        <w:rFonts w:ascii="宋体" w:hAnsi="宋体"/>
      </w:rPr>
      <w:fldChar w:fldCharType="begin"/>
    </w:r>
    <w:r>
      <w:rPr>
        <w:rFonts w:ascii="宋体" w:hAnsi="宋体"/>
      </w:rPr>
      <w:instrText xml:space="preserve"> PAGE </w:instrText>
    </w:r>
    <w:r>
      <w:rPr>
        <w:rFonts w:ascii="宋体" w:hAnsi="宋体"/>
      </w:rPr>
      <w:fldChar w:fldCharType="separate"/>
    </w:r>
    <w:r>
      <w:rPr>
        <w:rFonts w:ascii="宋体" w:hAnsi="宋体"/>
      </w:rPr>
      <w:t>31</w:t>
    </w:r>
    <w:r>
      <w:rPr>
        <w:rFonts w:ascii="宋体" w:hAnsi="宋体"/>
      </w:rPr>
      <w:fldChar w:fldCharType="end"/>
    </w:r>
    <w:r>
      <w:rPr>
        <w:rFonts w:hint="eastAsia" w:ascii="宋体" w:hAnsi="宋体"/>
      </w:rPr>
      <w:t>页　共</w:t>
    </w:r>
    <w:r>
      <w:rPr>
        <w:rFonts w:ascii="宋体" w:hAnsi="宋体"/>
      </w:rPr>
      <w:fldChar w:fldCharType="begin"/>
    </w:r>
    <w:r>
      <w:rPr>
        <w:rFonts w:ascii="宋体" w:hAnsi="宋体"/>
      </w:rPr>
      <w:instrText xml:space="preserve"> =</w:instrText>
    </w:r>
    <w:r>
      <w:rPr>
        <w:rFonts w:ascii="宋体" w:hAnsi="宋体"/>
      </w:rPr>
      <w:fldChar w:fldCharType="begin"/>
    </w:r>
    <w:r>
      <w:rPr>
        <w:rFonts w:ascii="宋体" w:hAnsi="宋体"/>
      </w:rPr>
      <w:instrText xml:space="preserve"> NUMPAGES </w:instrText>
    </w:r>
    <w:r>
      <w:rPr>
        <w:rFonts w:ascii="宋体" w:hAnsi="宋体"/>
      </w:rPr>
      <w:fldChar w:fldCharType="separate"/>
    </w:r>
    <w:r>
      <w:rPr>
        <w:rFonts w:ascii="宋体" w:hAnsi="宋体"/>
      </w:rPr>
      <w:instrText xml:space="preserve">63</w:instrText>
    </w:r>
    <w:r>
      <w:rPr>
        <w:rFonts w:ascii="宋体" w:hAnsi="宋体"/>
      </w:rPr>
      <w:fldChar w:fldCharType="end"/>
    </w:r>
    <w:r>
      <w:rPr>
        <w:rFonts w:ascii="宋体" w:hAnsi="宋体"/>
      </w:rPr>
      <w:instrText xml:space="preserve">-1 </w:instrText>
    </w:r>
    <w:r>
      <w:rPr>
        <w:rFonts w:ascii="宋体" w:hAnsi="宋体"/>
      </w:rPr>
      <w:fldChar w:fldCharType="separate"/>
    </w:r>
    <w:r>
      <w:rPr>
        <w:rFonts w:ascii="宋体" w:hAnsi="宋体"/>
      </w:rPr>
      <w:t>62</w:t>
    </w:r>
    <w:r>
      <w:rPr>
        <w:rFonts w:ascii="宋体" w:hAnsi="宋体"/>
      </w:rPr>
      <w:fldChar w:fldCharType="end"/>
    </w:r>
    <w:r>
      <w:rPr>
        <w:rFonts w:hint="eastAsia" w:ascii="宋体" w:hAnsi="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0962A">
    <w:pPr>
      <w:pStyle w:val="12"/>
      <w:tabs>
        <w:tab w:val="clear" w:pos="4153"/>
        <w:tab w:val="clear" w:pos="8306"/>
      </w:tabs>
      <w:rPr>
        <w:rFonts w:ascii="宋体" w:hAnsi="宋体"/>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CB5B54">
                          <w:pPr>
                            <w:pStyle w:val="12"/>
                            <w:rPr>
                              <w:rFonts w:eastAsia="华文仿宋"/>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76</w:t>
                          </w:r>
                          <w: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28CB5B54">
                    <w:pPr>
                      <w:pStyle w:val="12"/>
                      <w:rPr>
                        <w:rFonts w:eastAsia="华文仿宋"/>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76</w:t>
                    </w:r>
                    <w:r>
                      <w:fldChar w:fldCharType="end"/>
                    </w:r>
                    <w:r>
                      <w:rPr>
                        <w:rFonts w:hint="eastAsia"/>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E2FE3">
    <w:pPr>
      <w:pStyle w:val="12"/>
      <w:tabs>
        <w:tab w:val="center" w:pos="4536"/>
        <w:tab w:val="right" w:pos="10489"/>
        <w:tab w:val="clear" w:pos="4153"/>
        <w:tab w:val="clear" w:pos="8306"/>
      </w:tabs>
      <w:rPr>
        <w:rFonts w:ascii="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915282">
                          <w:pPr>
                            <w:pStyle w:val="12"/>
                            <w:rPr>
                              <w:rFonts w:eastAsia="华文仿宋"/>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69</w:t>
                          </w:r>
                          <w:r>
                            <w:rPr>
                              <w:rFonts w:hint="eastAsia"/>
                            </w:rPr>
                            <w:fldChar w:fldCharType="end"/>
                          </w:r>
                          <w:r>
                            <w:rPr>
                              <w:rFonts w:hint="eastAsia"/>
                            </w:rPr>
                            <w:t xml:space="preserve"> 页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63915282">
                    <w:pPr>
                      <w:pStyle w:val="12"/>
                      <w:rPr>
                        <w:rFonts w:eastAsia="华文仿宋"/>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69</w:t>
                    </w:r>
                    <w:r>
                      <w:rPr>
                        <w:rFonts w:hint="eastAsia"/>
                      </w:rPr>
                      <w:fldChar w:fldCharType="end"/>
                    </w:r>
                    <w:r>
                      <w:rPr>
                        <w:rFonts w:hint="eastAsia"/>
                      </w:rPr>
                      <w:t xml:space="preserve"> 页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399A5">
    <w:pPr>
      <w:pStyle w:val="13"/>
      <w:rPr>
        <w:rFonts w:hint="eastAsia" w:eastAsia="宋体"/>
        <w:lang w:eastAsia="zh-CN"/>
      </w:rPr>
    </w:pPr>
    <w:r>
      <w:rPr>
        <w:rFonts w:hint="eastAsia"/>
        <w:lang w:eastAsia="zh-CN"/>
      </w:rPr>
      <w:t>延安市自然资源局-市本级集体建设用地调查和基准地价更新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BCB5E">
    <w:pPr>
      <w:pStyle w:val="13"/>
    </w:pPr>
    <w:r>
      <w:rPr>
        <w:rFonts w:hint="eastAsia"/>
        <w:color w:val="000000"/>
        <w:lang w:eastAsia="zh-CN"/>
      </w:rPr>
      <w:t>延安市自然资源局-市本级集体建设用地调查和基准地价更新</w:t>
    </w:r>
    <w:r>
      <w:rPr>
        <w:color w:val="00000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7C78C">
    <w:pPr>
      <w:pStyle w:val="13"/>
      <w:tabs>
        <w:tab w:val="left" w:pos="368"/>
      </w:tabs>
    </w:pPr>
    <w:r>
      <w:rPr>
        <w:rFonts w:hint="eastAsia"/>
        <w:lang w:eastAsia="zh-CN"/>
      </w:rPr>
      <w:t>延安市自然资源局-市本级集体建设用地调查和基准地价更新</w:t>
    </w:r>
    <w:r>
      <w:rPr>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9B8B08"/>
    <w:multiLevelType w:val="singleLevel"/>
    <w:tmpl w:val="919B8B08"/>
    <w:lvl w:ilvl="0" w:tentative="0">
      <w:start w:val="1"/>
      <w:numFmt w:val="chineseCounting"/>
      <w:suff w:val="nothing"/>
      <w:lvlText w:val="%1、"/>
      <w:lvlJc w:val="left"/>
      <w:rPr>
        <w:rFonts w:hint="eastAsia"/>
      </w:rPr>
    </w:lvl>
  </w:abstractNum>
  <w:abstractNum w:abstractNumId="1">
    <w:nsid w:val="00000006"/>
    <w:multiLevelType w:val="multilevel"/>
    <w:tmpl w:val="00000006"/>
    <w:lvl w:ilvl="0" w:tentative="0">
      <w:start w:val="3"/>
      <w:numFmt w:val="chineseCounting"/>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1CB39DB9"/>
    <w:multiLevelType w:val="singleLevel"/>
    <w:tmpl w:val="1CB39DB9"/>
    <w:lvl w:ilvl="0" w:tentative="0">
      <w:start w:val="7"/>
      <w:numFmt w:val="decimal"/>
      <w:lvlText w:val="%1."/>
      <w:lvlJc w:val="left"/>
      <w:pPr>
        <w:tabs>
          <w:tab w:val="left" w:pos="312"/>
        </w:tabs>
      </w:pPr>
    </w:lvl>
  </w:abstractNum>
  <w:abstractNum w:abstractNumId="3">
    <w:nsid w:val="205C9A07"/>
    <w:multiLevelType w:val="singleLevel"/>
    <w:tmpl w:val="205C9A07"/>
    <w:lvl w:ilvl="0" w:tentative="0">
      <w:start w:val="4"/>
      <w:numFmt w:val="chineseCounting"/>
      <w:suff w:val="nothing"/>
      <w:lvlText w:val="（%1）"/>
      <w:lvlJc w:val="left"/>
      <w:rPr>
        <w:rFonts w:hint="eastAsia"/>
      </w:rPr>
    </w:lvl>
  </w:abstractNum>
  <w:abstractNum w:abstractNumId="4">
    <w:nsid w:val="42179092"/>
    <w:multiLevelType w:val="singleLevel"/>
    <w:tmpl w:val="42179092"/>
    <w:lvl w:ilvl="0" w:tentative="0">
      <w:start w:val="1"/>
      <w:numFmt w:val="decimal"/>
      <w:pStyle w:val="6"/>
      <w:lvlText w:val="%1."/>
      <w:lvlJc w:val="left"/>
      <w:pPr>
        <w:tabs>
          <w:tab w:val="left" w:pos="780"/>
        </w:tabs>
        <w:ind w:left="780" w:hanging="360"/>
      </w:pPr>
    </w:lvl>
  </w:abstractNum>
  <w:abstractNum w:abstractNumId="5">
    <w:nsid w:val="700C5CB2"/>
    <w:multiLevelType w:val="singleLevel"/>
    <w:tmpl w:val="700C5CB2"/>
    <w:lvl w:ilvl="0" w:tentative="0">
      <w:start w:val="2"/>
      <w:numFmt w:val="chineseCounting"/>
      <w:suff w:val="nothing"/>
      <w:lvlText w:val="%1、"/>
      <w:lvlJc w:val="left"/>
      <w:rPr>
        <w:rFonts w:hint="eastAsia"/>
      </w:rPr>
    </w:lvl>
  </w:abstractNum>
  <w:abstractNum w:abstractNumId="6">
    <w:nsid w:val="76F8C929"/>
    <w:multiLevelType w:val="singleLevel"/>
    <w:tmpl w:val="76F8C929"/>
    <w:lvl w:ilvl="0" w:tentative="0">
      <w:start w:val="1"/>
      <w:numFmt w:val="chineseCounting"/>
      <w:suff w:val="space"/>
      <w:lvlText w:val="第%1章"/>
      <w:lvlJc w:val="left"/>
      <w:rPr>
        <w:rFonts w:hint="eastAsia"/>
      </w:rPr>
    </w:lvl>
  </w:abstractNum>
  <w:num w:numId="1">
    <w:abstractNumId w:val="4"/>
  </w:num>
  <w:num w:numId="2">
    <w:abstractNumId w:val="6"/>
  </w:num>
  <w:num w:numId="3">
    <w:abstractNumId w:val="0"/>
  </w:num>
  <w:num w:numId="4">
    <w:abstractNumId w:val="2"/>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wNjc5YzE1YTllY2ZjNjUxYjcwZmNmOTgzMzdiNmUifQ=="/>
  </w:docVars>
  <w:rsids>
    <w:rsidRoot w:val="002861C5"/>
    <w:rsid w:val="000942B7"/>
    <w:rsid w:val="000E45B0"/>
    <w:rsid w:val="00150EAD"/>
    <w:rsid w:val="002861C5"/>
    <w:rsid w:val="00503069"/>
    <w:rsid w:val="0054162D"/>
    <w:rsid w:val="005C4D2E"/>
    <w:rsid w:val="006836D3"/>
    <w:rsid w:val="006F60CD"/>
    <w:rsid w:val="007B7471"/>
    <w:rsid w:val="007C717F"/>
    <w:rsid w:val="00885B23"/>
    <w:rsid w:val="008C6C96"/>
    <w:rsid w:val="008D27E5"/>
    <w:rsid w:val="00D60863"/>
    <w:rsid w:val="00FD6FFF"/>
    <w:rsid w:val="0106590A"/>
    <w:rsid w:val="0153724B"/>
    <w:rsid w:val="017E6B98"/>
    <w:rsid w:val="018B236D"/>
    <w:rsid w:val="018E1CDD"/>
    <w:rsid w:val="01995B0E"/>
    <w:rsid w:val="01A422D2"/>
    <w:rsid w:val="01E6443F"/>
    <w:rsid w:val="01EE19B6"/>
    <w:rsid w:val="020A0DA8"/>
    <w:rsid w:val="02183E82"/>
    <w:rsid w:val="02457A2C"/>
    <w:rsid w:val="026B3007"/>
    <w:rsid w:val="029562D6"/>
    <w:rsid w:val="02CD1F13"/>
    <w:rsid w:val="02D13556"/>
    <w:rsid w:val="02D768EE"/>
    <w:rsid w:val="02E80AFB"/>
    <w:rsid w:val="02F6579D"/>
    <w:rsid w:val="032F5083"/>
    <w:rsid w:val="03351867"/>
    <w:rsid w:val="03AE3AF3"/>
    <w:rsid w:val="03D42E2E"/>
    <w:rsid w:val="03FB660C"/>
    <w:rsid w:val="04115E30"/>
    <w:rsid w:val="041E4679"/>
    <w:rsid w:val="045C7680"/>
    <w:rsid w:val="0482288A"/>
    <w:rsid w:val="04867C52"/>
    <w:rsid w:val="0490144A"/>
    <w:rsid w:val="04AD3DAA"/>
    <w:rsid w:val="04B663D0"/>
    <w:rsid w:val="04B74C29"/>
    <w:rsid w:val="04B90AB9"/>
    <w:rsid w:val="04C46E30"/>
    <w:rsid w:val="04ED064B"/>
    <w:rsid w:val="04FD0162"/>
    <w:rsid w:val="053C0609"/>
    <w:rsid w:val="05465EBB"/>
    <w:rsid w:val="055B7A87"/>
    <w:rsid w:val="05985572"/>
    <w:rsid w:val="059C797B"/>
    <w:rsid w:val="05CA26AE"/>
    <w:rsid w:val="05CC0260"/>
    <w:rsid w:val="0620235A"/>
    <w:rsid w:val="06500E91"/>
    <w:rsid w:val="06571C6C"/>
    <w:rsid w:val="067F52D3"/>
    <w:rsid w:val="069279F6"/>
    <w:rsid w:val="06B55971"/>
    <w:rsid w:val="06FC4B75"/>
    <w:rsid w:val="07267E44"/>
    <w:rsid w:val="074810B3"/>
    <w:rsid w:val="075F6A10"/>
    <w:rsid w:val="07660241"/>
    <w:rsid w:val="07CF1388"/>
    <w:rsid w:val="08161C67"/>
    <w:rsid w:val="08602EE2"/>
    <w:rsid w:val="086A3D60"/>
    <w:rsid w:val="08A92ADB"/>
    <w:rsid w:val="08B01682"/>
    <w:rsid w:val="08E6531C"/>
    <w:rsid w:val="09000221"/>
    <w:rsid w:val="090E293E"/>
    <w:rsid w:val="092E0A33"/>
    <w:rsid w:val="093700E7"/>
    <w:rsid w:val="09420839"/>
    <w:rsid w:val="0969226A"/>
    <w:rsid w:val="09945156"/>
    <w:rsid w:val="09B41737"/>
    <w:rsid w:val="09F00295"/>
    <w:rsid w:val="0AFD2C6A"/>
    <w:rsid w:val="0B2E1E80"/>
    <w:rsid w:val="0B44479D"/>
    <w:rsid w:val="0B6A3BEB"/>
    <w:rsid w:val="0B6E78D8"/>
    <w:rsid w:val="0B753148"/>
    <w:rsid w:val="0B8769D7"/>
    <w:rsid w:val="0B892750"/>
    <w:rsid w:val="0B931ED3"/>
    <w:rsid w:val="0B9A495D"/>
    <w:rsid w:val="0BAF665A"/>
    <w:rsid w:val="0BBE6B6A"/>
    <w:rsid w:val="0BCB0FBA"/>
    <w:rsid w:val="0C3A3E75"/>
    <w:rsid w:val="0C5B233E"/>
    <w:rsid w:val="0C7B17EF"/>
    <w:rsid w:val="0CE265BB"/>
    <w:rsid w:val="0CF42CB0"/>
    <w:rsid w:val="0CFD33F5"/>
    <w:rsid w:val="0D1420EC"/>
    <w:rsid w:val="0D26294C"/>
    <w:rsid w:val="0D4B6583"/>
    <w:rsid w:val="0DCB34F3"/>
    <w:rsid w:val="0DD71E98"/>
    <w:rsid w:val="0DE73C50"/>
    <w:rsid w:val="0DFB64F3"/>
    <w:rsid w:val="0DFC0475"/>
    <w:rsid w:val="0E0302A0"/>
    <w:rsid w:val="0E484619"/>
    <w:rsid w:val="0E9465F6"/>
    <w:rsid w:val="0E990EFC"/>
    <w:rsid w:val="0EAE7D95"/>
    <w:rsid w:val="0EB65F51"/>
    <w:rsid w:val="0EC51CF1"/>
    <w:rsid w:val="0ED657A9"/>
    <w:rsid w:val="0EE320D8"/>
    <w:rsid w:val="0F40581B"/>
    <w:rsid w:val="0F5065E1"/>
    <w:rsid w:val="0F5A4B1A"/>
    <w:rsid w:val="0F8C5352"/>
    <w:rsid w:val="0FB75ADD"/>
    <w:rsid w:val="0FCB7000"/>
    <w:rsid w:val="10480E2B"/>
    <w:rsid w:val="104F55B9"/>
    <w:rsid w:val="11072A94"/>
    <w:rsid w:val="1111746F"/>
    <w:rsid w:val="111D59F8"/>
    <w:rsid w:val="1143427E"/>
    <w:rsid w:val="115A7068"/>
    <w:rsid w:val="117D2D56"/>
    <w:rsid w:val="11991213"/>
    <w:rsid w:val="11B92B3A"/>
    <w:rsid w:val="11C72224"/>
    <w:rsid w:val="11CB5870"/>
    <w:rsid w:val="12163D18"/>
    <w:rsid w:val="12266F4A"/>
    <w:rsid w:val="12693030"/>
    <w:rsid w:val="12BA4725"/>
    <w:rsid w:val="12C31B2A"/>
    <w:rsid w:val="13113756"/>
    <w:rsid w:val="13483D9B"/>
    <w:rsid w:val="13485EDB"/>
    <w:rsid w:val="134A310C"/>
    <w:rsid w:val="13631E88"/>
    <w:rsid w:val="13830225"/>
    <w:rsid w:val="13C0517C"/>
    <w:rsid w:val="13C82EBD"/>
    <w:rsid w:val="13F41F7E"/>
    <w:rsid w:val="13F56BD4"/>
    <w:rsid w:val="13F923DF"/>
    <w:rsid w:val="14014803"/>
    <w:rsid w:val="14072DAB"/>
    <w:rsid w:val="145204CA"/>
    <w:rsid w:val="148625B0"/>
    <w:rsid w:val="14A423A8"/>
    <w:rsid w:val="14A75F77"/>
    <w:rsid w:val="14AF05F7"/>
    <w:rsid w:val="14C30A80"/>
    <w:rsid w:val="14EA2EBE"/>
    <w:rsid w:val="14FE41AE"/>
    <w:rsid w:val="154D47EE"/>
    <w:rsid w:val="155344FA"/>
    <w:rsid w:val="15787B7C"/>
    <w:rsid w:val="15CA5B4B"/>
    <w:rsid w:val="15D867AD"/>
    <w:rsid w:val="15EC2259"/>
    <w:rsid w:val="16297009"/>
    <w:rsid w:val="163C6EB0"/>
    <w:rsid w:val="166167A3"/>
    <w:rsid w:val="167364D6"/>
    <w:rsid w:val="16D74786"/>
    <w:rsid w:val="1743234C"/>
    <w:rsid w:val="175E666B"/>
    <w:rsid w:val="17640690"/>
    <w:rsid w:val="177644D0"/>
    <w:rsid w:val="177B15A9"/>
    <w:rsid w:val="17887D5F"/>
    <w:rsid w:val="17A22A5A"/>
    <w:rsid w:val="18147845"/>
    <w:rsid w:val="18185636"/>
    <w:rsid w:val="182932F0"/>
    <w:rsid w:val="185B4FDD"/>
    <w:rsid w:val="185F6D12"/>
    <w:rsid w:val="186C7681"/>
    <w:rsid w:val="189831C8"/>
    <w:rsid w:val="18C80D5B"/>
    <w:rsid w:val="18D771F0"/>
    <w:rsid w:val="18DD40DB"/>
    <w:rsid w:val="18E4450E"/>
    <w:rsid w:val="18F558C8"/>
    <w:rsid w:val="190C006F"/>
    <w:rsid w:val="191044B0"/>
    <w:rsid w:val="19191C06"/>
    <w:rsid w:val="1934019F"/>
    <w:rsid w:val="196A1E12"/>
    <w:rsid w:val="196F11D7"/>
    <w:rsid w:val="196F567B"/>
    <w:rsid w:val="19752927"/>
    <w:rsid w:val="198A7DBF"/>
    <w:rsid w:val="19974BFE"/>
    <w:rsid w:val="19A05834"/>
    <w:rsid w:val="19A50AE7"/>
    <w:rsid w:val="19F210D5"/>
    <w:rsid w:val="19FA4989"/>
    <w:rsid w:val="19FD4AA7"/>
    <w:rsid w:val="1A2B77E3"/>
    <w:rsid w:val="1A4B2A44"/>
    <w:rsid w:val="1A6E76E0"/>
    <w:rsid w:val="1A7A42D7"/>
    <w:rsid w:val="1A845156"/>
    <w:rsid w:val="1A972B45"/>
    <w:rsid w:val="1ABF7590"/>
    <w:rsid w:val="1AC55423"/>
    <w:rsid w:val="1AC6751C"/>
    <w:rsid w:val="1ADC289C"/>
    <w:rsid w:val="1AF220BF"/>
    <w:rsid w:val="1AF851FC"/>
    <w:rsid w:val="1B0F3646"/>
    <w:rsid w:val="1B1D686F"/>
    <w:rsid w:val="1B281F85"/>
    <w:rsid w:val="1B361E84"/>
    <w:rsid w:val="1B6805D3"/>
    <w:rsid w:val="1B854CE1"/>
    <w:rsid w:val="1BBD18E9"/>
    <w:rsid w:val="1BC43E7A"/>
    <w:rsid w:val="1BF72592"/>
    <w:rsid w:val="1BFB332D"/>
    <w:rsid w:val="1C24274C"/>
    <w:rsid w:val="1C273FEB"/>
    <w:rsid w:val="1C2F10F1"/>
    <w:rsid w:val="1C3A34E8"/>
    <w:rsid w:val="1C3D650C"/>
    <w:rsid w:val="1C533032"/>
    <w:rsid w:val="1C5E5533"/>
    <w:rsid w:val="1C6E12C2"/>
    <w:rsid w:val="1C6E7E6B"/>
    <w:rsid w:val="1C7A30C4"/>
    <w:rsid w:val="1CE35C57"/>
    <w:rsid w:val="1D231C99"/>
    <w:rsid w:val="1D2616DA"/>
    <w:rsid w:val="1D4665DA"/>
    <w:rsid w:val="1DE96F38"/>
    <w:rsid w:val="1DEA52D0"/>
    <w:rsid w:val="1DF148B0"/>
    <w:rsid w:val="1DF22D2A"/>
    <w:rsid w:val="1E2A7DC2"/>
    <w:rsid w:val="1E2E3FC6"/>
    <w:rsid w:val="1E45667C"/>
    <w:rsid w:val="1E6F3A27"/>
    <w:rsid w:val="1EA47B74"/>
    <w:rsid w:val="1ED1023E"/>
    <w:rsid w:val="1EDF295B"/>
    <w:rsid w:val="1F3233D2"/>
    <w:rsid w:val="1F4727DA"/>
    <w:rsid w:val="1F511C17"/>
    <w:rsid w:val="1F5B337D"/>
    <w:rsid w:val="1F745799"/>
    <w:rsid w:val="1F797010"/>
    <w:rsid w:val="1F8C6655"/>
    <w:rsid w:val="1F971571"/>
    <w:rsid w:val="1FE90BAE"/>
    <w:rsid w:val="1FEC17D3"/>
    <w:rsid w:val="1FEF4E1F"/>
    <w:rsid w:val="20026C99"/>
    <w:rsid w:val="200603BB"/>
    <w:rsid w:val="20370574"/>
    <w:rsid w:val="20A41DC5"/>
    <w:rsid w:val="20C05E60"/>
    <w:rsid w:val="20F23661"/>
    <w:rsid w:val="21020B82"/>
    <w:rsid w:val="211A7775"/>
    <w:rsid w:val="21983295"/>
    <w:rsid w:val="219C0FD7"/>
    <w:rsid w:val="21B3498B"/>
    <w:rsid w:val="21B37336"/>
    <w:rsid w:val="21C423B0"/>
    <w:rsid w:val="21E8421C"/>
    <w:rsid w:val="21E964A3"/>
    <w:rsid w:val="221E7C3E"/>
    <w:rsid w:val="2248284A"/>
    <w:rsid w:val="22944E50"/>
    <w:rsid w:val="22FF181D"/>
    <w:rsid w:val="231449BC"/>
    <w:rsid w:val="2351194D"/>
    <w:rsid w:val="235D02F2"/>
    <w:rsid w:val="236930C6"/>
    <w:rsid w:val="23952182"/>
    <w:rsid w:val="23B2156E"/>
    <w:rsid w:val="23C13D4C"/>
    <w:rsid w:val="243A65CE"/>
    <w:rsid w:val="244514B2"/>
    <w:rsid w:val="24455956"/>
    <w:rsid w:val="246700A8"/>
    <w:rsid w:val="24763D61"/>
    <w:rsid w:val="249912D7"/>
    <w:rsid w:val="24D97E4C"/>
    <w:rsid w:val="24DE36B4"/>
    <w:rsid w:val="250A44A9"/>
    <w:rsid w:val="251F3B5B"/>
    <w:rsid w:val="253C3636"/>
    <w:rsid w:val="254F72FB"/>
    <w:rsid w:val="25546F0C"/>
    <w:rsid w:val="25633D82"/>
    <w:rsid w:val="25804B6B"/>
    <w:rsid w:val="258C3110"/>
    <w:rsid w:val="259049AF"/>
    <w:rsid w:val="25B974F6"/>
    <w:rsid w:val="25BF3B7E"/>
    <w:rsid w:val="25D845A8"/>
    <w:rsid w:val="26321976"/>
    <w:rsid w:val="264D2300"/>
    <w:rsid w:val="268564DD"/>
    <w:rsid w:val="26882E12"/>
    <w:rsid w:val="26E36D60"/>
    <w:rsid w:val="27190A70"/>
    <w:rsid w:val="272555CB"/>
    <w:rsid w:val="272D447F"/>
    <w:rsid w:val="277D3506"/>
    <w:rsid w:val="27BC6787"/>
    <w:rsid w:val="280E605F"/>
    <w:rsid w:val="28371501"/>
    <w:rsid w:val="285717B4"/>
    <w:rsid w:val="285B2042"/>
    <w:rsid w:val="287A7186"/>
    <w:rsid w:val="28B36B23"/>
    <w:rsid w:val="28C36E49"/>
    <w:rsid w:val="28D472A8"/>
    <w:rsid w:val="28F23FA6"/>
    <w:rsid w:val="28F6721F"/>
    <w:rsid w:val="29172C46"/>
    <w:rsid w:val="29307688"/>
    <w:rsid w:val="29310257"/>
    <w:rsid w:val="294A1318"/>
    <w:rsid w:val="298962E5"/>
    <w:rsid w:val="29B844D4"/>
    <w:rsid w:val="29CB726B"/>
    <w:rsid w:val="29CC3486"/>
    <w:rsid w:val="29DA269C"/>
    <w:rsid w:val="29E4176D"/>
    <w:rsid w:val="29E7300B"/>
    <w:rsid w:val="29EE7EF6"/>
    <w:rsid w:val="29FF0355"/>
    <w:rsid w:val="2A246AEB"/>
    <w:rsid w:val="2A2C0A1E"/>
    <w:rsid w:val="2A473886"/>
    <w:rsid w:val="2A573CED"/>
    <w:rsid w:val="2A596061"/>
    <w:rsid w:val="2A7C3754"/>
    <w:rsid w:val="2A930A9D"/>
    <w:rsid w:val="2AAF1D7B"/>
    <w:rsid w:val="2ADE62B2"/>
    <w:rsid w:val="2B6D12EE"/>
    <w:rsid w:val="2B7D7783"/>
    <w:rsid w:val="2BB331A5"/>
    <w:rsid w:val="2BC60FC8"/>
    <w:rsid w:val="2BFD6B16"/>
    <w:rsid w:val="2C197C11"/>
    <w:rsid w:val="2C273B93"/>
    <w:rsid w:val="2C2B3B1E"/>
    <w:rsid w:val="2C484235"/>
    <w:rsid w:val="2C526E62"/>
    <w:rsid w:val="2CB119DD"/>
    <w:rsid w:val="2CB45044"/>
    <w:rsid w:val="2CBA2FBD"/>
    <w:rsid w:val="2CCE7FC5"/>
    <w:rsid w:val="2CD755B9"/>
    <w:rsid w:val="2CE90A48"/>
    <w:rsid w:val="2CF9552F"/>
    <w:rsid w:val="2CFD01DC"/>
    <w:rsid w:val="2D306A77"/>
    <w:rsid w:val="2D3447B9"/>
    <w:rsid w:val="2D630BFB"/>
    <w:rsid w:val="2D9D235F"/>
    <w:rsid w:val="2DBF5292"/>
    <w:rsid w:val="2DD85145"/>
    <w:rsid w:val="2DF45CF7"/>
    <w:rsid w:val="2E0942AF"/>
    <w:rsid w:val="2E0B6E95"/>
    <w:rsid w:val="2E100D83"/>
    <w:rsid w:val="2E314855"/>
    <w:rsid w:val="2E861045"/>
    <w:rsid w:val="2E87708A"/>
    <w:rsid w:val="2E9F03ED"/>
    <w:rsid w:val="2EA25C4E"/>
    <w:rsid w:val="2EF1054D"/>
    <w:rsid w:val="2EFF06DC"/>
    <w:rsid w:val="2F44743E"/>
    <w:rsid w:val="2F472CFA"/>
    <w:rsid w:val="2F603644"/>
    <w:rsid w:val="2F6F1AD9"/>
    <w:rsid w:val="2F8A246F"/>
    <w:rsid w:val="2F8C268B"/>
    <w:rsid w:val="2FD26B56"/>
    <w:rsid w:val="2FE61A4B"/>
    <w:rsid w:val="2FF16992"/>
    <w:rsid w:val="2FF26187"/>
    <w:rsid w:val="30110DE2"/>
    <w:rsid w:val="302503E9"/>
    <w:rsid w:val="3041203C"/>
    <w:rsid w:val="304D5343"/>
    <w:rsid w:val="305D7B83"/>
    <w:rsid w:val="30915A7F"/>
    <w:rsid w:val="30A9101A"/>
    <w:rsid w:val="30C32657"/>
    <w:rsid w:val="30EC4205"/>
    <w:rsid w:val="30EF69E4"/>
    <w:rsid w:val="312132A7"/>
    <w:rsid w:val="313A0BD1"/>
    <w:rsid w:val="31404725"/>
    <w:rsid w:val="31404A59"/>
    <w:rsid w:val="31440D43"/>
    <w:rsid w:val="31552F50"/>
    <w:rsid w:val="31615451"/>
    <w:rsid w:val="316867E0"/>
    <w:rsid w:val="31905D36"/>
    <w:rsid w:val="32021C86"/>
    <w:rsid w:val="321A5056"/>
    <w:rsid w:val="32A63A63"/>
    <w:rsid w:val="32CE4D68"/>
    <w:rsid w:val="32E04BAD"/>
    <w:rsid w:val="330D3A5D"/>
    <w:rsid w:val="339935C8"/>
    <w:rsid w:val="33D2532E"/>
    <w:rsid w:val="33D47D4F"/>
    <w:rsid w:val="349C4646"/>
    <w:rsid w:val="34AF2977"/>
    <w:rsid w:val="34B43C68"/>
    <w:rsid w:val="34E40B78"/>
    <w:rsid w:val="34FC4643"/>
    <w:rsid w:val="35181999"/>
    <w:rsid w:val="355A2DB4"/>
    <w:rsid w:val="355B6BD8"/>
    <w:rsid w:val="35672FFF"/>
    <w:rsid w:val="356A5862"/>
    <w:rsid w:val="3581411C"/>
    <w:rsid w:val="35867B7C"/>
    <w:rsid w:val="359E1ADF"/>
    <w:rsid w:val="35E653C6"/>
    <w:rsid w:val="362165FD"/>
    <w:rsid w:val="36392E40"/>
    <w:rsid w:val="364745B3"/>
    <w:rsid w:val="365D6B2F"/>
    <w:rsid w:val="367B236C"/>
    <w:rsid w:val="3692250F"/>
    <w:rsid w:val="36B97711"/>
    <w:rsid w:val="36BD312A"/>
    <w:rsid w:val="36E0506A"/>
    <w:rsid w:val="36E21696"/>
    <w:rsid w:val="36E903C3"/>
    <w:rsid w:val="36F122E3"/>
    <w:rsid w:val="371E68C5"/>
    <w:rsid w:val="374E46CA"/>
    <w:rsid w:val="376C4B50"/>
    <w:rsid w:val="37936580"/>
    <w:rsid w:val="37DC4F30"/>
    <w:rsid w:val="37DD0AAA"/>
    <w:rsid w:val="37ED7A3F"/>
    <w:rsid w:val="38455ACD"/>
    <w:rsid w:val="384E39BC"/>
    <w:rsid w:val="384E5558"/>
    <w:rsid w:val="388B6AFB"/>
    <w:rsid w:val="38960E85"/>
    <w:rsid w:val="38A34BF8"/>
    <w:rsid w:val="38C87957"/>
    <w:rsid w:val="38DD49D6"/>
    <w:rsid w:val="38E5105E"/>
    <w:rsid w:val="39344543"/>
    <w:rsid w:val="39785A2E"/>
    <w:rsid w:val="399C796E"/>
    <w:rsid w:val="39A17917"/>
    <w:rsid w:val="39E15381"/>
    <w:rsid w:val="3A2C2CB0"/>
    <w:rsid w:val="3A2D6818"/>
    <w:rsid w:val="3A3473AE"/>
    <w:rsid w:val="3A68457E"/>
    <w:rsid w:val="3A743A5B"/>
    <w:rsid w:val="3A8E6472"/>
    <w:rsid w:val="3A9B73CB"/>
    <w:rsid w:val="3AD52E6E"/>
    <w:rsid w:val="3B0E3CCE"/>
    <w:rsid w:val="3B163750"/>
    <w:rsid w:val="3B2C2F74"/>
    <w:rsid w:val="3B3029D2"/>
    <w:rsid w:val="3B3E6803"/>
    <w:rsid w:val="3B410244"/>
    <w:rsid w:val="3C17152E"/>
    <w:rsid w:val="3C371BD0"/>
    <w:rsid w:val="3C687483"/>
    <w:rsid w:val="3C9F71B8"/>
    <w:rsid w:val="3CB13731"/>
    <w:rsid w:val="3CB13CE3"/>
    <w:rsid w:val="3CBF05CA"/>
    <w:rsid w:val="3CD13DD3"/>
    <w:rsid w:val="3CE31410"/>
    <w:rsid w:val="3D1E2D4B"/>
    <w:rsid w:val="3D3407AF"/>
    <w:rsid w:val="3D453E79"/>
    <w:rsid w:val="3D4B66A5"/>
    <w:rsid w:val="3DB6463A"/>
    <w:rsid w:val="3DD77D43"/>
    <w:rsid w:val="3DDA0A65"/>
    <w:rsid w:val="3E0C4997"/>
    <w:rsid w:val="3E0D4CB7"/>
    <w:rsid w:val="3E1F291C"/>
    <w:rsid w:val="3E264AF2"/>
    <w:rsid w:val="3E4405D4"/>
    <w:rsid w:val="3E614CE2"/>
    <w:rsid w:val="3E832EAB"/>
    <w:rsid w:val="3E861A6B"/>
    <w:rsid w:val="3E9450B8"/>
    <w:rsid w:val="3ECD2378"/>
    <w:rsid w:val="3ED44742"/>
    <w:rsid w:val="3EE74323"/>
    <w:rsid w:val="3F18759E"/>
    <w:rsid w:val="3F422D66"/>
    <w:rsid w:val="3F685210"/>
    <w:rsid w:val="3F7D3D9E"/>
    <w:rsid w:val="3F8051EC"/>
    <w:rsid w:val="3FFC1167"/>
    <w:rsid w:val="400172BB"/>
    <w:rsid w:val="40273D0A"/>
    <w:rsid w:val="407E7DCE"/>
    <w:rsid w:val="408847A8"/>
    <w:rsid w:val="40C17CBA"/>
    <w:rsid w:val="410302D3"/>
    <w:rsid w:val="41057DE0"/>
    <w:rsid w:val="41214F2E"/>
    <w:rsid w:val="41695BD4"/>
    <w:rsid w:val="41881F15"/>
    <w:rsid w:val="41911D83"/>
    <w:rsid w:val="41B63597"/>
    <w:rsid w:val="41BB6E00"/>
    <w:rsid w:val="42051E29"/>
    <w:rsid w:val="420B38E3"/>
    <w:rsid w:val="42440BA3"/>
    <w:rsid w:val="424B0183"/>
    <w:rsid w:val="424C7EC7"/>
    <w:rsid w:val="4251699E"/>
    <w:rsid w:val="427F607F"/>
    <w:rsid w:val="42813BA5"/>
    <w:rsid w:val="42837B1B"/>
    <w:rsid w:val="42935686"/>
    <w:rsid w:val="42CD0B98"/>
    <w:rsid w:val="42CF2B62"/>
    <w:rsid w:val="42D77C69"/>
    <w:rsid w:val="42FF2625"/>
    <w:rsid w:val="43156CC7"/>
    <w:rsid w:val="432D1637"/>
    <w:rsid w:val="43591D9B"/>
    <w:rsid w:val="436A4639"/>
    <w:rsid w:val="43747266"/>
    <w:rsid w:val="43A4388B"/>
    <w:rsid w:val="43AE764D"/>
    <w:rsid w:val="43AF64F0"/>
    <w:rsid w:val="43BE3225"/>
    <w:rsid w:val="43C35D74"/>
    <w:rsid w:val="43FD36FF"/>
    <w:rsid w:val="446A2417"/>
    <w:rsid w:val="447D75CD"/>
    <w:rsid w:val="4488746D"/>
    <w:rsid w:val="44B74F0C"/>
    <w:rsid w:val="44DF70AD"/>
    <w:rsid w:val="44E421C9"/>
    <w:rsid w:val="44F468B0"/>
    <w:rsid w:val="45062140"/>
    <w:rsid w:val="45315F1E"/>
    <w:rsid w:val="4545710C"/>
    <w:rsid w:val="456377EE"/>
    <w:rsid w:val="456652D4"/>
    <w:rsid w:val="456D0411"/>
    <w:rsid w:val="4577128F"/>
    <w:rsid w:val="45783434"/>
    <w:rsid w:val="45C67123"/>
    <w:rsid w:val="45FF45A2"/>
    <w:rsid w:val="460D6DA0"/>
    <w:rsid w:val="461E572A"/>
    <w:rsid w:val="46601D24"/>
    <w:rsid w:val="466435C2"/>
    <w:rsid w:val="470703F1"/>
    <w:rsid w:val="470E79D1"/>
    <w:rsid w:val="475D3DA8"/>
    <w:rsid w:val="478E45D4"/>
    <w:rsid w:val="47BB30B2"/>
    <w:rsid w:val="47C85DD2"/>
    <w:rsid w:val="47D72A0D"/>
    <w:rsid w:val="47FF0499"/>
    <w:rsid w:val="486C49B0"/>
    <w:rsid w:val="486F44A0"/>
    <w:rsid w:val="4893018E"/>
    <w:rsid w:val="48AB372A"/>
    <w:rsid w:val="48EF52FC"/>
    <w:rsid w:val="48F830FD"/>
    <w:rsid w:val="48FD7CFE"/>
    <w:rsid w:val="49211C3E"/>
    <w:rsid w:val="492653E3"/>
    <w:rsid w:val="49386D6A"/>
    <w:rsid w:val="49553BA0"/>
    <w:rsid w:val="495A6EFE"/>
    <w:rsid w:val="496438D9"/>
    <w:rsid w:val="49A62143"/>
    <w:rsid w:val="49A63EF1"/>
    <w:rsid w:val="49C23456"/>
    <w:rsid w:val="49E52394"/>
    <w:rsid w:val="4A035B0E"/>
    <w:rsid w:val="4A0A26D2"/>
    <w:rsid w:val="4A325785"/>
    <w:rsid w:val="4A6A6D04"/>
    <w:rsid w:val="4A8F2BD7"/>
    <w:rsid w:val="4AC26B09"/>
    <w:rsid w:val="4ACC5BD9"/>
    <w:rsid w:val="4ADE0EEB"/>
    <w:rsid w:val="4AF241A0"/>
    <w:rsid w:val="4B161AE7"/>
    <w:rsid w:val="4B2B2900"/>
    <w:rsid w:val="4B3612A5"/>
    <w:rsid w:val="4B501DBF"/>
    <w:rsid w:val="4B6B0F4E"/>
    <w:rsid w:val="4B7F0E9E"/>
    <w:rsid w:val="4BE551A5"/>
    <w:rsid w:val="4C067917"/>
    <w:rsid w:val="4C115F9A"/>
    <w:rsid w:val="4C46543A"/>
    <w:rsid w:val="4C6E2B99"/>
    <w:rsid w:val="4C856040"/>
    <w:rsid w:val="4C8E4F10"/>
    <w:rsid w:val="4C920CFA"/>
    <w:rsid w:val="4CB608EF"/>
    <w:rsid w:val="4CB701C3"/>
    <w:rsid w:val="4CC0176E"/>
    <w:rsid w:val="4CFB09F8"/>
    <w:rsid w:val="4D0B2FD8"/>
    <w:rsid w:val="4D1D44CA"/>
    <w:rsid w:val="4D3637DE"/>
    <w:rsid w:val="4D5A571F"/>
    <w:rsid w:val="4D623393"/>
    <w:rsid w:val="4D704F42"/>
    <w:rsid w:val="4D9F3131"/>
    <w:rsid w:val="4DAB4166"/>
    <w:rsid w:val="4E3A34CC"/>
    <w:rsid w:val="4E4D0DDF"/>
    <w:rsid w:val="4E5321ED"/>
    <w:rsid w:val="4E6016D6"/>
    <w:rsid w:val="4E6D76D3"/>
    <w:rsid w:val="4E816CDB"/>
    <w:rsid w:val="4E8C5DAC"/>
    <w:rsid w:val="4EBE7F2F"/>
    <w:rsid w:val="4EE554BC"/>
    <w:rsid w:val="4F18038A"/>
    <w:rsid w:val="4F22226C"/>
    <w:rsid w:val="4F2C6C47"/>
    <w:rsid w:val="4F4F4D7D"/>
    <w:rsid w:val="4F587A3C"/>
    <w:rsid w:val="4F711F6A"/>
    <w:rsid w:val="4F813C30"/>
    <w:rsid w:val="4FBA06F6"/>
    <w:rsid w:val="4FBA78D0"/>
    <w:rsid w:val="4FCB6460"/>
    <w:rsid w:val="4FCE5E25"/>
    <w:rsid w:val="500951DA"/>
    <w:rsid w:val="504D3319"/>
    <w:rsid w:val="50861C1D"/>
    <w:rsid w:val="510A2FB8"/>
    <w:rsid w:val="512E314A"/>
    <w:rsid w:val="51C27D36"/>
    <w:rsid w:val="51D75590"/>
    <w:rsid w:val="51F26A4D"/>
    <w:rsid w:val="520F7138"/>
    <w:rsid w:val="5214298C"/>
    <w:rsid w:val="522C72C3"/>
    <w:rsid w:val="524A1938"/>
    <w:rsid w:val="52501CAD"/>
    <w:rsid w:val="526C6007"/>
    <w:rsid w:val="52B92EE7"/>
    <w:rsid w:val="52BE6184"/>
    <w:rsid w:val="52CA50F4"/>
    <w:rsid w:val="52E02222"/>
    <w:rsid w:val="53654E1D"/>
    <w:rsid w:val="538151F6"/>
    <w:rsid w:val="5382777D"/>
    <w:rsid w:val="53886B25"/>
    <w:rsid w:val="538D25D7"/>
    <w:rsid w:val="53AA2830"/>
    <w:rsid w:val="53C32D17"/>
    <w:rsid w:val="53D02F06"/>
    <w:rsid w:val="53FA37B7"/>
    <w:rsid w:val="53FB3961"/>
    <w:rsid w:val="5411012E"/>
    <w:rsid w:val="54224ABC"/>
    <w:rsid w:val="544C2E0C"/>
    <w:rsid w:val="544F3B03"/>
    <w:rsid w:val="545869BF"/>
    <w:rsid w:val="54616C3C"/>
    <w:rsid w:val="54617C92"/>
    <w:rsid w:val="54684BC5"/>
    <w:rsid w:val="548136DA"/>
    <w:rsid w:val="54833FB9"/>
    <w:rsid w:val="548B3E72"/>
    <w:rsid w:val="54CF07A0"/>
    <w:rsid w:val="55614BA6"/>
    <w:rsid w:val="55EB160A"/>
    <w:rsid w:val="56091B70"/>
    <w:rsid w:val="5627460C"/>
    <w:rsid w:val="56286D65"/>
    <w:rsid w:val="564B20A8"/>
    <w:rsid w:val="5653734D"/>
    <w:rsid w:val="566B274A"/>
    <w:rsid w:val="569F11EB"/>
    <w:rsid w:val="56A21888"/>
    <w:rsid w:val="56C34335"/>
    <w:rsid w:val="56EF3408"/>
    <w:rsid w:val="57016C0B"/>
    <w:rsid w:val="575A3F96"/>
    <w:rsid w:val="57672713"/>
    <w:rsid w:val="577613A7"/>
    <w:rsid w:val="577A36AD"/>
    <w:rsid w:val="577C0670"/>
    <w:rsid w:val="57A37CC2"/>
    <w:rsid w:val="57B16AC2"/>
    <w:rsid w:val="57B91294"/>
    <w:rsid w:val="57BD1AF6"/>
    <w:rsid w:val="57BF6720"/>
    <w:rsid w:val="57EE718F"/>
    <w:rsid w:val="582C5F09"/>
    <w:rsid w:val="585316E8"/>
    <w:rsid w:val="585D4315"/>
    <w:rsid w:val="586E207E"/>
    <w:rsid w:val="588C69A8"/>
    <w:rsid w:val="58AC2CC7"/>
    <w:rsid w:val="58AD0DF8"/>
    <w:rsid w:val="58BF0649"/>
    <w:rsid w:val="591730EE"/>
    <w:rsid w:val="591A58A7"/>
    <w:rsid w:val="593212FE"/>
    <w:rsid w:val="59451AAD"/>
    <w:rsid w:val="5946546B"/>
    <w:rsid w:val="59555DCC"/>
    <w:rsid w:val="59815DE1"/>
    <w:rsid w:val="59840DC3"/>
    <w:rsid w:val="59877FFD"/>
    <w:rsid w:val="598F49A2"/>
    <w:rsid w:val="59C56616"/>
    <w:rsid w:val="5A205E72"/>
    <w:rsid w:val="5A225816"/>
    <w:rsid w:val="5A492DA3"/>
    <w:rsid w:val="5A655C07"/>
    <w:rsid w:val="5A690D4F"/>
    <w:rsid w:val="5A7A2F5C"/>
    <w:rsid w:val="5A8B77DE"/>
    <w:rsid w:val="5ABC3575"/>
    <w:rsid w:val="5ADB4098"/>
    <w:rsid w:val="5AEB18DC"/>
    <w:rsid w:val="5B1D743D"/>
    <w:rsid w:val="5B227EAF"/>
    <w:rsid w:val="5B264E92"/>
    <w:rsid w:val="5B501F0F"/>
    <w:rsid w:val="5B5D17D4"/>
    <w:rsid w:val="5B7A35BA"/>
    <w:rsid w:val="5BBF01A0"/>
    <w:rsid w:val="5C1650EC"/>
    <w:rsid w:val="5CAE15E3"/>
    <w:rsid w:val="5CDA5F34"/>
    <w:rsid w:val="5CE21AED"/>
    <w:rsid w:val="5D1F1D64"/>
    <w:rsid w:val="5D3722DC"/>
    <w:rsid w:val="5D3C099D"/>
    <w:rsid w:val="5D570AB1"/>
    <w:rsid w:val="5D59154F"/>
    <w:rsid w:val="5D600B2F"/>
    <w:rsid w:val="5D9C143B"/>
    <w:rsid w:val="5DA86032"/>
    <w:rsid w:val="5DCB6083"/>
    <w:rsid w:val="5DD230AF"/>
    <w:rsid w:val="5DE132F2"/>
    <w:rsid w:val="5DE54B90"/>
    <w:rsid w:val="5DF001EB"/>
    <w:rsid w:val="5DFE3EA4"/>
    <w:rsid w:val="5E055233"/>
    <w:rsid w:val="5E0D72B8"/>
    <w:rsid w:val="5E4775F9"/>
    <w:rsid w:val="5E5C6BAC"/>
    <w:rsid w:val="5E6A778C"/>
    <w:rsid w:val="5EAF6D3D"/>
    <w:rsid w:val="5EB82C97"/>
    <w:rsid w:val="5EBE2D22"/>
    <w:rsid w:val="5EC94306"/>
    <w:rsid w:val="5EE57DEF"/>
    <w:rsid w:val="5F245B8C"/>
    <w:rsid w:val="5F29040C"/>
    <w:rsid w:val="5F3479DF"/>
    <w:rsid w:val="5F4010A7"/>
    <w:rsid w:val="5F721AF0"/>
    <w:rsid w:val="5FAA23A3"/>
    <w:rsid w:val="5FD82C61"/>
    <w:rsid w:val="5FFA1614"/>
    <w:rsid w:val="5FFE63DD"/>
    <w:rsid w:val="600E3E55"/>
    <w:rsid w:val="6041144F"/>
    <w:rsid w:val="60432042"/>
    <w:rsid w:val="60583D40"/>
    <w:rsid w:val="60681AA9"/>
    <w:rsid w:val="606C1599"/>
    <w:rsid w:val="6074044E"/>
    <w:rsid w:val="60786190"/>
    <w:rsid w:val="607E307A"/>
    <w:rsid w:val="60A823BF"/>
    <w:rsid w:val="60A83445"/>
    <w:rsid w:val="60C6562D"/>
    <w:rsid w:val="612F2105"/>
    <w:rsid w:val="613206CF"/>
    <w:rsid w:val="615F4C5A"/>
    <w:rsid w:val="61677FB2"/>
    <w:rsid w:val="616F002F"/>
    <w:rsid w:val="61730705"/>
    <w:rsid w:val="617F354E"/>
    <w:rsid w:val="61970898"/>
    <w:rsid w:val="62022F83"/>
    <w:rsid w:val="62175534"/>
    <w:rsid w:val="621E4B15"/>
    <w:rsid w:val="623D4D51"/>
    <w:rsid w:val="625C786C"/>
    <w:rsid w:val="62773F76"/>
    <w:rsid w:val="627E15CF"/>
    <w:rsid w:val="6283706E"/>
    <w:rsid w:val="628801E0"/>
    <w:rsid w:val="62D804DD"/>
    <w:rsid w:val="62DE2463"/>
    <w:rsid w:val="63471E49"/>
    <w:rsid w:val="63472AFB"/>
    <w:rsid w:val="637114CE"/>
    <w:rsid w:val="638B61DA"/>
    <w:rsid w:val="638E67FA"/>
    <w:rsid w:val="645667E8"/>
    <w:rsid w:val="64866BD9"/>
    <w:rsid w:val="64A37118"/>
    <w:rsid w:val="654F4FE5"/>
    <w:rsid w:val="65D57BE0"/>
    <w:rsid w:val="66212E26"/>
    <w:rsid w:val="662B15AE"/>
    <w:rsid w:val="6632293D"/>
    <w:rsid w:val="66342B59"/>
    <w:rsid w:val="6635067F"/>
    <w:rsid w:val="663D0055"/>
    <w:rsid w:val="66521231"/>
    <w:rsid w:val="66693888"/>
    <w:rsid w:val="666A0329"/>
    <w:rsid w:val="66707909"/>
    <w:rsid w:val="66D67FB8"/>
    <w:rsid w:val="66E3632D"/>
    <w:rsid w:val="66F72064"/>
    <w:rsid w:val="675608AD"/>
    <w:rsid w:val="676A3084"/>
    <w:rsid w:val="67725465"/>
    <w:rsid w:val="677A27ED"/>
    <w:rsid w:val="67AA29A7"/>
    <w:rsid w:val="67C670CB"/>
    <w:rsid w:val="68093B71"/>
    <w:rsid w:val="683055A2"/>
    <w:rsid w:val="6846007D"/>
    <w:rsid w:val="6848469A"/>
    <w:rsid w:val="686A4F9A"/>
    <w:rsid w:val="68F22857"/>
    <w:rsid w:val="69664A0F"/>
    <w:rsid w:val="69841BF6"/>
    <w:rsid w:val="69A74526"/>
    <w:rsid w:val="69BF1E11"/>
    <w:rsid w:val="69D331BE"/>
    <w:rsid w:val="69E04C02"/>
    <w:rsid w:val="69EB1FDC"/>
    <w:rsid w:val="69FA3354"/>
    <w:rsid w:val="69FE4B1A"/>
    <w:rsid w:val="6A165180"/>
    <w:rsid w:val="6A1F767C"/>
    <w:rsid w:val="6A4B2BC9"/>
    <w:rsid w:val="6A5B2ED2"/>
    <w:rsid w:val="6A9516EC"/>
    <w:rsid w:val="6AB42873"/>
    <w:rsid w:val="6AC81AC2"/>
    <w:rsid w:val="6AD064F1"/>
    <w:rsid w:val="6B317667"/>
    <w:rsid w:val="6B5A6D4C"/>
    <w:rsid w:val="6B8A60F8"/>
    <w:rsid w:val="6BA8544F"/>
    <w:rsid w:val="6BD56BBF"/>
    <w:rsid w:val="6BED613A"/>
    <w:rsid w:val="6C247AEB"/>
    <w:rsid w:val="6C3D64DF"/>
    <w:rsid w:val="6C3E7464"/>
    <w:rsid w:val="6C452082"/>
    <w:rsid w:val="6C5506F2"/>
    <w:rsid w:val="6C5C0714"/>
    <w:rsid w:val="6CA65E33"/>
    <w:rsid w:val="6CAD73D6"/>
    <w:rsid w:val="6CB73B9C"/>
    <w:rsid w:val="6CE93F71"/>
    <w:rsid w:val="6D166FC6"/>
    <w:rsid w:val="6D2A0812"/>
    <w:rsid w:val="6D34343E"/>
    <w:rsid w:val="6D7221B9"/>
    <w:rsid w:val="6D7D3037"/>
    <w:rsid w:val="6DB36A59"/>
    <w:rsid w:val="6E076DA5"/>
    <w:rsid w:val="6E2830B5"/>
    <w:rsid w:val="6E423939"/>
    <w:rsid w:val="6E427879"/>
    <w:rsid w:val="6E533D98"/>
    <w:rsid w:val="6E7837FF"/>
    <w:rsid w:val="6E7A034A"/>
    <w:rsid w:val="6E85086A"/>
    <w:rsid w:val="6E9F59DB"/>
    <w:rsid w:val="6EB8009F"/>
    <w:rsid w:val="6F143527"/>
    <w:rsid w:val="6F7E6BF3"/>
    <w:rsid w:val="6F831E19"/>
    <w:rsid w:val="6FAC7C04"/>
    <w:rsid w:val="6FDE58E3"/>
    <w:rsid w:val="6FEE1FCA"/>
    <w:rsid w:val="6FEF189F"/>
    <w:rsid w:val="6FEF5D43"/>
    <w:rsid w:val="6FEF7AF1"/>
    <w:rsid w:val="6FFD40FB"/>
    <w:rsid w:val="700C2451"/>
    <w:rsid w:val="70221C74"/>
    <w:rsid w:val="702A28D7"/>
    <w:rsid w:val="702B1782"/>
    <w:rsid w:val="704A7F86"/>
    <w:rsid w:val="705645D9"/>
    <w:rsid w:val="70A628A5"/>
    <w:rsid w:val="70A95AA7"/>
    <w:rsid w:val="70B4218C"/>
    <w:rsid w:val="70C07837"/>
    <w:rsid w:val="70E46F2A"/>
    <w:rsid w:val="71436346"/>
    <w:rsid w:val="7162370E"/>
    <w:rsid w:val="71703B38"/>
    <w:rsid w:val="71C12C62"/>
    <w:rsid w:val="71D1496D"/>
    <w:rsid w:val="71D74828"/>
    <w:rsid w:val="721101F2"/>
    <w:rsid w:val="72440D47"/>
    <w:rsid w:val="729F603C"/>
    <w:rsid w:val="72AC2792"/>
    <w:rsid w:val="72AE1098"/>
    <w:rsid w:val="72B1108D"/>
    <w:rsid w:val="72BA43E6"/>
    <w:rsid w:val="72F378F8"/>
    <w:rsid w:val="730B63E9"/>
    <w:rsid w:val="731D4975"/>
    <w:rsid w:val="731F06ED"/>
    <w:rsid w:val="73261A7B"/>
    <w:rsid w:val="732955BF"/>
    <w:rsid w:val="73426189"/>
    <w:rsid w:val="73966C01"/>
    <w:rsid w:val="73A11102"/>
    <w:rsid w:val="73FD3E81"/>
    <w:rsid w:val="743106D8"/>
    <w:rsid w:val="747800B5"/>
    <w:rsid w:val="747F58E7"/>
    <w:rsid w:val="74890514"/>
    <w:rsid w:val="74921493"/>
    <w:rsid w:val="749D7B1B"/>
    <w:rsid w:val="74C257D9"/>
    <w:rsid w:val="751678CE"/>
    <w:rsid w:val="75175143"/>
    <w:rsid w:val="754932A6"/>
    <w:rsid w:val="755A3C5E"/>
    <w:rsid w:val="75703482"/>
    <w:rsid w:val="75E63744"/>
    <w:rsid w:val="76085468"/>
    <w:rsid w:val="761171BF"/>
    <w:rsid w:val="76124539"/>
    <w:rsid w:val="762F5448"/>
    <w:rsid w:val="76676633"/>
    <w:rsid w:val="76A315AA"/>
    <w:rsid w:val="76B0384A"/>
    <w:rsid w:val="76BB697E"/>
    <w:rsid w:val="76E11E70"/>
    <w:rsid w:val="76E9529A"/>
    <w:rsid w:val="77514BED"/>
    <w:rsid w:val="779D6084"/>
    <w:rsid w:val="77B75398"/>
    <w:rsid w:val="77CB0E43"/>
    <w:rsid w:val="77D62D81"/>
    <w:rsid w:val="77DE0B76"/>
    <w:rsid w:val="77F24622"/>
    <w:rsid w:val="77F9775E"/>
    <w:rsid w:val="780A196C"/>
    <w:rsid w:val="78342545"/>
    <w:rsid w:val="785710BA"/>
    <w:rsid w:val="78AF5E4F"/>
    <w:rsid w:val="78E1046A"/>
    <w:rsid w:val="78F26496"/>
    <w:rsid w:val="79077C59"/>
    <w:rsid w:val="79184530"/>
    <w:rsid w:val="792870F3"/>
    <w:rsid w:val="792D3AAE"/>
    <w:rsid w:val="793A6280"/>
    <w:rsid w:val="794732B8"/>
    <w:rsid w:val="79B25E17"/>
    <w:rsid w:val="79B92E6D"/>
    <w:rsid w:val="7A1963AB"/>
    <w:rsid w:val="7A3902E6"/>
    <w:rsid w:val="7A435E4B"/>
    <w:rsid w:val="7A460C55"/>
    <w:rsid w:val="7A524009"/>
    <w:rsid w:val="7A996FD7"/>
    <w:rsid w:val="7AA634A2"/>
    <w:rsid w:val="7ABD0F17"/>
    <w:rsid w:val="7ACD0A2E"/>
    <w:rsid w:val="7AD63D87"/>
    <w:rsid w:val="7AFF3BA5"/>
    <w:rsid w:val="7B1F65CA"/>
    <w:rsid w:val="7B250516"/>
    <w:rsid w:val="7B493A62"/>
    <w:rsid w:val="7B6E3FBF"/>
    <w:rsid w:val="7B6E5D6D"/>
    <w:rsid w:val="7B9559F0"/>
    <w:rsid w:val="7BAD5E8E"/>
    <w:rsid w:val="7BB11EB4"/>
    <w:rsid w:val="7BB120FE"/>
    <w:rsid w:val="7BF9373B"/>
    <w:rsid w:val="7C057E02"/>
    <w:rsid w:val="7C064A88"/>
    <w:rsid w:val="7C66113B"/>
    <w:rsid w:val="7C6E0C7C"/>
    <w:rsid w:val="7C745605"/>
    <w:rsid w:val="7C961804"/>
    <w:rsid w:val="7CB75DFC"/>
    <w:rsid w:val="7CB9570E"/>
    <w:rsid w:val="7CF14EA8"/>
    <w:rsid w:val="7D2708CA"/>
    <w:rsid w:val="7D781125"/>
    <w:rsid w:val="7D9677FD"/>
    <w:rsid w:val="7DCC7E3B"/>
    <w:rsid w:val="7DD00F61"/>
    <w:rsid w:val="7DD81BC4"/>
    <w:rsid w:val="7DFA5FDE"/>
    <w:rsid w:val="7EB025C7"/>
    <w:rsid w:val="7EB02B41"/>
    <w:rsid w:val="7EE76EDF"/>
    <w:rsid w:val="7EEF5417"/>
    <w:rsid w:val="7F2F7F0A"/>
    <w:rsid w:val="7F470F98"/>
    <w:rsid w:val="7FE72592"/>
    <w:rsid w:val="7FE81C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link w:val="28"/>
    <w:autoRedefine/>
    <w:qFormat/>
    <w:uiPriority w:val="0"/>
    <w:pPr>
      <w:keepNext/>
      <w:keepLines/>
      <w:spacing w:line="240" w:lineRule="auto"/>
      <w:jc w:val="center"/>
      <w:outlineLvl w:val="0"/>
    </w:pPr>
    <w:rPr>
      <w:rFonts w:eastAsia="黑体"/>
      <w:b/>
      <w:bCs/>
      <w:color w:val="000000"/>
      <w:kern w:val="44"/>
      <w:sz w:val="32"/>
      <w:szCs w:val="36"/>
    </w:rPr>
  </w:style>
  <w:style w:type="paragraph" w:styleId="3">
    <w:name w:val="heading 2"/>
    <w:basedOn w:val="1"/>
    <w:next w:val="1"/>
    <w:link w:val="31"/>
    <w:autoRedefine/>
    <w:unhideWhenUsed/>
    <w:qFormat/>
    <w:uiPriority w:val="0"/>
    <w:pPr>
      <w:keepNext/>
      <w:keepLines/>
      <w:spacing w:line="500" w:lineRule="exact"/>
      <w:ind w:firstLine="566" w:firstLineChars="200"/>
      <w:outlineLvl w:val="1"/>
    </w:pPr>
    <w:rPr>
      <w:rFonts w:ascii="Calibri" w:hAnsi="Calibri" w:cs="Calibri"/>
      <w:b/>
      <w:bCs/>
      <w:sz w:val="30"/>
      <w:szCs w:val="32"/>
    </w:rPr>
  </w:style>
  <w:style w:type="paragraph" w:styleId="4">
    <w:name w:val="heading 3"/>
    <w:basedOn w:val="1"/>
    <w:next w:val="1"/>
    <w:autoRedefine/>
    <w:unhideWhenUsed/>
    <w:qFormat/>
    <w:uiPriority w:val="0"/>
    <w:pPr>
      <w:keepNext/>
      <w:keepLines/>
      <w:pBdr>
        <w:top w:val="none" w:color="auto" w:sz="0" w:space="1"/>
        <w:left w:val="none" w:color="auto" w:sz="0" w:space="4"/>
        <w:bottom w:val="none" w:color="auto" w:sz="0" w:space="1"/>
        <w:right w:val="none" w:color="auto" w:sz="0" w:space="4"/>
      </w:pBdr>
      <w:spacing w:line="500" w:lineRule="exact"/>
      <w:ind w:firstLine="566" w:firstLineChars="200"/>
      <w:outlineLvl w:val="2"/>
    </w:pPr>
    <w:rPr>
      <w:b/>
      <w:bCs/>
      <w:sz w:val="30"/>
      <w:szCs w:val="32"/>
    </w:rPr>
  </w:style>
  <w:style w:type="paragraph" w:styleId="5">
    <w:name w:val="heading 4"/>
    <w:basedOn w:val="1"/>
    <w:next w:val="1"/>
    <w:autoRedefine/>
    <w:unhideWhenUsed/>
    <w:qFormat/>
    <w:uiPriority w:val="0"/>
    <w:pPr>
      <w:keepNext/>
      <w:keepLines/>
      <w:spacing w:line="500" w:lineRule="exact"/>
      <w:outlineLvl w:val="3"/>
    </w:pPr>
    <w:rPr>
      <w:rFonts w:ascii="Times New Roman" w:hAnsi="Times New Roman"/>
      <w:b/>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6">
    <w:name w:val="List Number 2"/>
    <w:basedOn w:val="1"/>
    <w:autoRedefine/>
    <w:qFormat/>
    <w:uiPriority w:val="0"/>
    <w:pPr>
      <w:numPr>
        <w:ilvl w:val="0"/>
        <w:numId w:val="1"/>
      </w:numPr>
    </w:pPr>
  </w:style>
  <w:style w:type="paragraph" w:styleId="7">
    <w:name w:val="Normal Indent"/>
    <w:basedOn w:val="1"/>
    <w:next w:val="1"/>
    <w:autoRedefine/>
    <w:qFormat/>
    <w:uiPriority w:val="99"/>
    <w:pPr>
      <w:ind w:firstLine="420"/>
    </w:pPr>
  </w:style>
  <w:style w:type="paragraph" w:styleId="8">
    <w:name w:val="index 6"/>
    <w:basedOn w:val="1"/>
    <w:next w:val="1"/>
    <w:autoRedefine/>
    <w:qFormat/>
    <w:uiPriority w:val="0"/>
    <w:pPr>
      <w:ind w:left="1000" w:leftChars="1000"/>
    </w:pPr>
    <w:rPr>
      <w:rFonts w:ascii="Calibri" w:hAnsi="Calibri" w:eastAsia="宋体" w:cs="Times New Roman"/>
    </w:rPr>
  </w:style>
  <w:style w:type="paragraph" w:styleId="9">
    <w:name w:val="Body Text"/>
    <w:basedOn w:val="1"/>
    <w:next w:val="1"/>
    <w:autoRedefine/>
    <w:qFormat/>
    <w:uiPriority w:val="0"/>
  </w:style>
  <w:style w:type="paragraph" w:styleId="10">
    <w:name w:val="Body Text Indent"/>
    <w:basedOn w:val="1"/>
    <w:autoRedefine/>
    <w:qFormat/>
    <w:uiPriority w:val="0"/>
    <w:pPr>
      <w:ind w:firstLine="830" w:firstLineChars="352"/>
    </w:pPr>
    <w:rPr>
      <w:rFonts w:ascii="仿宋_GB2312" w:eastAsia="仿宋_GB2312"/>
      <w:sz w:val="32"/>
    </w:rPr>
  </w:style>
  <w:style w:type="paragraph" w:styleId="11">
    <w:name w:val="Plain Text"/>
    <w:basedOn w:val="1"/>
    <w:autoRedefine/>
    <w:qFormat/>
    <w:uiPriority w:val="0"/>
    <w:rPr>
      <w:rFonts w:ascii="宋体" w:hAnsi="Courier New" w:cs="Courier New"/>
      <w:szCs w:val="21"/>
    </w:rPr>
  </w:style>
  <w:style w:type="paragraph" w:styleId="12">
    <w:name w:val="footer"/>
    <w:basedOn w:val="1"/>
    <w:autoRedefine/>
    <w:qFormat/>
    <w:uiPriority w:val="99"/>
    <w:pPr>
      <w:widowControl w:val="0"/>
      <w:tabs>
        <w:tab w:val="center" w:pos="4153"/>
        <w:tab w:val="right" w:pos="8306"/>
      </w:tabs>
      <w:snapToGrid w:val="0"/>
      <w:spacing w:line="240" w:lineRule="auto"/>
      <w:jc w:val="left"/>
    </w:pPr>
    <w:rPr>
      <w:rFonts w:ascii="Calibri" w:hAnsi="Calibri" w:eastAsia="宋体" w:cs="Times New Roman"/>
      <w:kern w:val="0"/>
      <w:sz w:val="18"/>
      <w:szCs w:val="20"/>
    </w:rPr>
  </w:style>
  <w:style w:type="paragraph" w:styleId="13">
    <w:name w:val="header"/>
    <w:basedOn w:val="1"/>
    <w:autoRedefine/>
    <w:qFormat/>
    <w:uiPriority w:val="0"/>
    <w:pPr>
      <w:widowControl w:val="0"/>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20"/>
    </w:rPr>
  </w:style>
  <w:style w:type="paragraph" w:styleId="14">
    <w:name w:val="toc 1"/>
    <w:basedOn w:val="1"/>
    <w:next w:val="1"/>
    <w:autoRedefine/>
    <w:qFormat/>
    <w:uiPriority w:val="39"/>
  </w:style>
  <w:style w:type="paragraph" w:styleId="15">
    <w:name w:val="toc 2"/>
    <w:basedOn w:val="1"/>
    <w:next w:val="1"/>
    <w:autoRedefine/>
    <w:unhideWhenUsed/>
    <w:qFormat/>
    <w:uiPriority w:val="39"/>
    <w:pPr>
      <w:ind w:left="420" w:leftChars="200"/>
    </w:pPr>
  </w:style>
  <w:style w:type="paragraph" w:styleId="16">
    <w:name w:val="HTML Preformatted"/>
    <w:autoRedefine/>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eastAsia="宋体" w:cs="宋体"/>
      <w:sz w:val="24"/>
      <w:szCs w:val="24"/>
      <w:lang w:val="en-US" w:eastAsia="zh-CN" w:bidi="ar-SA"/>
    </w:rPr>
  </w:style>
  <w:style w:type="paragraph" w:styleId="17">
    <w:name w:val="Normal (Web)"/>
    <w:basedOn w:val="1"/>
    <w:autoRedefine/>
    <w:qFormat/>
    <w:uiPriority w:val="99"/>
    <w:pPr>
      <w:spacing w:beforeAutospacing="1" w:afterAutospacing="1"/>
      <w:jc w:val="left"/>
    </w:pPr>
    <w:rPr>
      <w:rFonts w:cs="Times New Roman"/>
      <w:kern w:val="0"/>
      <w:sz w:val="24"/>
    </w:rPr>
  </w:style>
  <w:style w:type="paragraph" w:styleId="18">
    <w:name w:val="Body Text First Indent"/>
    <w:basedOn w:val="9"/>
    <w:next w:val="19"/>
    <w:autoRedefine/>
    <w:unhideWhenUsed/>
    <w:qFormat/>
    <w:uiPriority w:val="0"/>
    <w:pPr>
      <w:spacing w:line="240" w:lineRule="auto"/>
      <w:ind w:firstLine="420" w:firstLineChars="100"/>
    </w:pPr>
    <w:rPr>
      <w:rFonts w:ascii="Times New Roman" w:hAnsi="Times New Roman"/>
      <w:sz w:val="18"/>
      <w:szCs w:val="18"/>
    </w:rPr>
  </w:style>
  <w:style w:type="paragraph" w:styleId="19">
    <w:name w:val="Body Text First Indent 2"/>
    <w:basedOn w:val="10"/>
    <w:next w:val="1"/>
    <w:autoRedefine/>
    <w:qFormat/>
    <w:uiPriority w:val="0"/>
    <w:pPr>
      <w:spacing w:line="240" w:lineRule="auto"/>
      <w:ind w:firstLine="420" w:firstLineChars="200"/>
    </w:pPr>
    <w:rPr>
      <w:rFonts w:eastAsia="方正楷体_GB2312"/>
      <w:b/>
      <w:szCs w:val="24"/>
    </w:r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Hyperlink"/>
    <w:autoRedefine/>
    <w:qFormat/>
    <w:uiPriority w:val="99"/>
    <w:rPr>
      <w:color w:val="000000"/>
      <w:sz w:val="18"/>
      <w:szCs w:val="18"/>
      <w:u w:val="none"/>
    </w:rPr>
  </w:style>
  <w:style w:type="paragraph" w:customStyle="1" w:styleId="24">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
    <w:name w:val="正文缩进1"/>
    <w:basedOn w:val="1"/>
    <w:autoRedefine/>
    <w:qFormat/>
    <w:uiPriority w:val="0"/>
    <w:pPr>
      <w:ind w:firstLine="420" w:firstLineChars="200"/>
    </w:pPr>
  </w:style>
  <w:style w:type="paragraph" w:customStyle="1" w:styleId="26">
    <w:name w:val="正文（缩进 2 字符）"/>
    <w:basedOn w:val="1"/>
    <w:autoRedefine/>
    <w:qFormat/>
    <w:uiPriority w:val="0"/>
    <w:pPr>
      <w:ind w:firstLine="200" w:firstLineChars="200"/>
    </w:pPr>
  </w:style>
  <w:style w:type="paragraph" w:customStyle="1" w:styleId="27">
    <w:name w:val="正文（缩进 4 字符）"/>
    <w:basedOn w:val="1"/>
    <w:autoRedefine/>
    <w:qFormat/>
    <w:uiPriority w:val="0"/>
    <w:pPr>
      <w:ind w:firstLine="1134" w:firstLineChars="400"/>
    </w:pPr>
  </w:style>
  <w:style w:type="character" w:customStyle="1" w:styleId="28">
    <w:name w:val="标题 1 Char"/>
    <w:link w:val="2"/>
    <w:autoRedefine/>
    <w:qFormat/>
    <w:uiPriority w:val="9"/>
    <w:rPr>
      <w:rFonts w:eastAsia="黑体"/>
      <w:b/>
      <w:bCs/>
      <w:color w:val="000000"/>
      <w:kern w:val="44"/>
      <w:sz w:val="32"/>
      <w:szCs w:val="36"/>
    </w:rPr>
  </w:style>
  <w:style w:type="paragraph" w:customStyle="1" w:styleId="29">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0">
    <w:name w:val="标题 2（投标文件）"/>
    <w:basedOn w:val="3"/>
    <w:autoRedefine/>
    <w:qFormat/>
    <w:uiPriority w:val="0"/>
    <w:pPr>
      <w:jc w:val="center"/>
    </w:pPr>
  </w:style>
  <w:style w:type="character" w:customStyle="1" w:styleId="31">
    <w:name w:val="标题 2 Char"/>
    <w:link w:val="3"/>
    <w:autoRedefine/>
    <w:qFormat/>
    <w:uiPriority w:val="9"/>
    <w:rPr>
      <w:rFonts w:ascii="Calibri" w:hAnsi="Calibri" w:cs="Calibri"/>
      <w:b/>
      <w:bCs/>
      <w:sz w:val="30"/>
      <w:szCs w:val="32"/>
    </w:rPr>
  </w:style>
  <w:style w:type="paragraph" w:customStyle="1" w:styleId="32">
    <w:name w:val="标题 3（投标文件）"/>
    <w:basedOn w:val="4"/>
    <w:autoRedefine/>
    <w:qFormat/>
    <w:uiPriority w:val="0"/>
    <w:pPr>
      <w:jc w:val="left"/>
    </w:pPr>
  </w:style>
  <w:style w:type="paragraph" w:customStyle="1" w:styleId="33">
    <w:name w:val="正文文本 31"/>
    <w:basedOn w:val="1"/>
    <w:autoRedefine/>
    <w:qFormat/>
    <w:uiPriority w:val="0"/>
    <w:rPr>
      <w:sz w:val="16"/>
      <w:szCs w:val="16"/>
    </w:rPr>
  </w:style>
  <w:style w:type="character" w:customStyle="1" w:styleId="34">
    <w:name w:val="NormalCharacter"/>
    <w:autoRedefine/>
    <w:qFormat/>
    <w:uiPriority w:val="0"/>
    <w:rPr>
      <w:kern w:val="2"/>
      <w:sz w:val="21"/>
      <w:szCs w:val="22"/>
      <w:lang w:val="en-US" w:eastAsia="zh-CN" w:bidi="ar-SA"/>
    </w:rPr>
  </w:style>
  <w:style w:type="character" w:customStyle="1" w:styleId="35">
    <w:name w:val="UserStyle_0"/>
    <w:autoRedefine/>
    <w:semiHidden/>
    <w:qFormat/>
    <w:uiPriority w:val="0"/>
  </w:style>
  <w:style w:type="paragraph" w:customStyle="1" w:styleId="36">
    <w:name w:val="Table Text"/>
    <w:autoRedefine/>
    <w:semiHidden/>
    <w:qFormat/>
    <w:uiPriority w:val="0"/>
    <w:pPr>
      <w:widowControl w:val="0"/>
      <w:suppressAutoHyphens/>
      <w:jc w:val="both"/>
    </w:pPr>
    <w:rPr>
      <w:rFonts w:ascii="宋体" w:hAnsi="宋体" w:eastAsia="宋体" w:cs="宋体"/>
      <w:kern w:val="2"/>
      <w:sz w:val="23"/>
      <w:szCs w:val="23"/>
      <w:lang w:val="en-US" w:eastAsia="en-US" w:bidi="ar-SA"/>
    </w:rPr>
  </w:style>
  <w:style w:type="table" w:customStyle="1" w:styleId="37">
    <w:name w:val="Table Normal"/>
    <w:autoRedefine/>
    <w:qFormat/>
    <w:uiPriority w:val="0"/>
    <w:tblPr>
      <w:tblCellMar>
        <w:top w:w="0" w:type="dxa"/>
        <w:left w:w="0" w:type="dxa"/>
        <w:bottom w:w="0" w:type="dxa"/>
        <w:right w:w="0" w:type="dxa"/>
      </w:tblCellMar>
    </w:tblPr>
  </w:style>
  <w:style w:type="character" w:customStyle="1" w:styleId="38">
    <w:name w:val="15"/>
    <w:basedOn w:val="22"/>
    <w:qFormat/>
    <w:uiPriority w:val="0"/>
    <w:rPr>
      <w:rFonts w:hint="eastAsia" w:ascii="宋体" w:hAnsi="宋体" w:eastAsia="宋体"/>
      <w:color w:val="000000"/>
      <w:sz w:val="22"/>
      <w:szCs w:val="22"/>
    </w:rPr>
  </w:style>
  <w:style w:type="paragraph" w:customStyle="1" w:styleId="39">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72</Pages>
  <Words>7308</Words>
  <Characters>7919</Characters>
  <Lines>247</Lines>
  <Paragraphs>69</Paragraphs>
  <TotalTime>3385</TotalTime>
  <ScaleCrop>false</ScaleCrop>
  <LinksUpToDate>false</LinksUpToDate>
  <CharactersWithSpaces>7992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2026-02-28T02:13:00Z</dcterms:created>
  <dc:creator>aa</dc:creator>
  <cp:lastModifiedBy>ZXH</cp:lastModifiedBy>
  <cp:lastPrinted>2026-07-08T00:21:00Z</cp:lastPrinted>
  <dcterms:modified xsi:type="dcterms:W3CDTF">2026-07-08T08:21:37Z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2AF986F5DAD045D4817A6D0A9296B874_13</vt:lpwstr>
  </property>
  <property fmtid="{D5CDD505-2E9C-101B-9397-08002B2CF9AE}" pid="4" name="KSOTemplateDocerSaveRecord">
    <vt:lpwstr>eyJoZGlkIjoiMzQwNzAwYzJiZDFmYmZmYzlmMTcxYmYzNTJhYjAyNzYiLCJ1c2VySWQiOiIzNjgwODc5MTEifQ==</vt:lpwstr>
  </property>
</Properties>
</file>