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A859DD">
      <w:pPr>
        <w:pStyle w:val="2"/>
        <w:bidi w:val="0"/>
        <w:rPr>
          <w:rFonts w:hint="eastAsia"/>
        </w:rPr>
      </w:pPr>
      <w:r>
        <w:t>采购</w:t>
      </w:r>
      <w:r>
        <w:rPr>
          <w:rFonts w:hint="eastAsia"/>
        </w:rPr>
        <w:t>需</w:t>
      </w:r>
      <w:r>
        <w:t>求</w:t>
      </w:r>
      <w:bookmarkStart w:id="0" w:name="OLE_LINK25"/>
    </w:p>
    <w:bookmarkEnd w:id="0"/>
    <w:p w14:paraId="5783380A">
      <w:pPr>
        <w:keepNext w:val="0"/>
        <w:keepLines w:val="0"/>
        <w:numPr>
          <w:ilvl w:val="0"/>
          <w:numId w:val="0"/>
        </w:numPr>
        <w:jc w:val="center"/>
        <w:rPr>
          <w:rFonts w:hint="eastAsia" w:ascii="宋体" w:hAnsi="宋体" w:eastAsia="宋体" w:cs="宋体"/>
          <w:b/>
          <w:bCs/>
          <w:kern w:val="2"/>
          <w:sz w:val="28"/>
          <w:szCs w:val="28"/>
          <w:highlight w:val="none"/>
        </w:rPr>
      </w:pPr>
      <w:bookmarkStart w:id="1" w:name="_Toc17312"/>
      <w:bookmarkStart w:id="2" w:name="_Toc5112"/>
      <w:bookmarkStart w:id="3" w:name="_Toc2486"/>
      <w:r>
        <w:rPr>
          <w:rFonts w:hint="eastAsia" w:ascii="宋体" w:hAnsi="宋体" w:eastAsia="宋体" w:cs="宋体"/>
          <w:b/>
          <w:bCs/>
          <w:kern w:val="2"/>
          <w:sz w:val="28"/>
          <w:szCs w:val="28"/>
          <w:highlight w:val="none"/>
        </w:rPr>
        <w:t>1</w:t>
      </w:r>
      <w:r>
        <w:rPr>
          <w:rFonts w:hint="eastAsia" w:ascii="宋体" w:hAnsi="宋体" w:eastAsia="宋体" w:cs="宋体"/>
          <w:b/>
          <w:bCs/>
          <w:kern w:val="2"/>
          <w:sz w:val="28"/>
          <w:szCs w:val="28"/>
          <w:highlight w:val="none"/>
          <w:lang w:val="en-US" w:eastAsia="zh-CN"/>
        </w:rPr>
        <w:t>.</w:t>
      </w:r>
      <w:r>
        <w:rPr>
          <w:rFonts w:hint="eastAsia" w:ascii="宋体" w:hAnsi="宋体" w:eastAsia="宋体" w:cs="宋体"/>
          <w:b/>
          <w:bCs/>
          <w:kern w:val="2"/>
          <w:sz w:val="28"/>
          <w:szCs w:val="28"/>
          <w:highlight w:val="none"/>
        </w:rPr>
        <w:t>项目基本情况</w:t>
      </w:r>
      <w:bookmarkEnd w:id="1"/>
    </w:p>
    <w:p w14:paraId="0B243B01">
      <w:pPr>
        <w:pStyle w:val="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1.1物业</w:t>
      </w:r>
      <w:r>
        <w:rPr>
          <w:rFonts w:hint="eastAsia" w:ascii="宋体" w:hAnsi="宋体" w:eastAsia="宋体" w:cs="宋体"/>
          <w:sz w:val="28"/>
          <w:szCs w:val="28"/>
          <w:highlight w:val="none"/>
          <w:lang w:val="en-US" w:eastAsia="zh-CN"/>
        </w:rPr>
        <w:t>情况</w:t>
      </w:r>
    </w:p>
    <w:tbl>
      <w:tblPr>
        <w:tblStyle w:val="7"/>
        <w:tblW w:w="48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2"/>
        <w:gridCol w:w="4361"/>
      </w:tblGrid>
      <w:tr w14:paraId="1716E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23" w:type="dxa"/>
            <w:noWrap w:val="0"/>
            <w:vAlign w:val="center"/>
          </w:tcPr>
          <w:p w14:paraId="1EB27A2F">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物业名称</w:t>
            </w:r>
          </w:p>
        </w:tc>
        <w:tc>
          <w:tcPr>
            <w:tcW w:w="4362" w:type="dxa"/>
            <w:noWrap w:val="0"/>
            <w:vAlign w:val="center"/>
          </w:tcPr>
          <w:p w14:paraId="3F0F47BF">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物业地址</w:t>
            </w:r>
          </w:p>
        </w:tc>
      </w:tr>
      <w:tr w14:paraId="058AF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23" w:type="dxa"/>
            <w:noWrap w:val="0"/>
            <w:vAlign w:val="center"/>
          </w:tcPr>
          <w:p w14:paraId="6BC58573">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神木市永兴街道便民服务中心</w:t>
            </w:r>
          </w:p>
        </w:tc>
        <w:tc>
          <w:tcPr>
            <w:tcW w:w="4362" w:type="dxa"/>
            <w:noWrap w:val="0"/>
            <w:vAlign w:val="center"/>
          </w:tcPr>
          <w:p w14:paraId="2087C338">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神木市滨河东区（泥河村）</w:t>
            </w:r>
          </w:p>
        </w:tc>
      </w:tr>
      <w:tr w14:paraId="33A0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23" w:type="dxa"/>
            <w:noWrap w:val="0"/>
            <w:vAlign w:val="center"/>
          </w:tcPr>
          <w:p w14:paraId="5076CD3E">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神木市永兴街道永兴社区</w:t>
            </w:r>
          </w:p>
        </w:tc>
        <w:tc>
          <w:tcPr>
            <w:tcW w:w="4362" w:type="dxa"/>
            <w:noWrap w:val="0"/>
            <w:vAlign w:val="center"/>
          </w:tcPr>
          <w:p w14:paraId="65F1C7AC">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神木市永兴街道永兴社区</w:t>
            </w:r>
          </w:p>
        </w:tc>
      </w:tr>
    </w:tbl>
    <w:p w14:paraId="213B2055">
      <w:pPr>
        <w:pStyle w:val="4"/>
        <w:ind w:left="0" w:leftChars="0" w:firstLine="0" w:firstLineChars="0"/>
        <w:rPr>
          <w:rFonts w:hint="eastAsia" w:ascii="宋体" w:hAnsi="宋体" w:eastAsia="宋体" w:cs="宋体"/>
          <w:color w:val="auto"/>
          <w:kern w:val="2"/>
          <w:sz w:val="28"/>
          <w:szCs w:val="28"/>
          <w:highlight w:val="none"/>
          <w:u w:val="none"/>
          <w:lang w:val="en-US" w:eastAsia="zh-CN" w:bidi="ar-SA"/>
        </w:rPr>
      </w:pPr>
    </w:p>
    <w:p w14:paraId="09F9B21A">
      <w:pPr>
        <w:pStyle w:val="3"/>
        <w:ind w:firstLine="562" w:firstLineChars="200"/>
        <w:jc w:val="both"/>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1.2采购人提供供应商使用的场地、设施、设备、材料等</w:t>
      </w:r>
    </w:p>
    <w:p w14:paraId="111B8802">
      <w:pPr>
        <w:pageBreakBefore w:val="0"/>
        <w:kinsoku/>
        <w:wordWrap/>
        <w:overflowPunct/>
        <w:topLinePunct w:val="0"/>
        <w:bidi w:val="0"/>
        <w:snapToGrid w:val="0"/>
        <w:spacing w:line="300" w:lineRule="auto"/>
        <w:ind w:firstLine="560" w:firstLineChars="200"/>
        <w:outlineLvl w:val="9"/>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（1）采购人可提供的办公室2间，面积：15平方米（</w:t>
      </w:r>
      <w:r>
        <w:rPr>
          <w:rFonts w:hint="eastAsia" w:ascii="宋体" w:hAnsi="宋体" w:eastAsia="宋体" w:cs="宋体"/>
          <w:sz w:val="28"/>
          <w:szCs w:val="28"/>
          <w:highlight w:val="none"/>
          <w:lang w:val="en-US" w:eastAsia="zh-CN"/>
        </w:rPr>
        <w:t>神木市永兴街道便民服务中心和永兴社区</w:t>
      </w:r>
      <w:r>
        <w:rPr>
          <w:rFonts w:hint="eastAsia" w:ascii="宋体" w:hAnsi="宋体" w:eastAsia="宋体" w:cs="宋体"/>
          <w:color w:val="auto"/>
          <w:kern w:val="2"/>
          <w:sz w:val="28"/>
          <w:szCs w:val="28"/>
          <w:highlight w:val="none"/>
          <w:u w:val="none"/>
          <w:lang w:val="en-US" w:eastAsia="zh-CN" w:bidi="ar-SA"/>
        </w:rPr>
        <w:t>）。</w:t>
      </w:r>
    </w:p>
    <w:p w14:paraId="45401C9E">
      <w:pPr>
        <w:pageBreakBefore w:val="0"/>
        <w:kinsoku/>
        <w:wordWrap/>
        <w:overflowPunct/>
        <w:topLinePunct w:val="0"/>
        <w:bidi w:val="0"/>
        <w:snapToGrid w:val="0"/>
        <w:spacing w:line="300" w:lineRule="auto"/>
        <w:ind w:firstLine="560" w:firstLineChars="200"/>
        <w:outlineLvl w:val="9"/>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（2）采购人可提供的住宿，房间数量：5间、房间内设施情况：沙发、茶几、电视。床位数量：24张；面积：15平方米（神木永兴街道便民服务中心和神木永兴街道永兴社区）。</w:t>
      </w:r>
    </w:p>
    <w:p w14:paraId="35E03D50">
      <w:pPr>
        <w:pStyle w:val="3"/>
        <w:bidi w:val="0"/>
        <w:jc w:val="both"/>
        <w:rPr>
          <w:rFonts w:hint="eastAsia" w:ascii="宋体" w:hAnsi="宋体" w:eastAsia="宋体" w:cs="宋体"/>
          <w:sz w:val="28"/>
          <w:szCs w:val="28"/>
          <w:highlight w:val="none"/>
          <w:lang w:val="en-US" w:eastAsia="zh-CN"/>
        </w:rPr>
      </w:pPr>
    </w:p>
    <w:p w14:paraId="07CC8265">
      <w:pPr>
        <w:pStyle w:val="3"/>
        <w:bidi w:val="0"/>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2.物业服务范围</w:t>
      </w:r>
    </w:p>
    <w:p w14:paraId="466EFD3F">
      <w:pPr>
        <w:pStyle w:val="3"/>
        <w:bidi w:val="0"/>
        <w:ind w:left="0" w:leftChars="0" w:firstLine="0" w:firstLineChars="0"/>
        <w:rPr>
          <w:rFonts w:hint="eastAsia" w:ascii="宋体" w:hAnsi="宋体" w:eastAsia="宋体" w:cs="宋体"/>
          <w:sz w:val="28"/>
          <w:szCs w:val="28"/>
          <w:highlight w:val="none"/>
          <w:lang w:val="en-US" w:eastAsia="zh-CN"/>
        </w:rPr>
      </w:pPr>
      <w:r>
        <w:rPr>
          <w:rFonts w:hint="eastAsia" w:ascii="宋体" w:hAnsi="宋体" w:eastAsia="宋体" w:cs="宋体"/>
          <w:color w:val="000000"/>
          <w:sz w:val="28"/>
          <w:szCs w:val="28"/>
          <w:lang w:eastAsia="zh-CN"/>
        </w:rPr>
        <w:t>本项目包含两个独立服务点位，两点位间通勤车程约40分钟，实行统一物业管理服务及跨点位应急联动支援机制</w:t>
      </w:r>
    </w:p>
    <w:p w14:paraId="6B040FCD">
      <w:pPr>
        <w:pStyle w:val="4"/>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【物业名称1】</w:t>
      </w:r>
    </w:p>
    <w:p w14:paraId="7925A819">
      <w:pPr>
        <w:pStyle w:val="4"/>
        <w:numPr>
          <w:ilvl w:val="0"/>
          <w:numId w:val="1"/>
        </w:numPr>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物业管理（建筑物）</w:t>
      </w:r>
    </w:p>
    <w:p w14:paraId="69A6F4B8">
      <w:pPr>
        <w:numPr>
          <w:ilvl w:val="0"/>
          <w:numId w:val="0"/>
        </w:num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r>
        <w:rPr>
          <w:rFonts w:hint="eastAsia" w:ascii="宋体" w:hAnsi="宋体" w:eastAsia="宋体" w:cs="宋体"/>
          <w:sz w:val="28"/>
          <w:szCs w:val="28"/>
          <w:highlight w:val="none"/>
          <w:lang w:val="en-US" w:eastAsia="zh-CN"/>
        </w:rPr>
        <w:t>神木市永兴街道便民服务中心</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7"/>
        <w:gridCol w:w="2450"/>
      </w:tblGrid>
      <w:tr w14:paraId="2F5DC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77598E05">
            <w:pPr>
              <w:pageBreakBefore w:val="0"/>
              <w:kinsoku/>
              <w:wordWrap/>
              <w:overflowPunct/>
              <w:topLinePunct w:val="0"/>
              <w:bidi w:val="0"/>
              <w:snapToGrid w:val="0"/>
              <w:spacing w:line="300" w:lineRule="auto"/>
              <w:jc w:val="center"/>
              <w:rPr>
                <w:rFonts w:hint="eastAsia" w:ascii="宋体" w:hAnsi="宋体" w:eastAsia="宋体" w:cs="宋体"/>
                <w:b/>
                <w:bCs/>
                <w:color w:val="auto"/>
                <w:sz w:val="28"/>
                <w:szCs w:val="28"/>
                <w:highlight w:val="none"/>
              </w:rPr>
            </w:pPr>
            <w:r>
              <w:rPr>
                <w:rFonts w:hint="eastAsia" w:ascii="宋体" w:hAnsi="宋体" w:eastAsia="宋体" w:cs="宋体"/>
                <w:b/>
                <w:bCs/>
                <w:sz w:val="28"/>
                <w:szCs w:val="28"/>
                <w:highlight w:val="none"/>
                <w:lang w:val="en-US" w:eastAsia="zh-CN"/>
              </w:rPr>
              <w:t>名称</w:t>
            </w:r>
          </w:p>
        </w:tc>
        <w:tc>
          <w:tcPr>
            <w:tcW w:w="6761" w:type="dxa"/>
            <w:noWrap w:val="0"/>
            <w:vAlign w:val="center"/>
          </w:tcPr>
          <w:p w14:paraId="44ADD1AB">
            <w:pPr>
              <w:pageBreakBefore w:val="0"/>
              <w:kinsoku/>
              <w:wordWrap/>
              <w:overflowPunct/>
              <w:topLinePunct w:val="0"/>
              <w:bidi w:val="0"/>
              <w:snapToGrid w:val="0"/>
              <w:spacing w:line="30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sz w:val="28"/>
                <w:szCs w:val="28"/>
                <w:highlight w:val="none"/>
              </w:rPr>
              <w:t>明细</w:t>
            </w:r>
          </w:p>
        </w:tc>
        <w:tc>
          <w:tcPr>
            <w:tcW w:w="4186" w:type="dxa"/>
            <w:noWrap w:val="0"/>
            <w:vAlign w:val="center"/>
          </w:tcPr>
          <w:p w14:paraId="5786973E">
            <w:pPr>
              <w:pageBreakBefore w:val="0"/>
              <w:kinsoku/>
              <w:wordWrap/>
              <w:overflowPunct/>
              <w:topLinePunct w:val="0"/>
              <w:bidi w:val="0"/>
              <w:snapToGrid w:val="0"/>
              <w:spacing w:line="300" w:lineRule="auto"/>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服务内容及标准</w:t>
            </w:r>
          </w:p>
        </w:tc>
      </w:tr>
      <w:tr w14:paraId="5B77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324C3FB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建筑1名称</w:t>
            </w:r>
          </w:p>
        </w:tc>
        <w:tc>
          <w:tcPr>
            <w:tcW w:w="6761" w:type="dxa"/>
            <w:noWrap w:val="0"/>
            <w:vAlign w:val="center"/>
          </w:tcPr>
          <w:p w14:paraId="1AE02FB5">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神木市永兴街道便民服务中心</w:t>
            </w:r>
          </w:p>
        </w:tc>
        <w:tc>
          <w:tcPr>
            <w:tcW w:w="4186" w:type="dxa"/>
            <w:noWrap w:val="0"/>
            <w:vAlign w:val="center"/>
          </w:tcPr>
          <w:p w14:paraId="3FF70123">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p>
        </w:tc>
      </w:tr>
      <w:tr w14:paraId="3748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11B62655">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总面积</w:t>
            </w:r>
          </w:p>
        </w:tc>
        <w:tc>
          <w:tcPr>
            <w:tcW w:w="2440" w:type="dxa"/>
            <w:noWrap w:val="0"/>
            <w:vAlign w:val="center"/>
          </w:tcPr>
          <w:p w14:paraId="4A5BFDF8">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建筑面积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1DAD712A">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19171.29平方米、</w:t>
            </w:r>
          </w:p>
        </w:tc>
        <w:tc>
          <w:tcPr>
            <w:tcW w:w="4186" w:type="dxa"/>
            <w:noWrap w:val="0"/>
            <w:vAlign w:val="center"/>
          </w:tcPr>
          <w:p w14:paraId="684E231B">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36918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56E8D8EA">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40C51B2A">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需保洁面积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2B4A13D4">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19171.29平方米、</w:t>
            </w:r>
          </w:p>
        </w:tc>
        <w:tc>
          <w:tcPr>
            <w:tcW w:w="4186" w:type="dxa"/>
            <w:noWrap w:val="0"/>
            <w:vAlign w:val="center"/>
          </w:tcPr>
          <w:p w14:paraId="5C8AAA42">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见“3.4保洁服务”</w:t>
            </w:r>
          </w:p>
        </w:tc>
      </w:tr>
      <w:tr w14:paraId="5EFF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7DF90A28">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门窗</w:t>
            </w:r>
          </w:p>
        </w:tc>
        <w:tc>
          <w:tcPr>
            <w:tcW w:w="2440" w:type="dxa"/>
            <w:noWrap w:val="0"/>
            <w:vAlign w:val="center"/>
          </w:tcPr>
          <w:p w14:paraId="5DA7634C">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门窗总数量（个）及总面积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1ED904A5">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门：136个、窗：60个。面积：6920.11平方米</w:t>
            </w:r>
          </w:p>
        </w:tc>
        <w:tc>
          <w:tcPr>
            <w:tcW w:w="4186" w:type="dxa"/>
            <w:noWrap w:val="0"/>
            <w:vAlign w:val="center"/>
          </w:tcPr>
          <w:p w14:paraId="306C1F7A">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7AE9E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7FFDD46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地面</w:t>
            </w:r>
          </w:p>
        </w:tc>
        <w:tc>
          <w:tcPr>
            <w:tcW w:w="2440" w:type="dxa"/>
            <w:noWrap w:val="0"/>
            <w:vAlign w:val="center"/>
          </w:tcPr>
          <w:p w14:paraId="4A677715">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地面</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6014FACD">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瓷砖总面积：12800.01平方米</w:t>
            </w:r>
          </w:p>
        </w:tc>
        <w:tc>
          <w:tcPr>
            <w:tcW w:w="4186" w:type="dxa"/>
            <w:noWrap w:val="0"/>
            <w:vAlign w:val="center"/>
          </w:tcPr>
          <w:p w14:paraId="13351A1E">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5193E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57ED7B96">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rPr>
              <w:t>内墙饰面</w:t>
            </w:r>
          </w:p>
        </w:tc>
        <w:tc>
          <w:tcPr>
            <w:tcW w:w="2440" w:type="dxa"/>
            <w:noWrap w:val="0"/>
            <w:vAlign w:val="center"/>
          </w:tcPr>
          <w:p w14:paraId="375D9033">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b w:val="0"/>
                <w:bCs w:val="0"/>
                <w:sz w:val="28"/>
                <w:szCs w:val="28"/>
                <w:highlight w:val="none"/>
                <w:lang w:val="en-US" w:eastAsia="zh-CN"/>
              </w:rPr>
              <w:t>内墙饰面</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5B95FEAE">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vertAlign w:val="baseline"/>
                <w:lang w:val="en-US" w:eastAsia="zh-CN"/>
              </w:rPr>
              <w:t>内墙饰面乳胶漆总面积：57513平方米</w:t>
            </w:r>
          </w:p>
        </w:tc>
        <w:tc>
          <w:tcPr>
            <w:tcW w:w="4186" w:type="dxa"/>
            <w:noWrap w:val="0"/>
            <w:vAlign w:val="center"/>
          </w:tcPr>
          <w:p w14:paraId="0C2352E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0C2F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4C4A0738">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顶面</w:t>
            </w:r>
          </w:p>
        </w:tc>
        <w:tc>
          <w:tcPr>
            <w:tcW w:w="2440" w:type="dxa"/>
            <w:noWrap w:val="0"/>
            <w:vAlign w:val="center"/>
          </w:tcPr>
          <w:p w14:paraId="042F199C">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顶面各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3549EF06">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格栅总面积：1128平方米</w:t>
            </w:r>
          </w:p>
        </w:tc>
        <w:tc>
          <w:tcPr>
            <w:tcW w:w="4186" w:type="dxa"/>
            <w:noWrap w:val="0"/>
            <w:vAlign w:val="center"/>
          </w:tcPr>
          <w:p w14:paraId="30FC410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1B43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66297906">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外墙</w:t>
            </w:r>
          </w:p>
        </w:tc>
        <w:tc>
          <w:tcPr>
            <w:tcW w:w="2440" w:type="dxa"/>
            <w:noWrap w:val="0"/>
            <w:vAlign w:val="center"/>
          </w:tcPr>
          <w:p w14:paraId="3F412F7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eastAsia="zh-CN"/>
              </w:rPr>
            </w:pPr>
            <w:r>
              <w:rPr>
                <w:rFonts w:hint="eastAsia" w:ascii="宋体" w:hAnsi="宋体" w:eastAsia="宋体" w:cs="宋体"/>
                <w:sz w:val="28"/>
                <w:szCs w:val="28"/>
                <w:highlight w:val="none"/>
              </w:rPr>
              <w:t>外墙</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52CAAABA">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rPr>
            </w:pPr>
            <w:r>
              <w:rPr>
                <w:rFonts w:hint="eastAsia" w:ascii="宋体" w:hAnsi="宋体" w:eastAsia="宋体" w:cs="宋体"/>
                <w:sz w:val="28"/>
                <w:szCs w:val="28"/>
                <w:highlight w:val="none"/>
                <w:vertAlign w:val="baseline"/>
                <w:lang w:val="en-US" w:eastAsia="zh-CN"/>
              </w:rPr>
              <w:t>外墙涂料（普通涂料、弹性涂料等）总面积：11355.08平方米</w:t>
            </w:r>
          </w:p>
        </w:tc>
        <w:tc>
          <w:tcPr>
            <w:tcW w:w="4186" w:type="dxa"/>
            <w:noWrap w:val="0"/>
            <w:vAlign w:val="center"/>
          </w:tcPr>
          <w:p w14:paraId="514A591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07481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6903CB6E">
            <w:pPr>
              <w:pageBreakBefore w:val="0"/>
              <w:kinsoku/>
              <w:wordWrap/>
              <w:overflowPunct/>
              <w:topLinePunct w:val="0"/>
              <w:bidi w:val="0"/>
              <w:snapToGrid w:val="0"/>
              <w:spacing w:line="300" w:lineRule="auto"/>
              <w:rPr>
                <w:rFonts w:hint="eastAsia" w:ascii="宋体" w:hAnsi="宋体" w:eastAsia="宋体" w:cs="宋体"/>
                <w:sz w:val="28"/>
                <w:szCs w:val="28"/>
                <w:highlight w:val="none"/>
              </w:rPr>
            </w:pPr>
          </w:p>
        </w:tc>
        <w:tc>
          <w:tcPr>
            <w:tcW w:w="2440" w:type="dxa"/>
            <w:noWrap w:val="0"/>
            <w:vAlign w:val="center"/>
          </w:tcPr>
          <w:p w14:paraId="071631F5">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外墙</w:t>
            </w:r>
            <w:r>
              <w:rPr>
                <w:rFonts w:hint="eastAsia" w:ascii="宋体" w:hAnsi="宋体" w:eastAsia="宋体" w:cs="宋体"/>
                <w:sz w:val="28"/>
                <w:szCs w:val="28"/>
                <w:highlight w:val="none"/>
              </w:rPr>
              <w:t>需</w:t>
            </w:r>
            <w:r>
              <w:rPr>
                <w:rFonts w:hint="eastAsia" w:ascii="宋体" w:hAnsi="宋体" w:eastAsia="宋体" w:cs="宋体"/>
                <w:sz w:val="28"/>
                <w:szCs w:val="28"/>
                <w:highlight w:val="none"/>
                <w:lang w:val="en-US" w:eastAsia="zh-CN"/>
              </w:rPr>
              <w:t>清洗面积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2829AD62">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vertAlign w:val="baseline"/>
                <w:lang w:val="en-US" w:eastAsia="zh-CN"/>
              </w:rPr>
              <w:t>1522.1平方米</w:t>
            </w:r>
          </w:p>
        </w:tc>
        <w:tc>
          <w:tcPr>
            <w:tcW w:w="4186" w:type="dxa"/>
            <w:noWrap w:val="0"/>
            <w:vAlign w:val="center"/>
          </w:tcPr>
          <w:p w14:paraId="3735EAA1">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19E2D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2BA318D8">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会议室</w:t>
            </w:r>
          </w:p>
        </w:tc>
        <w:tc>
          <w:tcPr>
            <w:tcW w:w="2440" w:type="dxa"/>
            <w:noWrap w:val="0"/>
            <w:vAlign w:val="center"/>
          </w:tcPr>
          <w:p w14:paraId="44C26378">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室内</w:t>
            </w:r>
            <w:r>
              <w:rPr>
                <w:rFonts w:hint="eastAsia" w:ascii="宋体" w:hAnsi="宋体" w:eastAsia="宋体" w:cs="宋体"/>
                <w:sz w:val="28"/>
                <w:szCs w:val="28"/>
                <w:highlight w:val="none"/>
              </w:rPr>
              <w:t>设施</w:t>
            </w:r>
            <w:r>
              <w:rPr>
                <w:rFonts w:hint="eastAsia" w:ascii="宋体" w:hAnsi="宋体" w:eastAsia="宋体" w:cs="宋体"/>
                <w:sz w:val="28"/>
                <w:szCs w:val="28"/>
                <w:highlight w:val="none"/>
                <w:lang w:val="en-US" w:eastAsia="zh-CN"/>
              </w:rPr>
              <w:t>说明</w:t>
            </w:r>
          </w:p>
        </w:tc>
        <w:tc>
          <w:tcPr>
            <w:tcW w:w="6761" w:type="dxa"/>
            <w:noWrap w:val="0"/>
            <w:vAlign w:val="center"/>
          </w:tcPr>
          <w:p w14:paraId="63EA19C7">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会议桌7个、会议椅105个、投影机7个、话筒14个</w:t>
            </w:r>
          </w:p>
        </w:tc>
        <w:tc>
          <w:tcPr>
            <w:tcW w:w="4186" w:type="dxa"/>
            <w:noWrap w:val="0"/>
            <w:vAlign w:val="center"/>
          </w:tcPr>
          <w:p w14:paraId="68C4B2E1">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见“3.2房屋维护服务”“3.4保洁服务”“3.7会议服务”</w:t>
            </w:r>
          </w:p>
        </w:tc>
      </w:tr>
      <w:tr w14:paraId="4B25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0E426A39">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6FE0A71E">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会议室数量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1D484D39">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rPr>
            </w:pPr>
            <w:r>
              <w:rPr>
                <w:rFonts w:hint="eastAsia" w:ascii="宋体" w:hAnsi="宋体" w:eastAsia="宋体" w:cs="宋体"/>
                <w:sz w:val="28"/>
                <w:szCs w:val="28"/>
                <w:highlight w:val="none"/>
                <w:vertAlign w:val="baseline"/>
                <w:lang w:val="en-US" w:eastAsia="zh-CN"/>
              </w:rPr>
              <w:t>会议室7个。1265.18平方米</w:t>
            </w:r>
          </w:p>
        </w:tc>
        <w:tc>
          <w:tcPr>
            <w:tcW w:w="4186" w:type="dxa"/>
            <w:noWrap w:val="0"/>
            <w:vAlign w:val="center"/>
          </w:tcPr>
          <w:p w14:paraId="683F88B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402CE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22DEA86E">
            <w:pPr>
              <w:pageBreakBefore w:val="0"/>
              <w:kinsoku/>
              <w:wordWrap/>
              <w:overflowPunct/>
              <w:topLinePunct w:val="0"/>
              <w:bidi w:val="0"/>
              <w:snapToGrid w:val="0"/>
              <w:spacing w:line="300" w:lineRule="auto"/>
              <w:ind w:left="0" w:firstLine="0" w:firstLineChars="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报告厅</w:t>
            </w:r>
          </w:p>
        </w:tc>
        <w:tc>
          <w:tcPr>
            <w:tcW w:w="2440" w:type="dxa"/>
            <w:noWrap w:val="0"/>
            <w:vAlign w:val="center"/>
          </w:tcPr>
          <w:p w14:paraId="6E8B40BD">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室内</w:t>
            </w:r>
            <w:r>
              <w:rPr>
                <w:rFonts w:hint="eastAsia" w:ascii="宋体" w:hAnsi="宋体" w:eastAsia="宋体" w:cs="宋体"/>
                <w:sz w:val="28"/>
                <w:szCs w:val="28"/>
                <w:highlight w:val="none"/>
              </w:rPr>
              <w:t>设施</w:t>
            </w:r>
            <w:r>
              <w:rPr>
                <w:rFonts w:hint="eastAsia" w:ascii="宋体" w:hAnsi="宋体" w:eastAsia="宋体" w:cs="宋体"/>
                <w:sz w:val="28"/>
                <w:szCs w:val="28"/>
                <w:highlight w:val="none"/>
                <w:lang w:val="en-US" w:eastAsia="zh-CN"/>
              </w:rPr>
              <w:t>说明</w:t>
            </w:r>
          </w:p>
        </w:tc>
        <w:tc>
          <w:tcPr>
            <w:tcW w:w="6761" w:type="dxa"/>
            <w:noWrap w:val="0"/>
            <w:vAlign w:val="center"/>
          </w:tcPr>
          <w:p w14:paraId="28D2DF00">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会议桌1个、会议椅300个、投影机1个、话筒2个</w:t>
            </w:r>
          </w:p>
          <w:p w14:paraId="2EAD1F73">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p>
        </w:tc>
        <w:tc>
          <w:tcPr>
            <w:tcW w:w="4186" w:type="dxa"/>
            <w:noWrap w:val="0"/>
            <w:vAlign w:val="center"/>
          </w:tcPr>
          <w:p w14:paraId="0FC21FE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2576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34ED3B8">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0814BF5E">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报告厅数量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16621853">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vertAlign w:val="baseline"/>
                <w:lang w:val="en-US" w:eastAsia="zh-CN"/>
              </w:rPr>
              <w:t>报告厅1个564平方米</w:t>
            </w:r>
          </w:p>
        </w:tc>
        <w:tc>
          <w:tcPr>
            <w:tcW w:w="4186" w:type="dxa"/>
            <w:noWrap w:val="0"/>
            <w:vAlign w:val="center"/>
          </w:tcPr>
          <w:p w14:paraId="3101F4BB">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23F2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0CEA35CC">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卫生间</w:t>
            </w:r>
          </w:p>
        </w:tc>
        <w:tc>
          <w:tcPr>
            <w:tcW w:w="2440" w:type="dxa"/>
            <w:noWrap w:val="0"/>
            <w:vAlign w:val="center"/>
          </w:tcPr>
          <w:p w14:paraId="520BDA2A">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卫生间</w:t>
            </w:r>
            <w:r>
              <w:rPr>
                <w:rFonts w:hint="eastAsia" w:ascii="宋体" w:hAnsi="宋体" w:eastAsia="宋体" w:cs="宋体"/>
                <w:color w:val="auto"/>
                <w:sz w:val="28"/>
                <w:szCs w:val="28"/>
                <w:highlight w:val="none"/>
                <w:lang w:val="en-US" w:eastAsia="zh-CN"/>
              </w:rPr>
              <w:t>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10F70A0F">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vertAlign w:val="baseline"/>
                <w:lang w:val="en-US" w:eastAsia="zh-CN"/>
              </w:rPr>
              <w:t>33个，1235平方米</w:t>
            </w:r>
          </w:p>
        </w:tc>
        <w:tc>
          <w:tcPr>
            <w:tcW w:w="4186" w:type="dxa"/>
            <w:noWrap w:val="0"/>
            <w:vAlign w:val="center"/>
          </w:tcPr>
          <w:p w14:paraId="10323056">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7BC21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0A2F71C7">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垃圾存放点</w:t>
            </w:r>
          </w:p>
        </w:tc>
        <w:tc>
          <w:tcPr>
            <w:tcW w:w="2440" w:type="dxa"/>
            <w:noWrap w:val="0"/>
            <w:vAlign w:val="center"/>
          </w:tcPr>
          <w:p w14:paraId="31F785F7">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各垃圾存放点位置、</w:t>
            </w:r>
            <w:r>
              <w:rPr>
                <w:rFonts w:hint="eastAsia" w:ascii="宋体" w:hAnsi="宋体" w:eastAsia="宋体" w:cs="宋体"/>
                <w:sz w:val="28"/>
                <w:szCs w:val="28"/>
                <w:highlight w:val="none"/>
              </w:rPr>
              <w:t>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及数量（个）</w:t>
            </w:r>
          </w:p>
        </w:tc>
        <w:tc>
          <w:tcPr>
            <w:tcW w:w="6761" w:type="dxa"/>
            <w:noWrap w:val="0"/>
            <w:vAlign w:val="center"/>
          </w:tcPr>
          <w:p w14:paraId="471D0647">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vertAlign w:val="baseline"/>
                <w:lang w:val="en-US" w:eastAsia="zh-CN"/>
              </w:rPr>
              <w:t>室外存放点1个、50平方米</w:t>
            </w:r>
          </w:p>
        </w:tc>
        <w:tc>
          <w:tcPr>
            <w:tcW w:w="4186" w:type="dxa"/>
            <w:noWrap w:val="0"/>
            <w:vAlign w:val="center"/>
          </w:tcPr>
          <w:p w14:paraId="590B0D0E">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390B1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3D539F0E">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rPr>
              <w:t>车位数</w:t>
            </w:r>
          </w:p>
        </w:tc>
        <w:tc>
          <w:tcPr>
            <w:tcW w:w="2440" w:type="dxa"/>
            <w:noWrap w:val="0"/>
            <w:vAlign w:val="center"/>
          </w:tcPr>
          <w:p w14:paraId="39666C56">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地下车位数</w:t>
            </w:r>
          </w:p>
        </w:tc>
        <w:tc>
          <w:tcPr>
            <w:tcW w:w="6761" w:type="dxa"/>
            <w:noWrap w:val="0"/>
            <w:vAlign w:val="center"/>
          </w:tcPr>
          <w:p w14:paraId="376B077E">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143个</w:t>
            </w:r>
          </w:p>
        </w:tc>
        <w:tc>
          <w:tcPr>
            <w:tcW w:w="4186" w:type="dxa"/>
            <w:noWrap w:val="0"/>
            <w:vAlign w:val="center"/>
          </w:tcPr>
          <w:p w14:paraId="67ED56EF">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49B02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085B21B7">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p>
        </w:tc>
        <w:tc>
          <w:tcPr>
            <w:tcW w:w="2440" w:type="dxa"/>
            <w:noWrap w:val="0"/>
            <w:vAlign w:val="center"/>
          </w:tcPr>
          <w:p w14:paraId="36627C88">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地面车位数</w:t>
            </w:r>
          </w:p>
        </w:tc>
        <w:tc>
          <w:tcPr>
            <w:tcW w:w="6761" w:type="dxa"/>
            <w:noWrap w:val="0"/>
            <w:vAlign w:val="center"/>
          </w:tcPr>
          <w:p w14:paraId="4DA755AC">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43个</w:t>
            </w:r>
          </w:p>
        </w:tc>
        <w:tc>
          <w:tcPr>
            <w:tcW w:w="4186" w:type="dxa"/>
            <w:noWrap w:val="0"/>
            <w:vAlign w:val="center"/>
          </w:tcPr>
          <w:p w14:paraId="445C6A5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1D4F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178A5FE5">
            <w:pPr>
              <w:pageBreakBefore w:val="0"/>
              <w:kinsoku/>
              <w:wordWrap/>
              <w:overflowPunct/>
              <w:topLinePunct w:val="0"/>
              <w:bidi w:val="0"/>
              <w:snapToGrid w:val="0"/>
              <w:spacing w:line="300" w:lineRule="auto"/>
              <w:ind w:left="0" w:firstLine="0" w:firstLineChars="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车行/人行口</w:t>
            </w:r>
          </w:p>
        </w:tc>
        <w:tc>
          <w:tcPr>
            <w:tcW w:w="2440" w:type="dxa"/>
            <w:noWrap w:val="0"/>
            <w:vAlign w:val="center"/>
          </w:tcPr>
          <w:p w14:paraId="4EFCF26C">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车行口</w:t>
            </w:r>
          </w:p>
        </w:tc>
        <w:tc>
          <w:tcPr>
            <w:tcW w:w="6761" w:type="dxa"/>
            <w:noWrap w:val="0"/>
            <w:vAlign w:val="center"/>
          </w:tcPr>
          <w:p w14:paraId="63FA6273">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2个</w:t>
            </w:r>
          </w:p>
        </w:tc>
        <w:tc>
          <w:tcPr>
            <w:tcW w:w="4186" w:type="dxa"/>
            <w:noWrap w:val="0"/>
            <w:vAlign w:val="center"/>
          </w:tcPr>
          <w:p w14:paraId="449C848D">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1961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45E2809D">
            <w:pPr>
              <w:pageBreakBefore w:val="0"/>
              <w:kinsoku/>
              <w:wordWrap/>
              <w:overflowPunct/>
              <w:topLinePunct w:val="0"/>
              <w:bidi w:val="0"/>
              <w:snapToGrid w:val="0"/>
              <w:spacing w:line="300" w:lineRule="auto"/>
              <w:ind w:left="0" w:firstLine="0" w:firstLineChars="0"/>
              <w:jc w:val="both"/>
              <w:rPr>
                <w:rFonts w:hint="eastAsia" w:ascii="宋体" w:hAnsi="宋体" w:eastAsia="宋体" w:cs="宋体"/>
                <w:sz w:val="28"/>
                <w:szCs w:val="28"/>
                <w:highlight w:val="none"/>
                <w:lang w:val="en-US" w:eastAsia="zh-CN"/>
              </w:rPr>
            </w:pPr>
          </w:p>
        </w:tc>
        <w:tc>
          <w:tcPr>
            <w:tcW w:w="2440" w:type="dxa"/>
            <w:noWrap w:val="0"/>
            <w:vAlign w:val="center"/>
          </w:tcPr>
          <w:p w14:paraId="165DEA54">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人行口</w:t>
            </w:r>
          </w:p>
        </w:tc>
        <w:tc>
          <w:tcPr>
            <w:tcW w:w="6761" w:type="dxa"/>
            <w:noWrap w:val="0"/>
            <w:vAlign w:val="center"/>
          </w:tcPr>
          <w:p w14:paraId="23BF3538">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5个</w:t>
            </w:r>
          </w:p>
        </w:tc>
        <w:tc>
          <w:tcPr>
            <w:tcW w:w="4186" w:type="dxa"/>
            <w:noWrap w:val="0"/>
            <w:vAlign w:val="center"/>
          </w:tcPr>
          <w:p w14:paraId="0C5B5786">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2D95A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3595C07B">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0941946E">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空调</w:t>
            </w:r>
            <w:r>
              <w:rPr>
                <w:rFonts w:hint="eastAsia" w:ascii="宋体" w:hAnsi="宋体" w:eastAsia="宋体" w:cs="宋体"/>
                <w:sz w:val="28"/>
                <w:szCs w:val="28"/>
                <w:highlight w:val="none"/>
                <w:lang w:val="en-US" w:eastAsia="zh-CN"/>
              </w:rPr>
              <w:t>系统</w:t>
            </w:r>
          </w:p>
        </w:tc>
        <w:tc>
          <w:tcPr>
            <w:tcW w:w="6761" w:type="dxa"/>
            <w:noWrap w:val="0"/>
            <w:vAlign w:val="center"/>
          </w:tcPr>
          <w:p w14:paraId="672E93F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空气源空调系统、水冷空调系统</w:t>
            </w:r>
          </w:p>
          <w:p w14:paraId="3110BB40">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中央空调总功率520千瓦、暗仓式吊顶安装</w:t>
            </w:r>
          </w:p>
        </w:tc>
        <w:tc>
          <w:tcPr>
            <w:tcW w:w="4186" w:type="dxa"/>
            <w:noWrap w:val="0"/>
            <w:vAlign w:val="center"/>
          </w:tcPr>
          <w:p w14:paraId="3DE509A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1B49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D79C89F">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54B516B8">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采暖</w:t>
            </w:r>
            <w:r>
              <w:rPr>
                <w:rFonts w:hint="eastAsia" w:ascii="宋体" w:hAnsi="宋体" w:eastAsia="宋体" w:cs="宋体"/>
                <w:sz w:val="28"/>
                <w:szCs w:val="28"/>
                <w:highlight w:val="none"/>
                <w:lang w:val="en-US" w:eastAsia="zh-CN"/>
              </w:rPr>
              <w:t>系统</w:t>
            </w:r>
          </w:p>
        </w:tc>
        <w:tc>
          <w:tcPr>
            <w:tcW w:w="6761" w:type="dxa"/>
            <w:noWrap w:val="0"/>
            <w:vAlign w:val="center"/>
          </w:tcPr>
          <w:p w14:paraId="7F39E25C">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城市集中供热供暖</w:t>
            </w:r>
          </w:p>
        </w:tc>
        <w:tc>
          <w:tcPr>
            <w:tcW w:w="4186" w:type="dxa"/>
            <w:noWrap w:val="0"/>
            <w:vAlign w:val="center"/>
          </w:tcPr>
          <w:p w14:paraId="23CBD96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3AE0A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73" w:type="dxa"/>
            <w:vMerge w:val="continue"/>
            <w:noWrap w:val="0"/>
            <w:vAlign w:val="center"/>
          </w:tcPr>
          <w:p w14:paraId="2B8C7DE0">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6BD23CFB">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给排水</w:t>
            </w:r>
            <w:r>
              <w:rPr>
                <w:rFonts w:hint="eastAsia" w:ascii="宋体" w:hAnsi="宋体" w:eastAsia="宋体" w:cs="宋体"/>
                <w:sz w:val="28"/>
                <w:szCs w:val="28"/>
                <w:highlight w:val="none"/>
                <w:lang w:val="en-US" w:eastAsia="zh-CN"/>
              </w:rPr>
              <w:t>系统</w:t>
            </w:r>
          </w:p>
        </w:tc>
        <w:tc>
          <w:tcPr>
            <w:tcW w:w="6761" w:type="dxa"/>
            <w:noWrap w:val="0"/>
            <w:vAlign w:val="center"/>
          </w:tcPr>
          <w:p w14:paraId="620C86DB">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地下化粪池1个</w:t>
            </w:r>
          </w:p>
        </w:tc>
        <w:tc>
          <w:tcPr>
            <w:tcW w:w="4186" w:type="dxa"/>
            <w:noWrap w:val="0"/>
            <w:vAlign w:val="center"/>
          </w:tcPr>
          <w:p w14:paraId="2C4B526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19544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63505454">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2D8DB724">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消防</w:t>
            </w:r>
            <w:r>
              <w:rPr>
                <w:rFonts w:hint="eastAsia" w:ascii="宋体" w:hAnsi="宋体" w:eastAsia="宋体" w:cs="宋体"/>
                <w:sz w:val="28"/>
                <w:szCs w:val="28"/>
                <w:highlight w:val="none"/>
                <w:lang w:val="en-US" w:eastAsia="zh-CN"/>
              </w:rPr>
              <w:t>系统</w:t>
            </w:r>
          </w:p>
        </w:tc>
        <w:tc>
          <w:tcPr>
            <w:tcW w:w="6761" w:type="dxa"/>
            <w:noWrap w:val="0"/>
            <w:vAlign w:val="center"/>
          </w:tcPr>
          <w:p w14:paraId="6CCA8878">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消防水泵6台、水泵控制柜3台、稳压水泵3套、稳压水泵控制柜3台</w:t>
            </w:r>
          </w:p>
        </w:tc>
        <w:tc>
          <w:tcPr>
            <w:tcW w:w="4186" w:type="dxa"/>
            <w:noWrap w:val="0"/>
            <w:vAlign w:val="center"/>
          </w:tcPr>
          <w:p w14:paraId="09E269F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295E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4D315602">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4CA4E9AD">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安防系统</w:t>
            </w:r>
          </w:p>
        </w:tc>
        <w:tc>
          <w:tcPr>
            <w:tcW w:w="6761" w:type="dxa"/>
            <w:noWrap w:val="0"/>
            <w:vAlign w:val="center"/>
          </w:tcPr>
          <w:p w14:paraId="5BAFD5F9">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监控系统一套、监控摄像头76个、门禁4个、</w:t>
            </w:r>
          </w:p>
        </w:tc>
        <w:tc>
          <w:tcPr>
            <w:tcW w:w="4186" w:type="dxa"/>
            <w:noWrap w:val="0"/>
            <w:vAlign w:val="center"/>
          </w:tcPr>
          <w:p w14:paraId="5F0AF3E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63E2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55E15963">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0379E9D0">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照明系统</w:t>
            </w:r>
          </w:p>
        </w:tc>
        <w:tc>
          <w:tcPr>
            <w:tcW w:w="6761" w:type="dxa"/>
            <w:noWrap w:val="0"/>
            <w:vAlign w:val="center"/>
          </w:tcPr>
          <w:p w14:paraId="375E637A">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照明灯459个配电箱13</w:t>
            </w:r>
          </w:p>
        </w:tc>
        <w:tc>
          <w:tcPr>
            <w:tcW w:w="4186" w:type="dxa"/>
            <w:noWrap w:val="0"/>
            <w:vAlign w:val="center"/>
          </w:tcPr>
          <w:p w14:paraId="1D2B954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69C2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3" w:type="dxa"/>
            <w:vMerge w:val="continue"/>
            <w:noWrap w:val="0"/>
            <w:vAlign w:val="center"/>
          </w:tcPr>
          <w:p w14:paraId="6FEF35C9">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0142B4AC">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供配电系统</w:t>
            </w:r>
          </w:p>
        </w:tc>
        <w:tc>
          <w:tcPr>
            <w:tcW w:w="6761" w:type="dxa"/>
            <w:noWrap w:val="0"/>
            <w:vAlign w:val="center"/>
          </w:tcPr>
          <w:p w14:paraId="51E71355">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高压柜10个、低压柜5个</w:t>
            </w:r>
          </w:p>
        </w:tc>
        <w:tc>
          <w:tcPr>
            <w:tcW w:w="4186" w:type="dxa"/>
            <w:noWrap w:val="0"/>
            <w:vAlign w:val="center"/>
          </w:tcPr>
          <w:p w14:paraId="3D685665">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见“3.3公用设施设备维护服务”</w:t>
            </w:r>
          </w:p>
        </w:tc>
      </w:tr>
    </w:tbl>
    <w:p w14:paraId="6005079F">
      <w:pPr>
        <w:pageBreakBefore w:val="0"/>
        <w:widowControl/>
        <w:kinsoku/>
        <w:wordWrap/>
        <w:overflowPunct/>
        <w:topLinePunct w:val="0"/>
        <w:bidi w:val="0"/>
        <w:snapToGrid w:val="0"/>
        <w:spacing w:line="300" w:lineRule="auto"/>
        <w:jc w:val="left"/>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2、神木市永兴社区</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7"/>
        <w:gridCol w:w="2450"/>
      </w:tblGrid>
      <w:tr w14:paraId="32B44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613" w:type="dxa"/>
            <w:gridSpan w:val="2"/>
            <w:noWrap w:val="0"/>
            <w:vAlign w:val="center"/>
          </w:tcPr>
          <w:p w14:paraId="73AC9730">
            <w:pPr>
              <w:pageBreakBefore w:val="0"/>
              <w:kinsoku/>
              <w:wordWrap/>
              <w:overflowPunct/>
              <w:topLinePunct w:val="0"/>
              <w:bidi w:val="0"/>
              <w:snapToGrid w:val="0"/>
              <w:spacing w:line="300" w:lineRule="auto"/>
              <w:jc w:val="center"/>
              <w:rPr>
                <w:rFonts w:hint="eastAsia" w:ascii="宋体" w:hAnsi="宋体" w:eastAsia="宋体" w:cs="宋体"/>
                <w:b/>
                <w:bCs/>
                <w:color w:val="auto"/>
                <w:sz w:val="28"/>
                <w:szCs w:val="28"/>
                <w:highlight w:val="none"/>
              </w:rPr>
            </w:pPr>
            <w:r>
              <w:rPr>
                <w:rFonts w:hint="eastAsia" w:ascii="宋体" w:hAnsi="宋体" w:eastAsia="宋体" w:cs="宋体"/>
                <w:b/>
                <w:bCs/>
                <w:sz w:val="28"/>
                <w:szCs w:val="28"/>
                <w:highlight w:val="none"/>
                <w:lang w:val="en-US" w:eastAsia="zh-CN"/>
              </w:rPr>
              <w:t>名称</w:t>
            </w:r>
          </w:p>
        </w:tc>
        <w:tc>
          <w:tcPr>
            <w:tcW w:w="6761" w:type="dxa"/>
            <w:noWrap w:val="0"/>
            <w:vAlign w:val="center"/>
          </w:tcPr>
          <w:p w14:paraId="3BF11DB2">
            <w:pPr>
              <w:pageBreakBefore w:val="0"/>
              <w:kinsoku/>
              <w:wordWrap/>
              <w:overflowPunct/>
              <w:topLinePunct w:val="0"/>
              <w:bidi w:val="0"/>
              <w:snapToGrid w:val="0"/>
              <w:spacing w:line="30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sz w:val="28"/>
                <w:szCs w:val="28"/>
                <w:highlight w:val="none"/>
              </w:rPr>
              <w:t>明细</w:t>
            </w:r>
          </w:p>
        </w:tc>
        <w:tc>
          <w:tcPr>
            <w:tcW w:w="4186" w:type="dxa"/>
            <w:noWrap w:val="0"/>
            <w:vAlign w:val="center"/>
          </w:tcPr>
          <w:p w14:paraId="1C701671">
            <w:pPr>
              <w:pageBreakBefore w:val="0"/>
              <w:kinsoku/>
              <w:wordWrap/>
              <w:overflowPunct/>
              <w:topLinePunct w:val="0"/>
              <w:bidi w:val="0"/>
              <w:snapToGrid w:val="0"/>
              <w:spacing w:line="300" w:lineRule="auto"/>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服务内容及标准</w:t>
            </w:r>
          </w:p>
        </w:tc>
      </w:tr>
      <w:tr w14:paraId="0994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48CE9F4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建筑名称</w:t>
            </w:r>
          </w:p>
        </w:tc>
        <w:tc>
          <w:tcPr>
            <w:tcW w:w="6761" w:type="dxa"/>
            <w:noWrap w:val="0"/>
            <w:vAlign w:val="center"/>
          </w:tcPr>
          <w:p w14:paraId="695C3CF6">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神木市永兴社区</w:t>
            </w:r>
          </w:p>
        </w:tc>
        <w:tc>
          <w:tcPr>
            <w:tcW w:w="4186" w:type="dxa"/>
            <w:noWrap w:val="0"/>
            <w:vAlign w:val="center"/>
          </w:tcPr>
          <w:p w14:paraId="595C857F">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p>
        </w:tc>
      </w:tr>
      <w:tr w14:paraId="71C0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2079B44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总面积</w:t>
            </w:r>
          </w:p>
        </w:tc>
        <w:tc>
          <w:tcPr>
            <w:tcW w:w="2440" w:type="dxa"/>
            <w:noWrap w:val="0"/>
            <w:vAlign w:val="center"/>
          </w:tcPr>
          <w:p w14:paraId="794E67D6">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建筑面积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347483E0">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3600平方米</w:t>
            </w:r>
          </w:p>
        </w:tc>
        <w:tc>
          <w:tcPr>
            <w:tcW w:w="4186" w:type="dxa"/>
            <w:noWrap w:val="0"/>
            <w:vAlign w:val="center"/>
          </w:tcPr>
          <w:p w14:paraId="482566FF">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1E6D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00AFBD60">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2C0FF24A">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需保洁面积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1D7F996C">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3600平方米</w:t>
            </w:r>
          </w:p>
        </w:tc>
        <w:tc>
          <w:tcPr>
            <w:tcW w:w="4186" w:type="dxa"/>
            <w:noWrap w:val="0"/>
            <w:vAlign w:val="center"/>
          </w:tcPr>
          <w:p w14:paraId="5FE9ABC1">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见“3.4保洁服务”</w:t>
            </w:r>
          </w:p>
        </w:tc>
      </w:tr>
      <w:tr w14:paraId="3C3E7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45925B1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门窗</w:t>
            </w:r>
          </w:p>
        </w:tc>
        <w:tc>
          <w:tcPr>
            <w:tcW w:w="2440" w:type="dxa"/>
            <w:noWrap w:val="0"/>
            <w:vAlign w:val="center"/>
          </w:tcPr>
          <w:p w14:paraId="0E3E480E">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门窗总数量（个）及总面积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3B1B7CAD">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门：55个、窗110个。面积：1285平方米</w:t>
            </w:r>
          </w:p>
        </w:tc>
        <w:tc>
          <w:tcPr>
            <w:tcW w:w="4186" w:type="dxa"/>
            <w:noWrap w:val="0"/>
            <w:vAlign w:val="center"/>
          </w:tcPr>
          <w:p w14:paraId="01FE004B">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213BC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6EE7056E">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地面</w:t>
            </w:r>
          </w:p>
        </w:tc>
        <w:tc>
          <w:tcPr>
            <w:tcW w:w="2440" w:type="dxa"/>
            <w:noWrap w:val="0"/>
            <w:vAlign w:val="center"/>
          </w:tcPr>
          <w:p w14:paraId="3E4A3662">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地面</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2FDC659C">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瓷砖总面积：2518.99平方米</w:t>
            </w:r>
          </w:p>
        </w:tc>
        <w:tc>
          <w:tcPr>
            <w:tcW w:w="4186" w:type="dxa"/>
            <w:noWrap w:val="0"/>
            <w:vAlign w:val="center"/>
          </w:tcPr>
          <w:p w14:paraId="0B14A7DA">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469C9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71C93CB5">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rPr>
              <w:t>内墙饰面</w:t>
            </w:r>
          </w:p>
        </w:tc>
        <w:tc>
          <w:tcPr>
            <w:tcW w:w="2440" w:type="dxa"/>
            <w:noWrap w:val="0"/>
            <w:vAlign w:val="center"/>
          </w:tcPr>
          <w:p w14:paraId="4C158105">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b w:val="0"/>
                <w:bCs w:val="0"/>
                <w:sz w:val="28"/>
                <w:szCs w:val="28"/>
                <w:highlight w:val="none"/>
                <w:lang w:val="en-US" w:eastAsia="zh-CN"/>
              </w:rPr>
              <w:t>内墙饰面</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279876EE">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内墙饰面乳胶漆总面积：740平方米</w:t>
            </w:r>
          </w:p>
        </w:tc>
        <w:tc>
          <w:tcPr>
            <w:tcW w:w="4186" w:type="dxa"/>
            <w:noWrap w:val="0"/>
            <w:vAlign w:val="center"/>
          </w:tcPr>
          <w:p w14:paraId="16BEB805">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1889F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187EE6FA">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顶面</w:t>
            </w:r>
          </w:p>
        </w:tc>
        <w:tc>
          <w:tcPr>
            <w:tcW w:w="2440" w:type="dxa"/>
            <w:noWrap w:val="0"/>
            <w:vAlign w:val="center"/>
          </w:tcPr>
          <w:p w14:paraId="70CA04A4">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顶面各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461C65C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格栅总面积：509平方米</w:t>
            </w:r>
          </w:p>
        </w:tc>
        <w:tc>
          <w:tcPr>
            <w:tcW w:w="4186" w:type="dxa"/>
            <w:noWrap w:val="0"/>
            <w:vAlign w:val="center"/>
          </w:tcPr>
          <w:p w14:paraId="22FA6A76">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3FF61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321B230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外墙</w:t>
            </w:r>
          </w:p>
        </w:tc>
        <w:tc>
          <w:tcPr>
            <w:tcW w:w="2440" w:type="dxa"/>
            <w:noWrap w:val="0"/>
            <w:vAlign w:val="center"/>
          </w:tcPr>
          <w:p w14:paraId="2A98B687">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eastAsia="zh-CN"/>
              </w:rPr>
            </w:pPr>
            <w:r>
              <w:rPr>
                <w:rFonts w:hint="eastAsia" w:ascii="宋体" w:hAnsi="宋体" w:eastAsia="宋体" w:cs="宋体"/>
                <w:sz w:val="28"/>
                <w:szCs w:val="28"/>
                <w:highlight w:val="none"/>
              </w:rPr>
              <w:t>外墙</w:t>
            </w:r>
            <w:r>
              <w:rPr>
                <w:rFonts w:hint="eastAsia" w:ascii="宋体" w:hAnsi="宋体" w:eastAsia="宋体" w:cs="宋体"/>
                <w:sz w:val="28"/>
                <w:szCs w:val="28"/>
                <w:highlight w:val="none"/>
                <w:lang w:val="en-US" w:eastAsia="zh-CN"/>
              </w:rPr>
              <w:t>各</w:t>
            </w:r>
            <w:r>
              <w:rPr>
                <w:rFonts w:hint="eastAsia" w:ascii="宋体" w:hAnsi="宋体" w:eastAsia="宋体" w:cs="宋体"/>
                <w:sz w:val="28"/>
                <w:szCs w:val="28"/>
                <w:highlight w:val="none"/>
              </w:rPr>
              <w:t>材质</w:t>
            </w:r>
            <w:r>
              <w:rPr>
                <w:rFonts w:hint="eastAsia" w:ascii="宋体" w:hAnsi="宋体" w:eastAsia="宋体" w:cs="宋体"/>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43D362A3">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外墙涂料（普通涂料、弹性涂料等）总面积：1427平方米</w:t>
            </w:r>
          </w:p>
        </w:tc>
        <w:tc>
          <w:tcPr>
            <w:tcW w:w="4186" w:type="dxa"/>
            <w:noWrap w:val="0"/>
            <w:vAlign w:val="center"/>
          </w:tcPr>
          <w:p w14:paraId="73EEE861">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6048E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AAC3DC4">
            <w:pPr>
              <w:pageBreakBefore w:val="0"/>
              <w:kinsoku/>
              <w:wordWrap/>
              <w:overflowPunct/>
              <w:topLinePunct w:val="0"/>
              <w:bidi w:val="0"/>
              <w:snapToGrid w:val="0"/>
              <w:spacing w:line="300" w:lineRule="auto"/>
              <w:rPr>
                <w:rFonts w:hint="eastAsia" w:ascii="宋体" w:hAnsi="宋体" w:eastAsia="宋体" w:cs="宋体"/>
                <w:sz w:val="28"/>
                <w:szCs w:val="28"/>
                <w:highlight w:val="none"/>
              </w:rPr>
            </w:pPr>
          </w:p>
        </w:tc>
        <w:tc>
          <w:tcPr>
            <w:tcW w:w="2440" w:type="dxa"/>
            <w:noWrap w:val="0"/>
            <w:vAlign w:val="center"/>
          </w:tcPr>
          <w:p w14:paraId="7CC6AE21">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外墙</w:t>
            </w:r>
            <w:r>
              <w:rPr>
                <w:rFonts w:hint="eastAsia" w:ascii="宋体" w:hAnsi="宋体" w:eastAsia="宋体" w:cs="宋体"/>
                <w:sz w:val="28"/>
                <w:szCs w:val="28"/>
                <w:highlight w:val="none"/>
              </w:rPr>
              <w:t>需</w:t>
            </w:r>
            <w:r>
              <w:rPr>
                <w:rFonts w:hint="eastAsia" w:ascii="宋体" w:hAnsi="宋体" w:eastAsia="宋体" w:cs="宋体"/>
                <w:sz w:val="28"/>
                <w:szCs w:val="28"/>
                <w:highlight w:val="none"/>
                <w:lang w:val="en-US" w:eastAsia="zh-CN"/>
              </w:rPr>
              <w:t>清洗面积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471F0213">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100平方米</w:t>
            </w:r>
          </w:p>
        </w:tc>
        <w:tc>
          <w:tcPr>
            <w:tcW w:w="4186" w:type="dxa"/>
            <w:noWrap w:val="0"/>
            <w:vAlign w:val="center"/>
          </w:tcPr>
          <w:p w14:paraId="1E24A8CC">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见“3.4保洁服务”</w:t>
            </w:r>
          </w:p>
        </w:tc>
      </w:tr>
      <w:tr w14:paraId="23725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7AE8821C">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会议室</w:t>
            </w:r>
          </w:p>
        </w:tc>
        <w:tc>
          <w:tcPr>
            <w:tcW w:w="2440" w:type="dxa"/>
            <w:noWrap w:val="0"/>
            <w:vAlign w:val="center"/>
          </w:tcPr>
          <w:p w14:paraId="63A455B8">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室内</w:t>
            </w:r>
            <w:r>
              <w:rPr>
                <w:rFonts w:hint="eastAsia" w:ascii="宋体" w:hAnsi="宋体" w:eastAsia="宋体" w:cs="宋体"/>
                <w:sz w:val="28"/>
                <w:szCs w:val="28"/>
                <w:highlight w:val="none"/>
              </w:rPr>
              <w:t>设施</w:t>
            </w:r>
            <w:r>
              <w:rPr>
                <w:rFonts w:hint="eastAsia" w:ascii="宋体" w:hAnsi="宋体" w:eastAsia="宋体" w:cs="宋体"/>
                <w:sz w:val="28"/>
                <w:szCs w:val="28"/>
                <w:highlight w:val="none"/>
                <w:lang w:val="en-US" w:eastAsia="zh-CN"/>
              </w:rPr>
              <w:t>说明</w:t>
            </w:r>
          </w:p>
        </w:tc>
        <w:tc>
          <w:tcPr>
            <w:tcW w:w="6761" w:type="dxa"/>
            <w:noWrap w:val="0"/>
            <w:vAlign w:val="center"/>
          </w:tcPr>
          <w:p w14:paraId="789A7A0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会议桌子1张、椅子50把、LED显示屏、台式电脑、会议系统、书画桌椅。</w:t>
            </w:r>
          </w:p>
        </w:tc>
        <w:tc>
          <w:tcPr>
            <w:tcW w:w="4186" w:type="dxa"/>
            <w:noWrap w:val="0"/>
            <w:vAlign w:val="center"/>
          </w:tcPr>
          <w:p w14:paraId="6583E6C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见“3.2房屋维护服务”“3.4保洁服务”“3.7会议服务”</w:t>
            </w:r>
          </w:p>
        </w:tc>
      </w:tr>
      <w:tr w14:paraId="3841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695CE83E">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206BDEC1">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会议室数量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0E2B3642">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会议室1个，80平方米</w:t>
            </w:r>
          </w:p>
        </w:tc>
        <w:tc>
          <w:tcPr>
            <w:tcW w:w="4186" w:type="dxa"/>
            <w:noWrap w:val="0"/>
            <w:vAlign w:val="center"/>
          </w:tcPr>
          <w:p w14:paraId="289BC211">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4F4F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68A95DF9">
            <w:pPr>
              <w:pageBreakBefore w:val="0"/>
              <w:kinsoku/>
              <w:wordWrap/>
              <w:overflowPunct/>
              <w:topLinePunct w:val="0"/>
              <w:bidi w:val="0"/>
              <w:snapToGrid w:val="0"/>
              <w:spacing w:line="300" w:lineRule="auto"/>
              <w:ind w:left="0" w:firstLine="0" w:firstLineChars="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报告厅</w:t>
            </w:r>
          </w:p>
        </w:tc>
        <w:tc>
          <w:tcPr>
            <w:tcW w:w="2440" w:type="dxa"/>
            <w:noWrap w:val="0"/>
            <w:vAlign w:val="center"/>
          </w:tcPr>
          <w:p w14:paraId="38AD84DC">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室内</w:t>
            </w:r>
            <w:r>
              <w:rPr>
                <w:rFonts w:hint="eastAsia" w:ascii="宋体" w:hAnsi="宋体" w:eastAsia="宋体" w:cs="宋体"/>
                <w:sz w:val="28"/>
                <w:szCs w:val="28"/>
                <w:highlight w:val="none"/>
              </w:rPr>
              <w:t>设施</w:t>
            </w:r>
            <w:r>
              <w:rPr>
                <w:rFonts w:hint="eastAsia" w:ascii="宋体" w:hAnsi="宋体" w:eastAsia="宋体" w:cs="宋体"/>
                <w:sz w:val="28"/>
                <w:szCs w:val="28"/>
                <w:highlight w:val="none"/>
                <w:lang w:val="en-US" w:eastAsia="zh-CN"/>
              </w:rPr>
              <w:t>说明</w:t>
            </w:r>
          </w:p>
        </w:tc>
        <w:tc>
          <w:tcPr>
            <w:tcW w:w="6761" w:type="dxa"/>
            <w:noWrap w:val="0"/>
            <w:vAlign w:val="center"/>
          </w:tcPr>
          <w:p w14:paraId="370498B2">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投影仪1台、会议桌1张、椅子24把、音响系统1套、联想cm7120w打印机一台、</w:t>
            </w:r>
          </w:p>
        </w:tc>
        <w:tc>
          <w:tcPr>
            <w:tcW w:w="4186" w:type="dxa"/>
            <w:noWrap w:val="0"/>
            <w:vAlign w:val="center"/>
          </w:tcPr>
          <w:p w14:paraId="108CC689">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0944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5AF6AC07">
            <w:pPr>
              <w:pageBreakBefore w:val="0"/>
              <w:kinsoku/>
              <w:wordWrap/>
              <w:overflowPunct/>
              <w:topLinePunct w:val="0"/>
              <w:bidi w:val="0"/>
              <w:snapToGrid w:val="0"/>
              <w:spacing w:line="300" w:lineRule="auto"/>
              <w:ind w:left="0" w:firstLine="0" w:firstLineChars="0"/>
              <w:jc w:val="center"/>
              <w:rPr>
                <w:rFonts w:hint="eastAsia" w:ascii="宋体" w:hAnsi="宋体" w:eastAsia="宋体" w:cs="宋体"/>
                <w:color w:val="auto"/>
                <w:sz w:val="28"/>
                <w:szCs w:val="28"/>
                <w:highlight w:val="none"/>
              </w:rPr>
            </w:pPr>
          </w:p>
        </w:tc>
        <w:tc>
          <w:tcPr>
            <w:tcW w:w="2440" w:type="dxa"/>
            <w:noWrap w:val="0"/>
            <w:vAlign w:val="center"/>
          </w:tcPr>
          <w:p w14:paraId="4A7929B9">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报告厅数量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68911169">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报告厅1个80平方米</w:t>
            </w:r>
          </w:p>
        </w:tc>
        <w:tc>
          <w:tcPr>
            <w:tcW w:w="4186" w:type="dxa"/>
            <w:noWrap w:val="0"/>
            <w:vAlign w:val="center"/>
          </w:tcPr>
          <w:p w14:paraId="057EBA2A">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见“3.4保洁服务”“3.7会议服务”</w:t>
            </w:r>
          </w:p>
        </w:tc>
      </w:tr>
      <w:tr w14:paraId="2C503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30F419DD">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卫生间</w:t>
            </w:r>
          </w:p>
        </w:tc>
        <w:tc>
          <w:tcPr>
            <w:tcW w:w="2440" w:type="dxa"/>
            <w:noWrap w:val="0"/>
            <w:vAlign w:val="center"/>
          </w:tcPr>
          <w:p w14:paraId="0284FFA6">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lang w:val="en-US" w:eastAsia="zh-CN"/>
              </w:rPr>
              <w:t>卫生间</w:t>
            </w:r>
            <w:r>
              <w:rPr>
                <w:rFonts w:hint="eastAsia" w:ascii="宋体" w:hAnsi="宋体" w:eastAsia="宋体" w:cs="宋体"/>
                <w:color w:val="auto"/>
                <w:sz w:val="28"/>
                <w:szCs w:val="28"/>
                <w:highlight w:val="none"/>
                <w:lang w:val="en-US" w:eastAsia="zh-CN"/>
              </w:rPr>
              <w:t>数量</w:t>
            </w:r>
            <w:r>
              <w:rPr>
                <w:rFonts w:hint="eastAsia" w:ascii="宋体" w:hAnsi="宋体" w:eastAsia="宋体" w:cs="宋体"/>
                <w:sz w:val="28"/>
                <w:szCs w:val="28"/>
                <w:highlight w:val="none"/>
                <w:lang w:val="en-US" w:eastAsia="zh-CN"/>
              </w:rPr>
              <w:t>（个）</w:t>
            </w:r>
            <w:r>
              <w:rPr>
                <w:rFonts w:hint="eastAsia" w:ascii="宋体" w:hAnsi="宋体" w:eastAsia="宋体" w:cs="宋体"/>
                <w:color w:val="auto"/>
                <w:sz w:val="28"/>
                <w:szCs w:val="28"/>
                <w:highlight w:val="none"/>
                <w:lang w:val="en-US" w:eastAsia="zh-CN"/>
              </w:rPr>
              <w:t>及总面积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p>
        </w:tc>
        <w:tc>
          <w:tcPr>
            <w:tcW w:w="6761" w:type="dxa"/>
            <w:noWrap w:val="0"/>
            <w:vAlign w:val="center"/>
          </w:tcPr>
          <w:p w14:paraId="00F0EDD5">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男女独立卫生间10间，180平方米</w:t>
            </w:r>
          </w:p>
        </w:tc>
        <w:tc>
          <w:tcPr>
            <w:tcW w:w="4186" w:type="dxa"/>
            <w:noWrap w:val="0"/>
            <w:vAlign w:val="center"/>
          </w:tcPr>
          <w:p w14:paraId="787A50E7">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17380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58BAFC9A">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垃圾存放点</w:t>
            </w:r>
          </w:p>
        </w:tc>
        <w:tc>
          <w:tcPr>
            <w:tcW w:w="2440" w:type="dxa"/>
            <w:noWrap w:val="0"/>
            <w:vAlign w:val="center"/>
          </w:tcPr>
          <w:p w14:paraId="1DB20A5D">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各垃圾存放点位置、</w:t>
            </w:r>
            <w:r>
              <w:rPr>
                <w:rFonts w:hint="eastAsia" w:ascii="宋体" w:hAnsi="宋体" w:eastAsia="宋体" w:cs="宋体"/>
                <w:sz w:val="28"/>
                <w:szCs w:val="28"/>
                <w:highlight w:val="none"/>
              </w:rPr>
              <w:t>面积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及数量（个）</w:t>
            </w:r>
          </w:p>
        </w:tc>
        <w:tc>
          <w:tcPr>
            <w:tcW w:w="6761" w:type="dxa"/>
            <w:noWrap w:val="0"/>
            <w:vAlign w:val="center"/>
          </w:tcPr>
          <w:p w14:paraId="643EFD14">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垃圾存放点1个、垃圾箱1个、3平米</w:t>
            </w:r>
          </w:p>
        </w:tc>
        <w:tc>
          <w:tcPr>
            <w:tcW w:w="4186" w:type="dxa"/>
            <w:noWrap w:val="0"/>
            <w:vAlign w:val="center"/>
          </w:tcPr>
          <w:p w14:paraId="7A2D759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55FF8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67F80551">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rPr>
              <w:t>车位数</w:t>
            </w:r>
          </w:p>
        </w:tc>
        <w:tc>
          <w:tcPr>
            <w:tcW w:w="2440" w:type="dxa"/>
            <w:noWrap w:val="0"/>
            <w:vAlign w:val="center"/>
          </w:tcPr>
          <w:p w14:paraId="431E9BA4">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地面车位数</w:t>
            </w:r>
          </w:p>
        </w:tc>
        <w:tc>
          <w:tcPr>
            <w:tcW w:w="6761" w:type="dxa"/>
            <w:noWrap w:val="0"/>
            <w:vAlign w:val="center"/>
          </w:tcPr>
          <w:p w14:paraId="1F5069C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40个</w:t>
            </w:r>
          </w:p>
        </w:tc>
        <w:tc>
          <w:tcPr>
            <w:tcW w:w="4186" w:type="dxa"/>
            <w:noWrap w:val="0"/>
            <w:vAlign w:val="center"/>
          </w:tcPr>
          <w:p w14:paraId="7B7EE4C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02DE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5127345F">
            <w:pPr>
              <w:pageBreakBefore w:val="0"/>
              <w:kinsoku/>
              <w:wordWrap/>
              <w:overflowPunct/>
              <w:topLinePunct w:val="0"/>
              <w:bidi w:val="0"/>
              <w:snapToGrid w:val="0"/>
              <w:spacing w:line="300" w:lineRule="auto"/>
              <w:ind w:left="0" w:firstLine="0" w:firstLineChars="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车行人行口</w:t>
            </w:r>
          </w:p>
        </w:tc>
        <w:tc>
          <w:tcPr>
            <w:tcW w:w="2440" w:type="dxa"/>
            <w:noWrap w:val="0"/>
            <w:vAlign w:val="center"/>
          </w:tcPr>
          <w:p w14:paraId="2FC88D23">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车行口</w:t>
            </w:r>
          </w:p>
        </w:tc>
        <w:tc>
          <w:tcPr>
            <w:tcW w:w="6761" w:type="dxa"/>
            <w:noWrap w:val="0"/>
            <w:vAlign w:val="center"/>
          </w:tcPr>
          <w:p w14:paraId="7098129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1个</w:t>
            </w:r>
          </w:p>
        </w:tc>
        <w:tc>
          <w:tcPr>
            <w:tcW w:w="4186" w:type="dxa"/>
            <w:noWrap w:val="0"/>
            <w:vAlign w:val="center"/>
          </w:tcPr>
          <w:p w14:paraId="47CA475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41B8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49E0482F">
            <w:pPr>
              <w:pageBreakBefore w:val="0"/>
              <w:kinsoku/>
              <w:wordWrap/>
              <w:overflowPunct/>
              <w:topLinePunct w:val="0"/>
              <w:bidi w:val="0"/>
              <w:snapToGrid w:val="0"/>
              <w:spacing w:line="300" w:lineRule="auto"/>
              <w:ind w:left="0" w:firstLine="0" w:firstLineChars="0"/>
              <w:jc w:val="both"/>
              <w:rPr>
                <w:rFonts w:hint="eastAsia" w:ascii="宋体" w:hAnsi="宋体" w:eastAsia="宋体" w:cs="宋体"/>
                <w:sz w:val="28"/>
                <w:szCs w:val="28"/>
                <w:highlight w:val="none"/>
                <w:lang w:val="en-US" w:eastAsia="zh-CN"/>
              </w:rPr>
            </w:pPr>
          </w:p>
        </w:tc>
        <w:tc>
          <w:tcPr>
            <w:tcW w:w="2440" w:type="dxa"/>
            <w:noWrap w:val="0"/>
            <w:vAlign w:val="center"/>
          </w:tcPr>
          <w:p w14:paraId="4374FDEC">
            <w:pPr>
              <w:pageBreakBefore w:val="0"/>
              <w:kinsoku/>
              <w:wordWrap/>
              <w:overflowPunct/>
              <w:topLinePunct w:val="0"/>
              <w:bidi w:val="0"/>
              <w:snapToGrid w:val="0"/>
              <w:spacing w:line="300" w:lineRule="auto"/>
              <w:ind w:left="0" w:leftChars="0" w:firstLine="0" w:firstLineChars="0"/>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人行口</w:t>
            </w:r>
          </w:p>
        </w:tc>
        <w:tc>
          <w:tcPr>
            <w:tcW w:w="6761" w:type="dxa"/>
            <w:noWrap w:val="0"/>
            <w:vAlign w:val="center"/>
          </w:tcPr>
          <w:p w14:paraId="6141C1D9">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1个</w:t>
            </w:r>
          </w:p>
        </w:tc>
        <w:tc>
          <w:tcPr>
            <w:tcW w:w="4186" w:type="dxa"/>
            <w:noWrap w:val="0"/>
            <w:vAlign w:val="center"/>
          </w:tcPr>
          <w:p w14:paraId="621D606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w:t>
            </w:r>
          </w:p>
        </w:tc>
      </w:tr>
      <w:tr w14:paraId="2BA4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7A14700C">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179CC19F">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空调</w:t>
            </w:r>
            <w:r>
              <w:rPr>
                <w:rFonts w:hint="eastAsia" w:ascii="宋体" w:hAnsi="宋体" w:eastAsia="宋体" w:cs="宋体"/>
                <w:sz w:val="28"/>
                <w:szCs w:val="28"/>
                <w:highlight w:val="none"/>
                <w:lang w:val="en-US" w:eastAsia="zh-CN"/>
              </w:rPr>
              <w:t>系统</w:t>
            </w:r>
          </w:p>
        </w:tc>
        <w:tc>
          <w:tcPr>
            <w:tcW w:w="6761" w:type="dxa"/>
            <w:noWrap w:val="0"/>
            <w:vAlign w:val="center"/>
          </w:tcPr>
          <w:p w14:paraId="09193D65">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立式柜机空调6个、挂式空调20个，</w:t>
            </w:r>
          </w:p>
          <w:p w14:paraId="037E44FD">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p>
        </w:tc>
        <w:tc>
          <w:tcPr>
            <w:tcW w:w="4186" w:type="dxa"/>
            <w:noWrap w:val="0"/>
            <w:vAlign w:val="center"/>
          </w:tcPr>
          <w:p w14:paraId="4318C247">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2DEDC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636D2D0B">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5191A682">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采暖</w:t>
            </w:r>
            <w:r>
              <w:rPr>
                <w:rFonts w:hint="eastAsia" w:ascii="宋体" w:hAnsi="宋体" w:eastAsia="宋体" w:cs="宋体"/>
                <w:sz w:val="28"/>
                <w:szCs w:val="28"/>
                <w:highlight w:val="none"/>
                <w:lang w:val="en-US" w:eastAsia="zh-CN"/>
              </w:rPr>
              <w:t>系统</w:t>
            </w:r>
          </w:p>
        </w:tc>
        <w:tc>
          <w:tcPr>
            <w:tcW w:w="6761" w:type="dxa"/>
            <w:noWrap w:val="0"/>
            <w:vAlign w:val="center"/>
          </w:tcPr>
          <w:p w14:paraId="56D4EE4B">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中央空调吹风、立式吹风和挂式空调吹风取暖，</w:t>
            </w:r>
          </w:p>
        </w:tc>
        <w:tc>
          <w:tcPr>
            <w:tcW w:w="4186" w:type="dxa"/>
            <w:noWrap w:val="0"/>
            <w:vAlign w:val="center"/>
          </w:tcPr>
          <w:p w14:paraId="131E7CF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63DF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73" w:type="dxa"/>
            <w:vMerge w:val="continue"/>
            <w:noWrap w:val="0"/>
            <w:vAlign w:val="center"/>
          </w:tcPr>
          <w:p w14:paraId="1741F4CE">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211F2DBE">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给排水</w:t>
            </w:r>
            <w:r>
              <w:rPr>
                <w:rFonts w:hint="eastAsia" w:ascii="宋体" w:hAnsi="宋体" w:eastAsia="宋体" w:cs="宋体"/>
                <w:sz w:val="28"/>
                <w:szCs w:val="28"/>
                <w:highlight w:val="none"/>
                <w:lang w:val="en-US" w:eastAsia="zh-CN"/>
              </w:rPr>
              <w:t>系统</w:t>
            </w:r>
          </w:p>
        </w:tc>
        <w:tc>
          <w:tcPr>
            <w:tcW w:w="6761" w:type="dxa"/>
            <w:noWrap w:val="0"/>
            <w:vAlign w:val="center"/>
          </w:tcPr>
          <w:p w14:paraId="2C1D4230">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地下化粪池1个</w:t>
            </w:r>
          </w:p>
        </w:tc>
        <w:tc>
          <w:tcPr>
            <w:tcW w:w="4186" w:type="dxa"/>
            <w:noWrap w:val="0"/>
            <w:vAlign w:val="center"/>
          </w:tcPr>
          <w:p w14:paraId="676F624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6742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7EC20B4">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54836BC1">
            <w:pPr>
              <w:pageBreakBefore w:val="0"/>
              <w:kinsoku/>
              <w:wordWrap/>
              <w:overflowPunct/>
              <w:topLinePunct w:val="0"/>
              <w:bidi w:val="0"/>
              <w:snapToGrid w:val="0"/>
              <w:spacing w:line="30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sz w:val="28"/>
                <w:szCs w:val="28"/>
                <w:highlight w:val="none"/>
              </w:rPr>
              <w:t>消防</w:t>
            </w:r>
            <w:r>
              <w:rPr>
                <w:rFonts w:hint="eastAsia" w:ascii="宋体" w:hAnsi="宋体" w:eastAsia="宋体" w:cs="宋体"/>
                <w:sz w:val="28"/>
                <w:szCs w:val="28"/>
                <w:highlight w:val="none"/>
                <w:lang w:val="en-US" w:eastAsia="zh-CN"/>
              </w:rPr>
              <w:t>系统</w:t>
            </w:r>
          </w:p>
        </w:tc>
        <w:tc>
          <w:tcPr>
            <w:tcW w:w="6761" w:type="dxa"/>
            <w:noWrap w:val="0"/>
            <w:vAlign w:val="center"/>
          </w:tcPr>
          <w:p w14:paraId="41DD549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干粉灭火器60个</w:t>
            </w:r>
          </w:p>
        </w:tc>
        <w:tc>
          <w:tcPr>
            <w:tcW w:w="4186" w:type="dxa"/>
            <w:noWrap w:val="0"/>
            <w:vAlign w:val="center"/>
          </w:tcPr>
          <w:p w14:paraId="022A3424">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018C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24C2EEB">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1DBBBC3A">
            <w:pPr>
              <w:pageBreakBefore w:val="0"/>
              <w:kinsoku/>
              <w:wordWrap/>
              <w:overflowPunct/>
              <w:topLinePunct w:val="0"/>
              <w:bidi w:val="0"/>
              <w:snapToGrid w:val="0"/>
              <w:spacing w:line="300" w:lineRule="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照明系统</w:t>
            </w:r>
          </w:p>
        </w:tc>
        <w:tc>
          <w:tcPr>
            <w:tcW w:w="6761" w:type="dxa"/>
            <w:noWrap w:val="0"/>
            <w:vAlign w:val="center"/>
          </w:tcPr>
          <w:p w14:paraId="35EBD048">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圆孔射灯174个、孔灯70个、</w:t>
            </w:r>
          </w:p>
        </w:tc>
        <w:tc>
          <w:tcPr>
            <w:tcW w:w="4186" w:type="dxa"/>
            <w:noWrap w:val="0"/>
            <w:vAlign w:val="center"/>
          </w:tcPr>
          <w:p w14:paraId="3F39906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见“3.6保安服务”“3.3公用设施设备维护服务”</w:t>
            </w:r>
          </w:p>
        </w:tc>
      </w:tr>
      <w:tr w14:paraId="2479F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3" w:type="dxa"/>
            <w:vMerge w:val="continue"/>
            <w:noWrap w:val="0"/>
            <w:vAlign w:val="center"/>
          </w:tcPr>
          <w:p w14:paraId="254A4F35">
            <w:pPr>
              <w:pageBreakBefore w:val="0"/>
              <w:kinsoku/>
              <w:wordWrap/>
              <w:overflowPunct/>
              <w:topLinePunct w:val="0"/>
              <w:bidi w:val="0"/>
              <w:snapToGrid w:val="0"/>
              <w:spacing w:line="300" w:lineRule="auto"/>
              <w:ind w:left="0" w:firstLine="0" w:firstLineChars="0"/>
              <w:jc w:val="both"/>
              <w:rPr>
                <w:rFonts w:hint="eastAsia" w:ascii="宋体" w:hAnsi="宋体" w:eastAsia="宋体" w:cs="宋体"/>
                <w:color w:val="auto"/>
                <w:sz w:val="28"/>
                <w:szCs w:val="28"/>
                <w:highlight w:val="none"/>
              </w:rPr>
            </w:pPr>
          </w:p>
        </w:tc>
        <w:tc>
          <w:tcPr>
            <w:tcW w:w="2440" w:type="dxa"/>
            <w:noWrap w:val="0"/>
            <w:vAlign w:val="center"/>
          </w:tcPr>
          <w:p w14:paraId="55A59F95">
            <w:pPr>
              <w:pageBreakBefore w:val="0"/>
              <w:kinsoku/>
              <w:wordWrap/>
              <w:overflowPunct/>
              <w:topLinePunct w:val="0"/>
              <w:bidi w:val="0"/>
              <w:snapToGrid w:val="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供配电系统</w:t>
            </w:r>
          </w:p>
        </w:tc>
        <w:tc>
          <w:tcPr>
            <w:tcW w:w="6761" w:type="dxa"/>
            <w:noWrap w:val="0"/>
            <w:vAlign w:val="center"/>
          </w:tcPr>
          <w:p w14:paraId="116256D4">
            <w:pPr>
              <w:pageBreakBefore w:val="0"/>
              <w:kinsoku/>
              <w:wordWrap/>
              <w:overflowPunct/>
              <w:topLinePunct w:val="0"/>
              <w:bidi w:val="0"/>
              <w:snapToGrid w:val="0"/>
              <w:spacing w:line="30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vertAlign w:val="baseline"/>
                <w:lang w:val="en-US" w:eastAsia="zh-CN"/>
              </w:rPr>
              <w:t>变压器一台、变电柜一个</w:t>
            </w:r>
          </w:p>
        </w:tc>
        <w:tc>
          <w:tcPr>
            <w:tcW w:w="4186" w:type="dxa"/>
            <w:noWrap w:val="0"/>
            <w:vAlign w:val="center"/>
          </w:tcPr>
          <w:p w14:paraId="0C5FDA71">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见“3.3公用设施设备维护服务”</w:t>
            </w:r>
          </w:p>
        </w:tc>
      </w:tr>
    </w:tbl>
    <w:p w14:paraId="25059B9D">
      <w:pPr>
        <w:pStyle w:val="4"/>
        <w:bidi w:val="0"/>
        <w:rPr>
          <w:rFonts w:hint="eastAsia" w:ascii="宋体" w:hAnsi="宋体" w:eastAsia="宋体" w:cs="宋体"/>
          <w:sz w:val="28"/>
          <w:szCs w:val="28"/>
          <w:highlight w:val="none"/>
          <w:lang w:val="en-US" w:eastAsia="zh-CN"/>
        </w:rPr>
      </w:pPr>
    </w:p>
    <w:p w14:paraId="321CED11">
      <w:pPr>
        <w:pStyle w:val="4"/>
        <w:numPr>
          <w:ilvl w:val="0"/>
          <w:numId w:val="2"/>
        </w:numPr>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物业管理（室外）</w:t>
      </w:r>
    </w:p>
    <w:p w14:paraId="49E6BE6F">
      <w:pPr>
        <w:numPr>
          <w:ilvl w:val="0"/>
          <w:numId w:val="0"/>
        </w:numPr>
        <w:rPr>
          <w:rFonts w:hint="eastAsia" w:ascii="宋体" w:hAnsi="宋体" w:eastAsia="宋体" w:cs="宋体"/>
          <w:b/>
          <w:kern w:val="2"/>
          <w:sz w:val="28"/>
          <w:szCs w:val="28"/>
          <w:highlight w:val="none"/>
          <w:lang w:val="en-US" w:eastAsia="zh-CN" w:bidi="ar-SA"/>
        </w:rPr>
      </w:pPr>
      <w:r>
        <w:rPr>
          <w:rFonts w:hint="eastAsia" w:ascii="宋体" w:hAnsi="宋体" w:eastAsia="宋体" w:cs="宋体"/>
          <w:b/>
          <w:kern w:val="2"/>
          <w:sz w:val="28"/>
          <w:szCs w:val="28"/>
          <w:highlight w:val="none"/>
          <w:lang w:val="en-US" w:eastAsia="zh-CN" w:bidi="ar-SA"/>
        </w:rPr>
        <w:t>1、神木市永兴便民服务中兴</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8"/>
        <w:gridCol w:w="3117"/>
        <w:gridCol w:w="3792"/>
      </w:tblGrid>
      <w:tr w14:paraId="1586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4AC788D1">
            <w:pPr>
              <w:pageBreakBefore w:val="0"/>
              <w:kinsoku/>
              <w:wordWrap/>
              <w:overflowPunct/>
              <w:topLinePunct w:val="0"/>
              <w:bidi w:val="0"/>
              <w:snapToGrid w:val="0"/>
              <w:spacing w:line="30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sz w:val="28"/>
                <w:szCs w:val="28"/>
                <w:highlight w:val="none"/>
                <w:lang w:val="en-US" w:eastAsia="zh-CN"/>
              </w:rPr>
              <w:t>名称</w:t>
            </w:r>
          </w:p>
        </w:tc>
        <w:tc>
          <w:tcPr>
            <w:tcW w:w="3117" w:type="dxa"/>
            <w:noWrap w:val="0"/>
            <w:vAlign w:val="center"/>
          </w:tcPr>
          <w:p w14:paraId="7FBBE1AF">
            <w:pPr>
              <w:pageBreakBefore w:val="0"/>
              <w:kinsoku/>
              <w:wordWrap/>
              <w:overflowPunct/>
              <w:topLinePunct w:val="0"/>
              <w:bidi w:val="0"/>
              <w:snapToGrid w:val="0"/>
              <w:spacing w:line="30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sz w:val="28"/>
                <w:szCs w:val="28"/>
                <w:highlight w:val="none"/>
              </w:rPr>
              <w:t>明细</w:t>
            </w:r>
          </w:p>
        </w:tc>
        <w:tc>
          <w:tcPr>
            <w:tcW w:w="3792" w:type="dxa"/>
            <w:noWrap w:val="0"/>
            <w:vAlign w:val="center"/>
          </w:tcPr>
          <w:p w14:paraId="26382347">
            <w:pPr>
              <w:pageBreakBefore w:val="0"/>
              <w:kinsoku/>
              <w:wordWrap/>
              <w:overflowPunct/>
              <w:topLinePunct w:val="0"/>
              <w:bidi w:val="0"/>
              <w:snapToGrid w:val="0"/>
              <w:spacing w:line="30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服务内容及标准</w:t>
            </w:r>
          </w:p>
        </w:tc>
      </w:tr>
      <w:tr w14:paraId="3381F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0DA3FEEE">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室外面积</w:t>
            </w:r>
          </w:p>
        </w:tc>
        <w:tc>
          <w:tcPr>
            <w:tcW w:w="3117" w:type="dxa"/>
            <w:noWrap w:val="0"/>
            <w:vAlign w:val="center"/>
          </w:tcPr>
          <w:p w14:paraId="2C8DAE03">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11355.08平方米、</w:t>
            </w:r>
          </w:p>
        </w:tc>
        <w:tc>
          <w:tcPr>
            <w:tcW w:w="3792" w:type="dxa"/>
            <w:noWrap w:val="0"/>
            <w:vAlign w:val="center"/>
          </w:tcPr>
          <w:p w14:paraId="039EBEB0">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见“3.4保洁服务”“3.6保安服务”</w:t>
            </w:r>
          </w:p>
        </w:tc>
      </w:tr>
      <w:tr w14:paraId="33B6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22830EE3">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rPr>
              <w:t>绿化</w:t>
            </w:r>
          </w:p>
        </w:tc>
        <w:tc>
          <w:tcPr>
            <w:tcW w:w="3117" w:type="dxa"/>
            <w:noWrap w:val="0"/>
            <w:vAlign w:val="center"/>
          </w:tcPr>
          <w:p w14:paraId="39F85A6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9974平方米、</w:t>
            </w:r>
          </w:p>
        </w:tc>
        <w:tc>
          <w:tcPr>
            <w:tcW w:w="3792" w:type="dxa"/>
            <w:noWrap w:val="0"/>
            <w:vAlign w:val="center"/>
          </w:tcPr>
          <w:p w14:paraId="6F21D343">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见“3.4保洁服务”“3.5绿化服务”</w:t>
            </w:r>
          </w:p>
        </w:tc>
      </w:tr>
      <w:tr w14:paraId="51F1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799F8522">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路灯、草坪灯、音箱</w:t>
            </w:r>
          </w:p>
        </w:tc>
        <w:tc>
          <w:tcPr>
            <w:tcW w:w="3117" w:type="dxa"/>
            <w:noWrap w:val="0"/>
            <w:vAlign w:val="center"/>
          </w:tcPr>
          <w:p w14:paraId="293917BD">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路灯40个</w:t>
            </w:r>
          </w:p>
        </w:tc>
        <w:tc>
          <w:tcPr>
            <w:tcW w:w="3792" w:type="dxa"/>
            <w:noWrap w:val="0"/>
            <w:vAlign w:val="center"/>
          </w:tcPr>
          <w:p w14:paraId="4961B0EB">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r w14:paraId="7A98C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2802847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消防栓</w:t>
            </w:r>
          </w:p>
        </w:tc>
        <w:tc>
          <w:tcPr>
            <w:tcW w:w="3117" w:type="dxa"/>
            <w:noWrap w:val="0"/>
            <w:vAlign w:val="center"/>
          </w:tcPr>
          <w:p w14:paraId="53905BB1">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128个</w:t>
            </w:r>
          </w:p>
        </w:tc>
        <w:tc>
          <w:tcPr>
            <w:tcW w:w="3792" w:type="dxa"/>
            <w:noWrap w:val="0"/>
            <w:vAlign w:val="center"/>
          </w:tcPr>
          <w:p w14:paraId="4BAA02F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r w14:paraId="7C20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608" w:type="dxa"/>
            <w:noWrap w:val="0"/>
            <w:vAlign w:val="center"/>
          </w:tcPr>
          <w:p w14:paraId="76B7C1EA">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垃圾箱</w:t>
            </w:r>
          </w:p>
        </w:tc>
        <w:tc>
          <w:tcPr>
            <w:tcW w:w="3117" w:type="dxa"/>
            <w:noWrap w:val="0"/>
            <w:vAlign w:val="center"/>
          </w:tcPr>
          <w:p w14:paraId="191A0717">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3个</w:t>
            </w:r>
          </w:p>
        </w:tc>
        <w:tc>
          <w:tcPr>
            <w:tcW w:w="3792" w:type="dxa"/>
            <w:noWrap w:val="0"/>
            <w:vAlign w:val="center"/>
          </w:tcPr>
          <w:p w14:paraId="720B42CA">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5BD8F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6AC1CEC2">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室外配电箱</w:t>
            </w:r>
          </w:p>
        </w:tc>
        <w:tc>
          <w:tcPr>
            <w:tcW w:w="3117" w:type="dxa"/>
            <w:noWrap w:val="0"/>
            <w:vAlign w:val="center"/>
          </w:tcPr>
          <w:p w14:paraId="0549D550">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2个</w:t>
            </w:r>
          </w:p>
        </w:tc>
        <w:tc>
          <w:tcPr>
            <w:tcW w:w="3792" w:type="dxa"/>
            <w:noWrap w:val="0"/>
            <w:vAlign w:val="center"/>
          </w:tcPr>
          <w:p w14:paraId="7600492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r w14:paraId="4B70D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00D8E0D9">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门前三包</w:t>
            </w:r>
          </w:p>
        </w:tc>
        <w:tc>
          <w:tcPr>
            <w:tcW w:w="3117" w:type="dxa"/>
            <w:noWrap w:val="0"/>
            <w:vAlign w:val="center"/>
          </w:tcPr>
          <w:p w14:paraId="659A3B99">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2298.96平方米</w:t>
            </w:r>
          </w:p>
        </w:tc>
        <w:tc>
          <w:tcPr>
            <w:tcW w:w="3792" w:type="dxa"/>
            <w:noWrap w:val="0"/>
            <w:vAlign w:val="center"/>
          </w:tcPr>
          <w:p w14:paraId="5966920C">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w:t>
            </w:r>
          </w:p>
        </w:tc>
      </w:tr>
      <w:tr w14:paraId="29819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6AC1DE0F">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露台</w:t>
            </w:r>
          </w:p>
        </w:tc>
        <w:tc>
          <w:tcPr>
            <w:tcW w:w="3117" w:type="dxa"/>
            <w:noWrap w:val="0"/>
            <w:vAlign w:val="center"/>
          </w:tcPr>
          <w:p w14:paraId="5A435874">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5594平方米</w:t>
            </w:r>
          </w:p>
        </w:tc>
        <w:tc>
          <w:tcPr>
            <w:tcW w:w="3792" w:type="dxa"/>
            <w:noWrap w:val="0"/>
            <w:vAlign w:val="center"/>
          </w:tcPr>
          <w:p w14:paraId="3BFE72FF">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见“3.2房屋维护服务”“3.4保洁服务”</w:t>
            </w:r>
          </w:p>
        </w:tc>
      </w:tr>
      <w:tr w14:paraId="5E75E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6052DD74">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监控</w:t>
            </w:r>
          </w:p>
        </w:tc>
        <w:tc>
          <w:tcPr>
            <w:tcW w:w="3117" w:type="dxa"/>
            <w:noWrap w:val="0"/>
            <w:vAlign w:val="center"/>
          </w:tcPr>
          <w:p w14:paraId="5B7D348C">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76个</w:t>
            </w:r>
          </w:p>
        </w:tc>
        <w:tc>
          <w:tcPr>
            <w:tcW w:w="3792" w:type="dxa"/>
            <w:noWrap w:val="0"/>
            <w:vAlign w:val="center"/>
          </w:tcPr>
          <w:p w14:paraId="0E00068D">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r w14:paraId="5B404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08" w:type="dxa"/>
            <w:noWrap w:val="0"/>
            <w:vAlign w:val="center"/>
          </w:tcPr>
          <w:p w14:paraId="53AC675B">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指示牌、显示屏</w:t>
            </w:r>
          </w:p>
        </w:tc>
        <w:tc>
          <w:tcPr>
            <w:tcW w:w="3117" w:type="dxa"/>
            <w:noWrap w:val="0"/>
            <w:vAlign w:val="center"/>
          </w:tcPr>
          <w:p w14:paraId="1254C68F">
            <w:pPr>
              <w:pageBreakBefore w:val="0"/>
              <w:kinsoku/>
              <w:wordWrap/>
              <w:overflowPunct/>
              <w:topLinePunct w:val="0"/>
              <w:bidi w:val="0"/>
              <w:snapToGrid w:val="0"/>
              <w:spacing w:line="30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指示牌6个</w:t>
            </w:r>
          </w:p>
        </w:tc>
        <w:tc>
          <w:tcPr>
            <w:tcW w:w="3792" w:type="dxa"/>
            <w:noWrap w:val="0"/>
            <w:vAlign w:val="center"/>
          </w:tcPr>
          <w:p w14:paraId="280F5A52">
            <w:pPr>
              <w:pageBreakBefore w:val="0"/>
              <w:kinsoku/>
              <w:wordWrap/>
              <w:overflowPunct/>
              <w:topLinePunct w:val="0"/>
              <w:bidi w:val="0"/>
              <w:snapToGrid w:val="0"/>
              <w:spacing w:line="30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见“3.4保洁服务”“3.3公用设施设备维护服务”</w:t>
            </w:r>
          </w:p>
        </w:tc>
      </w:tr>
    </w:tbl>
    <w:p w14:paraId="7409D8A5">
      <w:pPr>
        <w:pStyle w:val="4"/>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2、神木市永兴社区</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9"/>
        <w:gridCol w:w="2958"/>
        <w:gridCol w:w="3890"/>
      </w:tblGrid>
      <w:tr w14:paraId="7A992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25B397C">
            <w:pPr>
              <w:pageBreakBefore w:val="0"/>
              <w:kinsoku/>
              <w:wordWrap/>
              <w:overflowPunct/>
              <w:topLinePunct w:val="0"/>
              <w:bidi w:val="0"/>
              <w:snapToGrid w:val="0"/>
              <w:spacing w:line="30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sz w:val="28"/>
                <w:szCs w:val="28"/>
                <w:highlight w:val="none"/>
                <w:lang w:val="en-US" w:eastAsia="zh-CN"/>
              </w:rPr>
              <w:t>名称</w:t>
            </w:r>
          </w:p>
        </w:tc>
        <w:tc>
          <w:tcPr>
            <w:tcW w:w="5299" w:type="dxa"/>
            <w:noWrap w:val="0"/>
            <w:vAlign w:val="center"/>
          </w:tcPr>
          <w:p w14:paraId="0F2FEDA1">
            <w:pPr>
              <w:pageBreakBefore w:val="0"/>
              <w:kinsoku/>
              <w:wordWrap/>
              <w:overflowPunct/>
              <w:topLinePunct w:val="0"/>
              <w:bidi w:val="0"/>
              <w:snapToGrid w:val="0"/>
              <w:spacing w:line="30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sz w:val="28"/>
                <w:szCs w:val="28"/>
                <w:highlight w:val="none"/>
              </w:rPr>
              <w:t>明细</w:t>
            </w:r>
          </w:p>
        </w:tc>
        <w:tc>
          <w:tcPr>
            <w:tcW w:w="6628" w:type="dxa"/>
            <w:noWrap w:val="0"/>
            <w:vAlign w:val="center"/>
          </w:tcPr>
          <w:p w14:paraId="16212C69">
            <w:pPr>
              <w:pageBreakBefore w:val="0"/>
              <w:kinsoku/>
              <w:wordWrap/>
              <w:overflowPunct/>
              <w:topLinePunct w:val="0"/>
              <w:bidi w:val="0"/>
              <w:snapToGrid w:val="0"/>
              <w:spacing w:line="30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服务内容及标准</w:t>
            </w:r>
          </w:p>
        </w:tc>
      </w:tr>
      <w:tr w14:paraId="3A903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43598CA">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室外面积</w:t>
            </w:r>
          </w:p>
        </w:tc>
        <w:tc>
          <w:tcPr>
            <w:tcW w:w="5299" w:type="dxa"/>
            <w:noWrap w:val="0"/>
            <w:vAlign w:val="center"/>
          </w:tcPr>
          <w:p w14:paraId="65579E1E">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3600平方米、</w:t>
            </w:r>
          </w:p>
        </w:tc>
        <w:tc>
          <w:tcPr>
            <w:tcW w:w="6628" w:type="dxa"/>
            <w:noWrap w:val="0"/>
            <w:vAlign w:val="center"/>
          </w:tcPr>
          <w:p w14:paraId="66A70063">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“3.6保安服务”</w:t>
            </w:r>
          </w:p>
        </w:tc>
      </w:tr>
      <w:tr w14:paraId="6E402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A11EC09">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rPr>
              <w:t>绿化</w:t>
            </w:r>
          </w:p>
        </w:tc>
        <w:tc>
          <w:tcPr>
            <w:tcW w:w="5299" w:type="dxa"/>
            <w:noWrap w:val="0"/>
            <w:vAlign w:val="center"/>
          </w:tcPr>
          <w:p w14:paraId="76CA7A4B">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300平方米、</w:t>
            </w:r>
          </w:p>
        </w:tc>
        <w:tc>
          <w:tcPr>
            <w:tcW w:w="6628" w:type="dxa"/>
            <w:noWrap w:val="0"/>
            <w:vAlign w:val="center"/>
          </w:tcPr>
          <w:p w14:paraId="48CB3009">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见“3.4保洁服务”“3.5绿化服务”</w:t>
            </w:r>
          </w:p>
        </w:tc>
      </w:tr>
      <w:tr w14:paraId="5933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BF2F9D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广场</w:t>
            </w:r>
          </w:p>
        </w:tc>
        <w:tc>
          <w:tcPr>
            <w:tcW w:w="5299" w:type="dxa"/>
            <w:noWrap w:val="0"/>
            <w:vAlign w:val="center"/>
          </w:tcPr>
          <w:p w14:paraId="57262E8B">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2000平方米、</w:t>
            </w:r>
          </w:p>
        </w:tc>
        <w:tc>
          <w:tcPr>
            <w:tcW w:w="6628" w:type="dxa"/>
            <w:noWrap w:val="0"/>
            <w:vAlign w:val="center"/>
          </w:tcPr>
          <w:p w14:paraId="25083984">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“3.6保安服务”</w:t>
            </w:r>
          </w:p>
        </w:tc>
      </w:tr>
      <w:tr w14:paraId="12ECF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106A59A">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路灯、草坪灯、音箱</w:t>
            </w:r>
          </w:p>
        </w:tc>
        <w:tc>
          <w:tcPr>
            <w:tcW w:w="5299" w:type="dxa"/>
            <w:noWrap w:val="0"/>
            <w:vAlign w:val="center"/>
          </w:tcPr>
          <w:p w14:paraId="3DAEF7C2">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lang w:val="en-US" w:eastAsia="zh-CN"/>
              </w:rPr>
              <w:t>路灯20个</w:t>
            </w:r>
          </w:p>
        </w:tc>
        <w:tc>
          <w:tcPr>
            <w:tcW w:w="6628" w:type="dxa"/>
            <w:noWrap w:val="0"/>
            <w:vAlign w:val="center"/>
          </w:tcPr>
          <w:p w14:paraId="31EEC2F8">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r w14:paraId="172F3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FCA22FD">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消防栓</w:t>
            </w:r>
          </w:p>
        </w:tc>
        <w:tc>
          <w:tcPr>
            <w:tcW w:w="5299" w:type="dxa"/>
            <w:noWrap w:val="0"/>
            <w:vAlign w:val="center"/>
          </w:tcPr>
          <w:p w14:paraId="4BC4F2E0">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0</w:t>
            </w:r>
          </w:p>
        </w:tc>
        <w:tc>
          <w:tcPr>
            <w:tcW w:w="6628" w:type="dxa"/>
            <w:noWrap w:val="0"/>
            <w:vAlign w:val="center"/>
          </w:tcPr>
          <w:p w14:paraId="24B99DAB">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r w14:paraId="0A4B8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4D54C49">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垃圾箱</w:t>
            </w:r>
          </w:p>
        </w:tc>
        <w:tc>
          <w:tcPr>
            <w:tcW w:w="5299" w:type="dxa"/>
            <w:noWrap w:val="0"/>
            <w:vAlign w:val="center"/>
          </w:tcPr>
          <w:p w14:paraId="62420482">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1个</w:t>
            </w:r>
          </w:p>
        </w:tc>
        <w:tc>
          <w:tcPr>
            <w:tcW w:w="6628" w:type="dxa"/>
            <w:noWrap w:val="0"/>
            <w:vAlign w:val="center"/>
          </w:tcPr>
          <w:p w14:paraId="40A239FA">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p>
        </w:tc>
      </w:tr>
      <w:tr w14:paraId="02C34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572E95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室外配电箱</w:t>
            </w:r>
          </w:p>
        </w:tc>
        <w:tc>
          <w:tcPr>
            <w:tcW w:w="5299" w:type="dxa"/>
            <w:noWrap w:val="0"/>
            <w:vAlign w:val="center"/>
          </w:tcPr>
          <w:p w14:paraId="5A7BFB2A">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2个</w:t>
            </w:r>
          </w:p>
        </w:tc>
        <w:tc>
          <w:tcPr>
            <w:tcW w:w="6628" w:type="dxa"/>
            <w:noWrap w:val="0"/>
            <w:vAlign w:val="center"/>
          </w:tcPr>
          <w:p w14:paraId="7CFA4418">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r w14:paraId="36CD8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9C53EEB">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门前三包</w:t>
            </w:r>
          </w:p>
        </w:tc>
        <w:tc>
          <w:tcPr>
            <w:tcW w:w="5299" w:type="dxa"/>
            <w:noWrap w:val="0"/>
            <w:vAlign w:val="center"/>
          </w:tcPr>
          <w:p w14:paraId="476E3B15">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200</w:t>
            </w:r>
          </w:p>
        </w:tc>
        <w:tc>
          <w:tcPr>
            <w:tcW w:w="6628" w:type="dxa"/>
            <w:noWrap w:val="0"/>
            <w:vAlign w:val="center"/>
          </w:tcPr>
          <w:p w14:paraId="0207B75D">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p>
        </w:tc>
      </w:tr>
      <w:tr w14:paraId="3510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92F734B">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露台</w:t>
            </w:r>
          </w:p>
        </w:tc>
        <w:tc>
          <w:tcPr>
            <w:tcW w:w="5299" w:type="dxa"/>
            <w:noWrap w:val="0"/>
            <w:vAlign w:val="center"/>
          </w:tcPr>
          <w:p w14:paraId="023972CD">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0</w:t>
            </w:r>
          </w:p>
        </w:tc>
        <w:tc>
          <w:tcPr>
            <w:tcW w:w="6628" w:type="dxa"/>
            <w:noWrap w:val="0"/>
            <w:vAlign w:val="center"/>
          </w:tcPr>
          <w:p w14:paraId="1994676D">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见“3.2房屋维护服务”“3.4保洁服务”</w:t>
            </w:r>
          </w:p>
        </w:tc>
      </w:tr>
      <w:tr w14:paraId="06275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343C201">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监控</w:t>
            </w:r>
          </w:p>
        </w:tc>
        <w:tc>
          <w:tcPr>
            <w:tcW w:w="5299" w:type="dxa"/>
            <w:noWrap w:val="0"/>
            <w:vAlign w:val="center"/>
          </w:tcPr>
          <w:p w14:paraId="23B58754">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47个</w:t>
            </w:r>
          </w:p>
        </w:tc>
        <w:tc>
          <w:tcPr>
            <w:tcW w:w="6628" w:type="dxa"/>
            <w:noWrap w:val="0"/>
            <w:vAlign w:val="center"/>
          </w:tcPr>
          <w:p w14:paraId="0803C9D2">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r w14:paraId="304FE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3D07413">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指示牌、显示屏</w:t>
            </w:r>
          </w:p>
        </w:tc>
        <w:tc>
          <w:tcPr>
            <w:tcW w:w="5299" w:type="dxa"/>
            <w:noWrap w:val="0"/>
            <w:vAlign w:val="center"/>
          </w:tcPr>
          <w:p w14:paraId="65EAF0F6">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lang w:val="en-US" w:eastAsia="zh-CN"/>
              </w:rPr>
              <w:t>3个</w:t>
            </w:r>
          </w:p>
        </w:tc>
        <w:tc>
          <w:tcPr>
            <w:tcW w:w="6628" w:type="dxa"/>
            <w:noWrap w:val="0"/>
            <w:vAlign w:val="center"/>
          </w:tcPr>
          <w:p w14:paraId="7463FE1C">
            <w:p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见“3.4保洁服务”</w:t>
            </w:r>
            <w:r>
              <w:rPr>
                <w:rFonts w:hint="eastAsia" w:ascii="宋体" w:hAnsi="宋体" w:eastAsia="宋体" w:cs="宋体"/>
                <w:color w:val="auto"/>
                <w:sz w:val="28"/>
                <w:szCs w:val="28"/>
                <w:highlight w:val="none"/>
                <w:lang w:val="en-US" w:eastAsia="zh-CN"/>
              </w:rPr>
              <w:t>“3.3公用设施设备维护服务”</w:t>
            </w:r>
          </w:p>
        </w:tc>
      </w:tr>
    </w:tbl>
    <w:p w14:paraId="7F4F392B">
      <w:pPr>
        <w:pStyle w:val="3"/>
        <w:bidi w:val="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sz w:val="28"/>
          <w:szCs w:val="28"/>
          <w:highlight w:val="none"/>
          <w:lang w:val="en-US" w:eastAsia="zh-CN"/>
        </w:rPr>
        <w:t>3.物业管理服务内容及标准</w:t>
      </w:r>
    </w:p>
    <w:p w14:paraId="748411FB">
      <w:pPr>
        <w:pageBreakBefore w:val="0"/>
        <w:kinsoku/>
        <w:wordWrap/>
        <w:overflowPunct/>
        <w:topLinePunct w:val="0"/>
        <w:bidi w:val="0"/>
        <w:snapToGrid w:val="0"/>
        <w:spacing w:line="300" w:lineRule="auto"/>
        <w:ind w:firstLine="560" w:firstLineChars="200"/>
        <w:outlineLvl w:val="9"/>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8"/>
          <w:szCs w:val="28"/>
          <w:highlight w:val="none"/>
          <w:u w:val="none"/>
          <w:lang w:val="en-US" w:eastAsia="zh-CN" w:bidi="ar-SA"/>
        </w:rPr>
        <w:t>物业管理服务包括基本服务、房屋维护服务、公用设施设备维护服务、保洁服务、绿化服务、保安服务、会议服务等。</w:t>
      </w:r>
    </w:p>
    <w:bookmarkEnd w:id="2"/>
    <w:bookmarkEnd w:id="3"/>
    <w:p w14:paraId="5668B31E">
      <w:pPr>
        <w:pStyle w:val="4"/>
        <w:rPr>
          <w:rFonts w:hint="eastAsia" w:ascii="宋体" w:hAnsi="宋体" w:eastAsia="宋体" w:cs="宋体"/>
          <w:kern w:val="2"/>
          <w:sz w:val="28"/>
          <w:szCs w:val="28"/>
          <w:highlight w:val="none"/>
          <w:lang w:val="en-US" w:eastAsia="zh-CN" w:bidi="ar"/>
        </w:rPr>
      </w:pPr>
      <w:bookmarkStart w:id="4" w:name="_Toc10498"/>
      <w:bookmarkStart w:id="5" w:name="_Toc26485"/>
      <w:bookmarkStart w:id="6" w:name="_Toc26156"/>
      <w:r>
        <w:rPr>
          <w:rFonts w:hint="eastAsia" w:ascii="宋体" w:hAnsi="宋体" w:eastAsia="宋体" w:cs="宋体"/>
          <w:sz w:val="28"/>
          <w:szCs w:val="28"/>
          <w:highlight w:val="none"/>
          <w:lang w:val="en-US" w:eastAsia="zh-CN"/>
        </w:rPr>
        <w:t>3.</w:t>
      </w:r>
      <w:bookmarkEnd w:id="4"/>
      <w:bookmarkEnd w:id="5"/>
      <w:bookmarkEnd w:id="6"/>
      <w:r>
        <w:rPr>
          <w:rFonts w:hint="eastAsia" w:ascii="宋体" w:hAnsi="宋体" w:eastAsia="宋体" w:cs="宋体"/>
          <w:kern w:val="2"/>
          <w:sz w:val="28"/>
          <w:szCs w:val="28"/>
          <w:highlight w:val="none"/>
          <w:lang w:val="en-US" w:eastAsia="zh-CN" w:bidi="ar"/>
        </w:rPr>
        <w:t>1基本服务</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30"/>
        <w:gridCol w:w="5862"/>
      </w:tblGrid>
      <w:tr w14:paraId="699C7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41B8380F">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297" w:type="dxa"/>
            <w:noWrap w:val="0"/>
            <w:vAlign w:val="center"/>
          </w:tcPr>
          <w:p w14:paraId="7F3AE9DE">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10016" w:type="dxa"/>
            <w:noWrap w:val="0"/>
            <w:vAlign w:val="center"/>
          </w:tcPr>
          <w:p w14:paraId="2FA71427">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39596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34AF95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297" w:type="dxa"/>
            <w:noWrap w:val="0"/>
            <w:vAlign w:val="center"/>
          </w:tcPr>
          <w:p w14:paraId="12BC60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目标与责任</w:t>
            </w:r>
          </w:p>
        </w:tc>
        <w:tc>
          <w:tcPr>
            <w:tcW w:w="10016" w:type="dxa"/>
            <w:noWrap w:val="0"/>
            <w:vAlign w:val="center"/>
          </w:tcPr>
          <w:p w14:paraId="1163D2E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（1）结合采购人要求及物业服务实际情况，制定年度管理目标，明确责任分工，并制定配套实施方案。</w:t>
            </w:r>
          </w:p>
        </w:tc>
      </w:tr>
      <w:tr w14:paraId="25DF2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541ED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297" w:type="dxa"/>
            <w:vMerge w:val="restart"/>
            <w:noWrap w:val="0"/>
            <w:vAlign w:val="center"/>
          </w:tcPr>
          <w:p w14:paraId="16B9CA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服务人员要求</w:t>
            </w:r>
          </w:p>
        </w:tc>
        <w:tc>
          <w:tcPr>
            <w:tcW w:w="10016" w:type="dxa"/>
            <w:noWrap w:val="0"/>
            <w:vAlign w:val="center"/>
          </w:tcPr>
          <w:p w14:paraId="1C6C24F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（1）每季度至少开展1次岗位技能、职业素质、服务知识、客户文化、绿色节能环保等教育培训，并进行适当形式的考核。</w:t>
            </w:r>
          </w:p>
        </w:tc>
      </w:tr>
      <w:tr w14:paraId="7B5CC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4CCBE52">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35C9F5BA">
            <w:pPr>
              <w:bidi w:val="0"/>
              <w:rPr>
                <w:rFonts w:hint="eastAsia" w:ascii="宋体" w:hAnsi="宋体" w:eastAsia="宋体" w:cs="宋体"/>
                <w:sz w:val="28"/>
                <w:szCs w:val="28"/>
                <w:highlight w:val="none"/>
                <w:lang w:val="en-US" w:eastAsia="zh-CN"/>
              </w:rPr>
            </w:pPr>
          </w:p>
        </w:tc>
        <w:tc>
          <w:tcPr>
            <w:tcW w:w="10016" w:type="dxa"/>
            <w:noWrap w:val="0"/>
            <w:vAlign w:val="center"/>
          </w:tcPr>
          <w:p w14:paraId="7327162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（2）根据采购人要求对服务人员进行从业资格审查，审查结果向采购人报备。</w:t>
            </w:r>
          </w:p>
        </w:tc>
      </w:tr>
      <w:tr w14:paraId="5385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FA9E34E">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1705AB72">
            <w:pPr>
              <w:bidi w:val="0"/>
              <w:rPr>
                <w:rFonts w:hint="eastAsia" w:ascii="宋体" w:hAnsi="宋体" w:eastAsia="宋体" w:cs="宋体"/>
                <w:sz w:val="28"/>
                <w:szCs w:val="28"/>
                <w:highlight w:val="none"/>
                <w:lang w:val="en-US" w:eastAsia="zh-CN"/>
              </w:rPr>
            </w:pPr>
          </w:p>
        </w:tc>
        <w:tc>
          <w:tcPr>
            <w:tcW w:w="10016" w:type="dxa"/>
            <w:noWrap w:val="0"/>
            <w:vAlign w:val="center"/>
          </w:tcPr>
          <w:p w14:paraId="50E5DB5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bCs/>
                <w:color w:val="auto"/>
                <w:sz w:val="28"/>
                <w:szCs w:val="28"/>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179C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4C87A78">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3CCEBBB3">
            <w:pPr>
              <w:bidi w:val="0"/>
              <w:rPr>
                <w:rFonts w:hint="eastAsia" w:ascii="宋体" w:hAnsi="宋体" w:eastAsia="宋体" w:cs="宋体"/>
                <w:sz w:val="28"/>
                <w:szCs w:val="28"/>
                <w:highlight w:val="none"/>
                <w:lang w:val="en-US" w:eastAsia="zh-CN"/>
              </w:rPr>
            </w:pPr>
          </w:p>
        </w:tc>
        <w:tc>
          <w:tcPr>
            <w:tcW w:w="10016" w:type="dxa"/>
            <w:noWrap w:val="0"/>
            <w:vAlign w:val="center"/>
          </w:tcPr>
          <w:p w14:paraId="6B890B0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w:t>
            </w:r>
            <w:r>
              <w:rPr>
                <w:rFonts w:hint="eastAsia" w:ascii="宋体" w:hAnsi="宋体" w:eastAsia="宋体" w:cs="宋体"/>
                <w:bCs/>
                <w:color w:val="auto"/>
                <w:sz w:val="28"/>
                <w:szCs w:val="28"/>
                <w:highlight w:val="none"/>
                <w:lang w:val="en-US" w:eastAsia="zh-CN"/>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14:paraId="4AE6D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DE048F8">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48D7FA03">
            <w:pPr>
              <w:bidi w:val="0"/>
              <w:rPr>
                <w:rFonts w:hint="eastAsia" w:ascii="宋体" w:hAnsi="宋体" w:eastAsia="宋体" w:cs="宋体"/>
                <w:sz w:val="28"/>
                <w:szCs w:val="28"/>
                <w:highlight w:val="none"/>
                <w:lang w:val="en-US" w:eastAsia="zh-CN"/>
              </w:rPr>
            </w:pPr>
          </w:p>
        </w:tc>
        <w:tc>
          <w:tcPr>
            <w:tcW w:w="10016" w:type="dxa"/>
            <w:noWrap w:val="0"/>
            <w:vAlign w:val="center"/>
          </w:tcPr>
          <w:p w14:paraId="2BC3B2A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（5）着装分类统一，佩戴标识。仪容整洁、姿态端正、举止文明。用语文明礼貌，态度温和耐心。</w:t>
            </w:r>
          </w:p>
        </w:tc>
      </w:tr>
      <w:tr w14:paraId="2D3CA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AE84B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297" w:type="dxa"/>
            <w:vMerge w:val="restart"/>
            <w:noWrap w:val="0"/>
            <w:vAlign w:val="center"/>
          </w:tcPr>
          <w:p w14:paraId="1128B8B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保密和思想政治教育</w:t>
            </w:r>
          </w:p>
        </w:tc>
        <w:tc>
          <w:tcPr>
            <w:tcW w:w="10016" w:type="dxa"/>
            <w:noWrap w:val="0"/>
            <w:vAlign w:val="center"/>
          </w:tcPr>
          <w:p w14:paraId="5A8548D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（1）建立保密管理制度。制度内容应当包括但不限于：①明确重点要害岗位保密职责。②对涉密工作岗位的保密要求。</w:t>
            </w:r>
          </w:p>
        </w:tc>
      </w:tr>
      <w:tr w14:paraId="3734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C611293">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046D793F">
            <w:pPr>
              <w:bidi w:val="0"/>
              <w:rPr>
                <w:rFonts w:hint="eastAsia" w:ascii="宋体" w:hAnsi="宋体" w:eastAsia="宋体" w:cs="宋体"/>
                <w:sz w:val="28"/>
                <w:szCs w:val="28"/>
                <w:highlight w:val="none"/>
                <w:lang w:val="en-US" w:eastAsia="zh-CN"/>
              </w:rPr>
            </w:pPr>
          </w:p>
        </w:tc>
        <w:tc>
          <w:tcPr>
            <w:tcW w:w="10016" w:type="dxa"/>
            <w:noWrap w:val="0"/>
            <w:vAlign w:val="center"/>
          </w:tcPr>
          <w:p w14:paraId="2CB014C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（2）根据采购人要求与涉密工作岗位的服务人员签订保密协议。保密协议应当向采购人报备。</w:t>
            </w:r>
          </w:p>
        </w:tc>
      </w:tr>
      <w:tr w14:paraId="1CC64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905AB16">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069218D8">
            <w:pPr>
              <w:bidi w:val="0"/>
              <w:rPr>
                <w:rFonts w:hint="eastAsia" w:ascii="宋体" w:hAnsi="宋体" w:eastAsia="宋体" w:cs="宋体"/>
                <w:sz w:val="28"/>
                <w:szCs w:val="28"/>
                <w:highlight w:val="none"/>
                <w:lang w:val="en-US" w:eastAsia="zh-CN"/>
              </w:rPr>
            </w:pPr>
          </w:p>
        </w:tc>
        <w:tc>
          <w:tcPr>
            <w:tcW w:w="10016" w:type="dxa"/>
            <w:noWrap w:val="0"/>
            <w:vAlign w:val="center"/>
          </w:tcPr>
          <w:p w14:paraId="5398FE5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7791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51C69A9">
            <w:pPr>
              <w:bidi w:val="0"/>
              <w:jc w:val="center"/>
              <w:rPr>
                <w:rFonts w:hint="eastAsia" w:ascii="宋体" w:hAnsi="宋体" w:eastAsia="宋体" w:cs="宋体"/>
                <w:sz w:val="28"/>
                <w:szCs w:val="28"/>
                <w:highlight w:val="none"/>
                <w:lang w:val="en-US" w:eastAsia="zh-CN"/>
              </w:rPr>
            </w:pPr>
          </w:p>
        </w:tc>
        <w:tc>
          <w:tcPr>
            <w:tcW w:w="3297" w:type="dxa"/>
            <w:vMerge w:val="continue"/>
            <w:noWrap w:val="0"/>
            <w:vAlign w:val="center"/>
          </w:tcPr>
          <w:p w14:paraId="1930A27C">
            <w:pPr>
              <w:bidi w:val="0"/>
              <w:rPr>
                <w:rFonts w:hint="eastAsia" w:ascii="宋体" w:hAnsi="宋体" w:eastAsia="宋体" w:cs="宋体"/>
                <w:sz w:val="28"/>
                <w:szCs w:val="28"/>
                <w:highlight w:val="none"/>
                <w:lang w:val="en-US" w:eastAsia="zh-CN"/>
              </w:rPr>
            </w:pPr>
          </w:p>
        </w:tc>
        <w:tc>
          <w:tcPr>
            <w:tcW w:w="10016" w:type="dxa"/>
            <w:noWrap w:val="0"/>
            <w:vAlign w:val="center"/>
          </w:tcPr>
          <w:p w14:paraId="00AC9E7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（4）发现服务人员违法违规或重大过失，及时报告采购人，并采取必要补救措施。</w:t>
            </w:r>
          </w:p>
        </w:tc>
      </w:tr>
      <w:tr w14:paraId="25EDC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6F74E6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297" w:type="dxa"/>
            <w:vMerge w:val="restart"/>
            <w:noWrap w:val="0"/>
            <w:vAlign w:val="center"/>
          </w:tcPr>
          <w:p w14:paraId="0EA039A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档案管理</w:t>
            </w:r>
          </w:p>
        </w:tc>
        <w:tc>
          <w:tcPr>
            <w:tcW w:w="10016" w:type="dxa"/>
            <w:noWrap w:val="0"/>
            <w:vAlign w:val="center"/>
          </w:tcPr>
          <w:p w14:paraId="2418DA0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（1）建立物业信息，准确、及时地对文件资料和服务记录进行归档保存，并确保其物理安全。</w:t>
            </w:r>
          </w:p>
        </w:tc>
      </w:tr>
      <w:tr w14:paraId="4DE9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20ED7BC">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6A759F5F">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0AB2AEC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宋体" w:hAnsi="宋体" w:eastAsia="宋体" w:cs="宋体"/>
                <w:color w:val="auto"/>
                <w:kern w:val="0"/>
                <w:sz w:val="28"/>
                <w:szCs w:val="28"/>
                <w:highlight w:val="none"/>
              </w:rPr>
              <w:t>设施设备安全运行、设施设备定期巡检、维护保养、维修档案</w:t>
            </w:r>
            <w:r>
              <w:rPr>
                <w:rFonts w:hint="eastAsia" w:ascii="宋体" w:hAnsi="宋体" w:eastAsia="宋体" w:cs="宋体"/>
                <w:b w:val="0"/>
                <w:bCs w:val="0"/>
                <w:color w:val="auto"/>
                <w:kern w:val="0"/>
                <w:sz w:val="28"/>
                <w:szCs w:val="28"/>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1B43E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027D9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239EB7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5F89643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（3）遵守采购人的信息、档案资料保密要求，未经许可，不得将建筑物平面图等资料转作其他用途或向其他单位、个人提供。</w:t>
            </w:r>
          </w:p>
        </w:tc>
      </w:tr>
      <w:tr w14:paraId="7A1C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5EDFF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6769AB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40D16E4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（4）履约结束后，相关资料交还采购人，采购人按政府采购相关规定存档。</w:t>
            </w:r>
          </w:p>
        </w:tc>
      </w:tr>
      <w:tr w14:paraId="7DED6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518987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3297" w:type="dxa"/>
            <w:vMerge w:val="restart"/>
            <w:noWrap w:val="0"/>
            <w:vAlign w:val="center"/>
          </w:tcPr>
          <w:p w14:paraId="6CB641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分包供应商管理</w:t>
            </w:r>
          </w:p>
        </w:tc>
        <w:tc>
          <w:tcPr>
            <w:tcW w:w="10016" w:type="dxa"/>
            <w:noWrap w:val="0"/>
            <w:vAlign w:val="center"/>
          </w:tcPr>
          <w:p w14:paraId="06C7162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（1）合理控制外包服务人员数量和流动率。</w:t>
            </w:r>
          </w:p>
        </w:tc>
      </w:tr>
      <w:tr w14:paraId="00E8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E6B92A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079019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7EC9C13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（2）根据采购人要求明确对分包供应商的要求，确定工作流程。</w:t>
            </w:r>
          </w:p>
        </w:tc>
      </w:tr>
      <w:tr w14:paraId="1771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5C7B5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6200FD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120C254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（3）明确安全管理责任和保密责任，签订安全管理责任书和保密责任书。</w:t>
            </w:r>
          </w:p>
        </w:tc>
      </w:tr>
      <w:tr w14:paraId="5A5A7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8EA92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6CBDDC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531A443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（4）开展服务检查和监管，评估服务效果，必要时进行服务流程调整。</w:t>
            </w:r>
          </w:p>
        </w:tc>
      </w:tr>
      <w:tr w14:paraId="37343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AAB9C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6054AB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465DFFC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（5）根据工作反馈意见与建议，持续提升服务品质。</w:t>
            </w:r>
          </w:p>
        </w:tc>
      </w:tr>
      <w:tr w14:paraId="59778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282E6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w:t>
            </w:r>
          </w:p>
          <w:p w14:paraId="19ECE6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restart"/>
            <w:noWrap w:val="0"/>
            <w:vAlign w:val="center"/>
          </w:tcPr>
          <w:p w14:paraId="2A7B77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服务改进</w:t>
            </w:r>
          </w:p>
          <w:p w14:paraId="0530BF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2034ABF5">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（1）明确负责人，定期对物业服务过程进行自查，结合反馈意见与评价结果采取改进措施，持续提升管理与服务水平。</w:t>
            </w:r>
          </w:p>
        </w:tc>
      </w:tr>
      <w:tr w14:paraId="19352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12981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009E9B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3ADCA73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（2）对不合格服务进行控制，对不合格服务的原因进行识别和分析，及时采取纠正措施，消除不合格的原因，防止不合格再发生。</w:t>
            </w:r>
          </w:p>
        </w:tc>
      </w:tr>
      <w:tr w14:paraId="088DC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6C623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7CD354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16" w:type="dxa"/>
            <w:noWrap w:val="0"/>
            <w:vAlign w:val="center"/>
          </w:tcPr>
          <w:p w14:paraId="73E758C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（3）需整改问题及时整改完成。</w:t>
            </w:r>
          </w:p>
        </w:tc>
      </w:tr>
      <w:tr w14:paraId="72463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5A4EE5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p>
        </w:tc>
        <w:tc>
          <w:tcPr>
            <w:tcW w:w="3297" w:type="dxa"/>
            <w:vMerge w:val="restart"/>
            <w:noWrap w:val="0"/>
            <w:vAlign w:val="center"/>
          </w:tcPr>
          <w:p w14:paraId="6B5DD3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重大活动后勤保障</w:t>
            </w:r>
          </w:p>
        </w:tc>
        <w:tc>
          <w:tcPr>
            <w:tcW w:w="10016" w:type="dxa"/>
            <w:noWrap w:val="0"/>
            <w:vAlign w:val="center"/>
          </w:tcPr>
          <w:p w14:paraId="24D0DEA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（1）制订流程。配合采购人制订重大活动后勤保障工作流程，需对任务进行详细了解，并根据工作安排制定详细的后勤保障计划。</w:t>
            </w:r>
          </w:p>
        </w:tc>
      </w:tr>
      <w:tr w14:paraId="2460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3" w:hRule="atLeast"/>
        </w:trPr>
        <w:tc>
          <w:tcPr>
            <w:tcW w:w="1230" w:type="dxa"/>
            <w:vMerge w:val="continue"/>
            <w:noWrap w:val="0"/>
            <w:vAlign w:val="center"/>
          </w:tcPr>
          <w:p w14:paraId="232B2946">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1843F420">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2036061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5EBF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05923D0">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1B5121B9">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5E019BD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（3）收尾工作。对现场进行检查，做好清理工作。</w:t>
            </w:r>
          </w:p>
        </w:tc>
      </w:tr>
      <w:tr w14:paraId="235D2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074F56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8</w:t>
            </w:r>
          </w:p>
        </w:tc>
        <w:tc>
          <w:tcPr>
            <w:tcW w:w="3297" w:type="dxa"/>
            <w:vMerge w:val="restart"/>
            <w:noWrap w:val="0"/>
            <w:vAlign w:val="center"/>
          </w:tcPr>
          <w:p w14:paraId="2FBDDB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color w:val="auto"/>
                <w:kern w:val="0"/>
                <w:sz w:val="28"/>
                <w:szCs w:val="28"/>
                <w:highlight w:val="none"/>
                <w:lang w:val="en-US" w:eastAsia="zh-CN"/>
              </w:rPr>
              <w:t>应急保障预案</w:t>
            </w:r>
          </w:p>
        </w:tc>
        <w:tc>
          <w:tcPr>
            <w:tcW w:w="10016" w:type="dxa"/>
            <w:noWrap w:val="0"/>
            <w:vAlign w:val="center"/>
          </w:tcPr>
          <w:p w14:paraId="6C9D99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color w:val="auto"/>
                <w:sz w:val="28"/>
                <w:szCs w:val="28"/>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3DDB1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1A85BE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8"/>
                <w:szCs w:val="28"/>
                <w:highlight w:val="none"/>
                <w:lang w:val="en-US" w:eastAsia="zh-CN"/>
              </w:rPr>
            </w:pPr>
          </w:p>
        </w:tc>
        <w:tc>
          <w:tcPr>
            <w:tcW w:w="3297" w:type="dxa"/>
            <w:vMerge w:val="continue"/>
            <w:noWrap w:val="0"/>
            <w:vAlign w:val="center"/>
          </w:tcPr>
          <w:p w14:paraId="26E177A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color w:val="auto"/>
                <w:kern w:val="0"/>
                <w:sz w:val="28"/>
                <w:szCs w:val="28"/>
                <w:highlight w:val="none"/>
                <w:lang w:val="en-US" w:eastAsia="zh-CN"/>
              </w:rPr>
            </w:pPr>
          </w:p>
        </w:tc>
        <w:tc>
          <w:tcPr>
            <w:tcW w:w="10016" w:type="dxa"/>
            <w:noWrap w:val="0"/>
            <w:vAlign w:val="center"/>
          </w:tcPr>
          <w:p w14:paraId="2E5C59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color w:val="auto"/>
                <w:sz w:val="28"/>
                <w:szCs w:val="28"/>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0D27C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76E84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8"/>
                <w:szCs w:val="28"/>
                <w:highlight w:val="none"/>
                <w:lang w:val="en-US" w:eastAsia="zh-CN"/>
              </w:rPr>
            </w:pPr>
          </w:p>
        </w:tc>
        <w:tc>
          <w:tcPr>
            <w:tcW w:w="3297" w:type="dxa"/>
            <w:vMerge w:val="continue"/>
            <w:noWrap w:val="0"/>
            <w:vAlign w:val="center"/>
          </w:tcPr>
          <w:p w14:paraId="48459C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color w:val="auto"/>
                <w:kern w:val="0"/>
                <w:sz w:val="28"/>
                <w:szCs w:val="28"/>
                <w:highlight w:val="none"/>
                <w:lang w:val="en-US" w:eastAsia="zh-CN"/>
              </w:rPr>
            </w:pPr>
          </w:p>
        </w:tc>
        <w:tc>
          <w:tcPr>
            <w:tcW w:w="10016" w:type="dxa"/>
            <w:noWrap w:val="0"/>
            <w:vAlign w:val="center"/>
          </w:tcPr>
          <w:p w14:paraId="71C969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color w:val="auto"/>
                <w:sz w:val="28"/>
                <w:szCs w:val="28"/>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618B7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AAEBE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8"/>
                <w:szCs w:val="28"/>
                <w:highlight w:val="none"/>
                <w:lang w:val="en-US" w:eastAsia="zh-CN"/>
              </w:rPr>
            </w:pPr>
          </w:p>
        </w:tc>
        <w:tc>
          <w:tcPr>
            <w:tcW w:w="3297" w:type="dxa"/>
            <w:vMerge w:val="continue"/>
            <w:noWrap w:val="0"/>
            <w:vAlign w:val="center"/>
          </w:tcPr>
          <w:p w14:paraId="107810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45786F5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w:t>
            </w:r>
            <w:r>
              <w:rPr>
                <w:rFonts w:hint="eastAsia" w:ascii="宋体" w:hAnsi="宋体" w:eastAsia="宋体" w:cs="宋体"/>
                <w:color w:val="auto"/>
                <w:sz w:val="28"/>
                <w:szCs w:val="28"/>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46BC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44674A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w:t>
            </w:r>
          </w:p>
        </w:tc>
        <w:tc>
          <w:tcPr>
            <w:tcW w:w="3297" w:type="dxa"/>
            <w:vMerge w:val="restart"/>
            <w:noWrap w:val="0"/>
            <w:vAlign w:val="center"/>
          </w:tcPr>
          <w:p w14:paraId="3113BC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服务方案及工作制度</w:t>
            </w:r>
          </w:p>
        </w:tc>
        <w:tc>
          <w:tcPr>
            <w:tcW w:w="10016" w:type="dxa"/>
            <w:noWrap w:val="0"/>
            <w:vAlign w:val="center"/>
          </w:tcPr>
          <w:p w14:paraId="11073B4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Cs/>
                <w:color w:val="auto"/>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（1）制定工作制度，</w:t>
            </w:r>
            <w:r>
              <w:rPr>
                <w:rFonts w:hint="eastAsia" w:ascii="宋体" w:hAnsi="宋体" w:eastAsia="宋体" w:cs="宋体"/>
                <w:bCs/>
                <w:color w:val="auto"/>
                <w:sz w:val="28"/>
                <w:szCs w:val="28"/>
                <w:highlight w:val="none"/>
                <w:lang w:eastAsia="zh-CN"/>
              </w:rPr>
              <w:t>主要</w:t>
            </w:r>
            <w:r>
              <w:rPr>
                <w:rFonts w:hint="eastAsia" w:ascii="宋体" w:hAnsi="宋体" w:eastAsia="宋体" w:cs="宋体"/>
                <w:bCs/>
                <w:color w:val="auto"/>
                <w:sz w:val="28"/>
                <w:szCs w:val="28"/>
                <w:highlight w:val="none"/>
              </w:rPr>
              <w:t>包括：</w:t>
            </w:r>
            <w:r>
              <w:rPr>
                <w:rFonts w:hint="eastAsia" w:ascii="宋体" w:hAnsi="宋体" w:eastAsia="宋体" w:cs="宋体"/>
                <w:bCs/>
                <w:color w:val="auto"/>
                <w:sz w:val="28"/>
                <w:szCs w:val="28"/>
                <w:highlight w:val="none"/>
                <w:lang w:val="en-US" w:eastAsia="zh-CN"/>
              </w:rPr>
              <w:t>人员录用制度、</w:t>
            </w:r>
            <w:r>
              <w:rPr>
                <w:rFonts w:hint="eastAsia" w:ascii="宋体" w:hAnsi="宋体" w:eastAsia="宋体" w:cs="宋体"/>
                <w:b w:val="0"/>
                <w:bCs w:val="0"/>
                <w:color w:val="auto"/>
                <w:kern w:val="0"/>
                <w:sz w:val="28"/>
                <w:szCs w:val="28"/>
                <w:highlight w:val="none"/>
                <w:lang w:val="en-US" w:eastAsia="zh-CN"/>
              </w:rPr>
              <w:t>档案管理制度、</w:t>
            </w:r>
            <w:r>
              <w:rPr>
                <w:rFonts w:hint="eastAsia" w:ascii="宋体" w:hAnsi="宋体" w:eastAsia="宋体" w:cs="宋体"/>
                <w:bCs/>
                <w:color w:val="auto"/>
                <w:sz w:val="28"/>
                <w:szCs w:val="28"/>
                <w:highlight w:val="none"/>
              </w:rPr>
              <w:t>物业服务管理制度</w:t>
            </w:r>
            <w:r>
              <w:rPr>
                <w:rFonts w:hint="eastAsia" w:ascii="宋体" w:hAnsi="宋体" w:eastAsia="宋体" w:cs="宋体"/>
                <w:bCs/>
                <w:color w:val="auto"/>
                <w:sz w:val="28"/>
                <w:szCs w:val="28"/>
                <w:highlight w:val="none"/>
                <w:lang w:eastAsia="zh-CN"/>
              </w:rPr>
              <w:t>、</w:t>
            </w:r>
            <w:r>
              <w:rPr>
                <w:rFonts w:hint="eastAsia" w:ascii="宋体" w:hAnsi="宋体" w:eastAsia="宋体" w:cs="宋体"/>
                <w:b w:val="0"/>
                <w:bCs w:val="0"/>
                <w:color w:val="auto"/>
                <w:kern w:val="0"/>
                <w:sz w:val="28"/>
                <w:szCs w:val="28"/>
                <w:highlight w:val="none"/>
                <w:lang w:val="en-US" w:eastAsia="zh-CN"/>
              </w:rPr>
              <w:t>公用设施设备相关管理制度等</w:t>
            </w:r>
            <w:r>
              <w:rPr>
                <w:rFonts w:hint="eastAsia" w:ascii="宋体" w:hAnsi="宋体" w:eastAsia="宋体" w:cs="宋体"/>
                <w:bCs/>
                <w:color w:val="auto"/>
                <w:sz w:val="28"/>
                <w:szCs w:val="28"/>
                <w:highlight w:val="none"/>
                <w:lang w:eastAsia="zh-CN"/>
              </w:rPr>
              <w:t>。</w:t>
            </w:r>
          </w:p>
        </w:tc>
      </w:tr>
      <w:tr w14:paraId="6436D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5FE74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24BA37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39BDA40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（2）制定</w:t>
            </w:r>
            <w:r>
              <w:rPr>
                <w:rFonts w:hint="eastAsia" w:ascii="宋体" w:hAnsi="宋体" w:eastAsia="宋体" w:cs="宋体"/>
                <w:bCs/>
                <w:color w:val="auto"/>
                <w:sz w:val="28"/>
                <w:szCs w:val="28"/>
                <w:highlight w:val="none"/>
              </w:rPr>
              <w:t>项目实施方案</w:t>
            </w:r>
            <w:r>
              <w:rPr>
                <w:rFonts w:hint="eastAsia" w:ascii="宋体" w:hAnsi="宋体" w:eastAsia="宋体" w:cs="宋体"/>
                <w:bCs/>
                <w:color w:val="auto"/>
                <w:sz w:val="28"/>
                <w:szCs w:val="28"/>
                <w:highlight w:val="none"/>
                <w:lang w:eastAsia="zh-CN"/>
              </w:rPr>
              <w:t>，主要</w:t>
            </w:r>
            <w:r>
              <w:rPr>
                <w:rFonts w:hint="eastAsia" w:ascii="宋体" w:hAnsi="宋体" w:eastAsia="宋体" w:cs="宋体"/>
                <w:bCs/>
                <w:color w:val="auto"/>
                <w:sz w:val="28"/>
                <w:szCs w:val="28"/>
                <w:highlight w:val="none"/>
              </w:rPr>
              <w:t>包括：</w:t>
            </w:r>
            <w:r>
              <w:rPr>
                <w:rFonts w:hint="eastAsia" w:ascii="宋体" w:hAnsi="宋体" w:eastAsia="宋体" w:cs="宋体"/>
                <w:bCs/>
                <w:color w:val="auto"/>
                <w:sz w:val="28"/>
                <w:szCs w:val="28"/>
                <w:highlight w:val="none"/>
                <w:lang w:val="en-US" w:eastAsia="zh-CN"/>
              </w:rPr>
              <w:t>交接</w:t>
            </w:r>
            <w:r>
              <w:rPr>
                <w:rFonts w:hint="eastAsia" w:ascii="宋体" w:hAnsi="宋体" w:eastAsia="宋体" w:cs="宋体"/>
                <w:bCs/>
                <w:color w:val="auto"/>
                <w:sz w:val="28"/>
                <w:szCs w:val="28"/>
                <w:highlight w:val="none"/>
              </w:rPr>
              <w:t>方案、人员培训方案、人员稳定性方案、保密方案</w:t>
            </w:r>
            <w:r>
              <w:rPr>
                <w:rFonts w:hint="eastAsia" w:ascii="宋体" w:hAnsi="宋体" w:eastAsia="宋体" w:cs="宋体"/>
                <w:bCs/>
                <w:color w:val="auto"/>
                <w:sz w:val="28"/>
                <w:szCs w:val="28"/>
                <w:highlight w:val="none"/>
                <w:lang w:eastAsia="zh-CN"/>
              </w:rPr>
              <w:t>等</w:t>
            </w:r>
            <w:r>
              <w:rPr>
                <w:rFonts w:hint="eastAsia" w:ascii="宋体" w:hAnsi="宋体" w:eastAsia="宋体" w:cs="宋体"/>
                <w:bCs/>
                <w:color w:val="auto"/>
                <w:sz w:val="28"/>
                <w:szCs w:val="28"/>
                <w:highlight w:val="none"/>
              </w:rPr>
              <w:t>。</w:t>
            </w:r>
          </w:p>
        </w:tc>
      </w:tr>
      <w:tr w14:paraId="598D4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9F443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5D7F83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6E6C5C4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（3）制定</w:t>
            </w:r>
            <w:r>
              <w:rPr>
                <w:rFonts w:hint="eastAsia" w:ascii="宋体" w:hAnsi="宋体" w:eastAsia="宋体" w:cs="宋体"/>
                <w:bCs/>
                <w:color w:val="auto"/>
                <w:sz w:val="28"/>
                <w:szCs w:val="28"/>
                <w:highlight w:val="none"/>
              </w:rPr>
              <w:t>物业服务方案</w:t>
            </w:r>
            <w:r>
              <w:rPr>
                <w:rFonts w:hint="eastAsia" w:ascii="宋体" w:hAnsi="宋体" w:eastAsia="宋体" w:cs="宋体"/>
                <w:bCs/>
                <w:color w:val="auto"/>
                <w:sz w:val="28"/>
                <w:szCs w:val="28"/>
                <w:highlight w:val="none"/>
                <w:lang w:eastAsia="zh-CN"/>
              </w:rPr>
              <w:t>，主要</w:t>
            </w:r>
            <w:r>
              <w:rPr>
                <w:rFonts w:hint="eastAsia" w:ascii="宋体" w:hAnsi="宋体" w:eastAsia="宋体" w:cs="宋体"/>
                <w:bCs/>
                <w:color w:val="auto"/>
                <w:sz w:val="28"/>
                <w:szCs w:val="28"/>
                <w:highlight w:val="none"/>
              </w:rPr>
              <w:t>包括：</w:t>
            </w:r>
            <w:r>
              <w:rPr>
                <w:rFonts w:hint="eastAsia" w:ascii="宋体" w:hAnsi="宋体" w:eastAsia="宋体" w:cs="宋体"/>
                <w:bCs/>
                <w:color w:val="auto"/>
                <w:sz w:val="28"/>
                <w:szCs w:val="28"/>
                <w:highlight w:val="none"/>
                <w:lang w:val="en-US" w:eastAsia="zh-CN"/>
              </w:rPr>
              <w:t>房屋维护服务方案、公用设施设备维护服务方案、</w:t>
            </w:r>
            <w:r>
              <w:rPr>
                <w:rFonts w:hint="eastAsia" w:ascii="宋体" w:hAnsi="宋体" w:eastAsia="宋体" w:cs="宋体"/>
                <w:bCs/>
                <w:color w:val="auto"/>
                <w:sz w:val="28"/>
                <w:szCs w:val="28"/>
                <w:highlight w:val="none"/>
              </w:rPr>
              <w:t>绿化</w:t>
            </w:r>
            <w:r>
              <w:rPr>
                <w:rFonts w:hint="eastAsia" w:ascii="宋体" w:hAnsi="宋体" w:eastAsia="宋体" w:cs="宋体"/>
                <w:bCs/>
                <w:color w:val="auto"/>
                <w:sz w:val="28"/>
                <w:szCs w:val="28"/>
                <w:highlight w:val="none"/>
                <w:lang w:val="en-US" w:eastAsia="zh-CN"/>
              </w:rPr>
              <w:t>服务</w:t>
            </w:r>
            <w:r>
              <w:rPr>
                <w:rFonts w:hint="eastAsia" w:ascii="宋体" w:hAnsi="宋体" w:eastAsia="宋体" w:cs="宋体"/>
                <w:bCs/>
                <w:color w:val="auto"/>
                <w:sz w:val="28"/>
                <w:szCs w:val="28"/>
                <w:highlight w:val="none"/>
              </w:rPr>
              <w:t>方案</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保洁服务方案、</w:t>
            </w:r>
            <w:r>
              <w:rPr>
                <w:rFonts w:hint="eastAsia" w:ascii="宋体" w:hAnsi="宋体" w:eastAsia="宋体" w:cs="宋体"/>
                <w:bCs/>
                <w:color w:val="auto"/>
                <w:sz w:val="28"/>
                <w:szCs w:val="28"/>
                <w:highlight w:val="none"/>
                <w:lang w:val="en-US" w:eastAsia="zh-CN"/>
              </w:rPr>
              <w:t>保安</w:t>
            </w:r>
            <w:r>
              <w:rPr>
                <w:rFonts w:hint="eastAsia" w:ascii="宋体" w:hAnsi="宋体" w:eastAsia="宋体" w:cs="宋体"/>
                <w:bCs/>
                <w:color w:val="auto"/>
                <w:sz w:val="28"/>
                <w:szCs w:val="28"/>
                <w:highlight w:val="none"/>
              </w:rPr>
              <w:t>服务方案、会议服务方案</w:t>
            </w:r>
            <w:r>
              <w:rPr>
                <w:rFonts w:hint="eastAsia" w:ascii="宋体" w:hAnsi="宋体" w:eastAsia="宋体" w:cs="宋体"/>
                <w:bCs/>
                <w:color w:val="auto"/>
                <w:sz w:val="28"/>
                <w:szCs w:val="28"/>
                <w:highlight w:val="none"/>
                <w:lang w:val="en-US" w:eastAsia="zh-CN"/>
              </w:rPr>
              <w:t>等</w:t>
            </w:r>
            <w:r>
              <w:rPr>
                <w:rFonts w:hint="eastAsia" w:ascii="宋体" w:hAnsi="宋体" w:eastAsia="宋体" w:cs="宋体"/>
                <w:bCs/>
                <w:color w:val="auto"/>
                <w:sz w:val="28"/>
                <w:szCs w:val="28"/>
                <w:highlight w:val="none"/>
              </w:rPr>
              <w:t>。</w:t>
            </w:r>
          </w:p>
        </w:tc>
      </w:tr>
      <w:tr w14:paraId="37C94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440F0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w:t>
            </w:r>
          </w:p>
        </w:tc>
        <w:tc>
          <w:tcPr>
            <w:tcW w:w="3297" w:type="dxa"/>
            <w:vMerge w:val="restart"/>
            <w:noWrap w:val="0"/>
            <w:vAlign w:val="center"/>
          </w:tcPr>
          <w:p w14:paraId="008240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信报服务</w:t>
            </w:r>
          </w:p>
        </w:tc>
        <w:tc>
          <w:tcPr>
            <w:tcW w:w="10016" w:type="dxa"/>
            <w:noWrap w:val="0"/>
            <w:vAlign w:val="center"/>
          </w:tcPr>
          <w:p w14:paraId="665ED3C6">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（1）对邮件、包裹和挂号信等进行正确分理、安全检查和防疫卫生检查。</w:t>
            </w:r>
          </w:p>
        </w:tc>
      </w:tr>
      <w:tr w14:paraId="69358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77C93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3AEFC3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343DB879">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（2）及时投送或通知收件人领取。</w:t>
            </w:r>
          </w:p>
        </w:tc>
      </w:tr>
      <w:tr w14:paraId="612A3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37C15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53F28A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7D53E177">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color w:val="auto"/>
                <w:sz w:val="28"/>
                <w:szCs w:val="28"/>
                <w:highlight w:val="none"/>
                <w:u w:val="none"/>
              </w:rPr>
              <w:t>大件物品出入</w:t>
            </w:r>
            <w:r>
              <w:rPr>
                <w:rFonts w:hint="eastAsia" w:ascii="宋体" w:hAnsi="宋体" w:eastAsia="宋体" w:cs="宋体"/>
                <w:color w:val="auto"/>
                <w:sz w:val="28"/>
                <w:szCs w:val="28"/>
                <w:highlight w:val="none"/>
                <w:u w:val="none"/>
                <w:lang w:val="en-US" w:eastAsia="zh-CN"/>
              </w:rPr>
              <w:t>向采购人报告，待采购人确认无误后放行</w:t>
            </w:r>
            <w:r>
              <w:rPr>
                <w:rFonts w:hint="eastAsia" w:ascii="宋体" w:hAnsi="宋体" w:eastAsia="宋体" w:cs="宋体"/>
                <w:color w:val="auto"/>
                <w:sz w:val="28"/>
                <w:szCs w:val="28"/>
                <w:highlight w:val="none"/>
                <w:u w:val="none"/>
                <w:lang w:eastAsia="zh-CN"/>
              </w:rPr>
              <w:t>。</w:t>
            </w:r>
          </w:p>
        </w:tc>
      </w:tr>
      <w:tr w14:paraId="752C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4D29C4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w:t>
            </w:r>
          </w:p>
        </w:tc>
        <w:tc>
          <w:tcPr>
            <w:tcW w:w="3297" w:type="dxa"/>
            <w:vMerge w:val="restart"/>
            <w:noWrap w:val="0"/>
            <w:vAlign w:val="center"/>
          </w:tcPr>
          <w:p w14:paraId="252803A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服务热线及紧急维修</w:t>
            </w:r>
          </w:p>
        </w:tc>
        <w:tc>
          <w:tcPr>
            <w:tcW w:w="10016" w:type="dxa"/>
            <w:noWrap w:val="0"/>
            <w:vAlign w:val="center"/>
          </w:tcPr>
          <w:p w14:paraId="1AE42A52">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（1）设置24小时报修服务热线。</w:t>
            </w:r>
          </w:p>
        </w:tc>
      </w:tr>
      <w:tr w14:paraId="1DA27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7E7DF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297" w:type="dxa"/>
            <w:vMerge w:val="continue"/>
            <w:noWrap w:val="0"/>
            <w:vAlign w:val="center"/>
          </w:tcPr>
          <w:p w14:paraId="5C131F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8"/>
                <w:szCs w:val="28"/>
                <w:highlight w:val="none"/>
                <w:lang w:val="en-US" w:eastAsia="zh-CN"/>
              </w:rPr>
            </w:pPr>
          </w:p>
        </w:tc>
        <w:tc>
          <w:tcPr>
            <w:tcW w:w="10016" w:type="dxa"/>
            <w:noWrap w:val="0"/>
            <w:vAlign w:val="center"/>
          </w:tcPr>
          <w:p w14:paraId="5B83A81E">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color w:val="auto"/>
                <w:sz w:val="28"/>
                <w:szCs w:val="28"/>
                <w:highlight w:val="none"/>
                <w:u w:val="none"/>
                <w:lang w:val="en-US" w:eastAsia="zh-CN"/>
              </w:rPr>
              <w:t>紧急维修应当30分钟内到达现场，不间断维修直至修复。</w:t>
            </w:r>
          </w:p>
        </w:tc>
      </w:tr>
    </w:tbl>
    <w:p w14:paraId="2632D20C">
      <w:pPr>
        <w:pStyle w:val="4"/>
        <w:bidi w:val="0"/>
        <w:rPr>
          <w:rFonts w:hint="eastAsia" w:ascii="宋体" w:hAnsi="宋体" w:eastAsia="宋体" w:cs="宋体"/>
          <w:sz w:val="28"/>
          <w:szCs w:val="28"/>
          <w:highlight w:val="none"/>
          <w:lang w:val="en-US" w:eastAsia="zh-CN"/>
        </w:rPr>
      </w:pPr>
    </w:p>
    <w:p w14:paraId="511653A3">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3.2房屋维护服务</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43"/>
        <w:gridCol w:w="5853"/>
      </w:tblGrid>
      <w:tr w14:paraId="39E7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241" w:type="dxa"/>
            <w:noWrap w:val="0"/>
            <w:vAlign w:val="center"/>
          </w:tcPr>
          <w:p w14:paraId="5168DF37">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19" w:type="dxa"/>
            <w:noWrap w:val="0"/>
            <w:vAlign w:val="center"/>
          </w:tcPr>
          <w:p w14:paraId="260478C1">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10000" w:type="dxa"/>
            <w:noWrap w:val="0"/>
            <w:vAlign w:val="center"/>
          </w:tcPr>
          <w:p w14:paraId="03A23FAC">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7947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632008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19" w:type="dxa"/>
            <w:vMerge w:val="restart"/>
            <w:noWrap w:val="0"/>
            <w:vAlign w:val="center"/>
          </w:tcPr>
          <w:p w14:paraId="0CE4DD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b w:val="0"/>
                <w:bCs w:val="0"/>
                <w:color w:val="auto"/>
                <w:sz w:val="28"/>
                <w:szCs w:val="28"/>
              </w:rPr>
              <w:t>主体结构、围护结构、部品部件</w:t>
            </w:r>
          </w:p>
        </w:tc>
        <w:tc>
          <w:tcPr>
            <w:tcW w:w="10000" w:type="dxa"/>
            <w:noWrap w:val="0"/>
            <w:vAlign w:val="center"/>
          </w:tcPr>
          <w:p w14:paraId="59AD1D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（1）每季度至少开展1次房屋结构安全巡视，发现外观有变形、开裂等现象，及时建议采购人申请房屋安全鉴定，并采取必要的避险和防护措施。</w:t>
            </w:r>
          </w:p>
        </w:tc>
      </w:tr>
      <w:tr w14:paraId="71EF5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7AFCC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176100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335D3BB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（2）每季度至少开展1次外墙贴饰面、幕墙玻璃、雨篷、散水、空调室外机支撑构件等检查，发现破损，及时向采购人报告，按采购人要求出具维修方案，待采购人同意后按维修方案实施维修。</w:t>
            </w:r>
          </w:p>
        </w:tc>
      </w:tr>
      <w:tr w14:paraId="47E8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4C136E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063ED0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55809C0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（3）每半月至少开展1次公用部位的门、窗、楼梯、通风道、室内地面、墙面、吊顶和室外屋面等巡查，发现破损，及时向采购人报告，按采购人要求出具维修方案，待采购人同意后按维修方案实施维修。</w:t>
            </w:r>
          </w:p>
        </w:tc>
      </w:tr>
      <w:tr w14:paraId="1C327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1C843F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3AC2CA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0D821711">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（4）每年强降雨天气前后、雨雪季节检查屋面防水和雨落管等，发现破损，及时向采购人报告，按采购人要求出具维修方案，待采购人同意后按维修方案实施维修。</w:t>
            </w:r>
          </w:p>
        </w:tc>
      </w:tr>
      <w:tr w14:paraId="0EB0E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5C6BCC3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72F957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082FC9AA">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w:t>
            </w:r>
            <w:r>
              <w:rPr>
                <w:rFonts w:hint="eastAsia" w:ascii="宋体" w:hAnsi="宋体" w:eastAsia="宋体" w:cs="宋体"/>
                <w:color w:val="auto"/>
                <w:sz w:val="28"/>
                <w:szCs w:val="28"/>
                <w:highlight w:val="none"/>
                <w:u w:val="none"/>
                <w:lang w:val="en-US" w:eastAsia="zh-CN"/>
              </w:rPr>
              <w:t>办公楼外观完好，建筑装饰面无脱落、无破损、无污渍，玻璃幕墙清洁明亮、无破损。</w:t>
            </w:r>
          </w:p>
        </w:tc>
      </w:tr>
      <w:tr w14:paraId="5008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B8BAB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79BC2D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30600860">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w:t>
            </w:r>
            <w:r>
              <w:rPr>
                <w:rFonts w:hint="eastAsia" w:ascii="宋体" w:hAnsi="宋体" w:eastAsia="宋体" w:cs="宋体"/>
                <w:color w:val="auto"/>
                <w:sz w:val="28"/>
                <w:szCs w:val="28"/>
                <w:highlight w:val="none"/>
                <w:u w:val="none"/>
                <w:lang w:val="en-US" w:eastAsia="zh-CN"/>
              </w:rPr>
              <w:t>通道、楼梯、门窗等设施的完好和正常使用。</w:t>
            </w:r>
          </w:p>
        </w:tc>
      </w:tr>
      <w:tr w14:paraId="65CDD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5E8F1D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19" w:type="dxa"/>
            <w:vMerge w:val="restart"/>
            <w:noWrap w:val="0"/>
            <w:vAlign w:val="center"/>
          </w:tcPr>
          <w:p w14:paraId="406064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其他设施</w:t>
            </w:r>
          </w:p>
        </w:tc>
        <w:tc>
          <w:tcPr>
            <w:tcW w:w="10000" w:type="dxa"/>
            <w:noWrap w:val="0"/>
            <w:vAlign w:val="center"/>
          </w:tcPr>
          <w:p w14:paraId="7C17C7A1">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459FA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9BD34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49550B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2E98705C">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（2）每年至少开展1次防雷装置检测，发现失效，及时向采购人报告，按采购人要求出具维修方案，待采购人同意后按维修方案实施维修。</w:t>
            </w:r>
          </w:p>
        </w:tc>
      </w:tr>
      <w:tr w14:paraId="0672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50C3A4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488CB85A">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51F35952">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color w:val="auto"/>
                <w:sz w:val="28"/>
                <w:szCs w:val="28"/>
                <w:highlight w:val="none"/>
                <w:u w:val="none"/>
                <w:lang w:val="en-US" w:eastAsia="zh-CN"/>
              </w:rPr>
              <w:t>路面状态良好，地漏通畅不堵塞。</w:t>
            </w:r>
          </w:p>
        </w:tc>
      </w:tr>
      <w:tr w14:paraId="08F6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0A6517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6E36B1DF">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3826AD6A">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（4）接到采购人家具报修服务后，及时通知家具供货商对保修期内的家具进行维修，及时对保修期外的家具进行维修。</w:t>
            </w:r>
          </w:p>
        </w:tc>
      </w:tr>
      <w:tr w14:paraId="1122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64E2133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319" w:type="dxa"/>
            <w:vMerge w:val="restart"/>
            <w:noWrap w:val="0"/>
            <w:vAlign w:val="center"/>
          </w:tcPr>
          <w:p w14:paraId="5D2819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装饰装修</w:t>
            </w:r>
            <w:r>
              <w:rPr>
                <w:rFonts w:hint="eastAsia" w:ascii="宋体" w:hAnsi="宋体" w:eastAsia="宋体" w:cs="宋体"/>
                <w:sz w:val="28"/>
                <w:szCs w:val="28"/>
                <w:highlight w:val="none"/>
                <w:lang w:val="en-US" w:eastAsia="zh-CN"/>
              </w:rPr>
              <w:t>监督</w:t>
            </w:r>
            <w:r>
              <w:rPr>
                <w:rFonts w:hint="eastAsia" w:ascii="宋体" w:hAnsi="宋体" w:eastAsia="宋体" w:cs="宋体"/>
                <w:sz w:val="28"/>
                <w:szCs w:val="28"/>
                <w:highlight w:val="none"/>
              </w:rPr>
              <w:t>管理</w:t>
            </w:r>
          </w:p>
        </w:tc>
        <w:tc>
          <w:tcPr>
            <w:tcW w:w="10000" w:type="dxa"/>
            <w:noWrap w:val="0"/>
            <w:vAlign w:val="center"/>
          </w:tcPr>
          <w:p w14:paraId="6D6A4730">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（1）装饰装修前，供应商应当与采购人或采购人委托的装修企业签订装饰装修管理服务协议，告知装饰装修须知，并对装饰装修过程进行管理服务。</w:t>
            </w:r>
          </w:p>
        </w:tc>
      </w:tr>
      <w:tr w14:paraId="23EDF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6F817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37CF28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0991AE38">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（2）根据协议内容，做好装修垃圾临时堆放、清运等</w:t>
            </w:r>
            <w:r>
              <w:rPr>
                <w:rFonts w:hint="eastAsia" w:ascii="宋体" w:hAnsi="宋体" w:eastAsia="宋体" w:cs="宋体"/>
                <w:sz w:val="28"/>
                <w:szCs w:val="28"/>
                <w:highlight w:val="none"/>
                <w:lang w:eastAsia="zh-CN"/>
              </w:rPr>
              <w:t>。</w:t>
            </w:r>
          </w:p>
        </w:tc>
      </w:tr>
      <w:tr w14:paraId="0640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1881BA9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559E77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00" w:type="dxa"/>
            <w:noWrap w:val="0"/>
            <w:vAlign w:val="center"/>
          </w:tcPr>
          <w:p w14:paraId="47876E3F">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color w:val="auto"/>
                <w:sz w:val="28"/>
                <w:szCs w:val="28"/>
                <w:highlight w:val="none"/>
                <w:u w:val="none"/>
                <w:lang w:val="en-US" w:eastAsia="zh-CN"/>
              </w:rPr>
              <w:t>受</w:t>
            </w:r>
            <w:r>
              <w:rPr>
                <w:rFonts w:hint="eastAsia" w:ascii="宋体" w:hAnsi="宋体" w:eastAsia="宋体" w:cs="宋体"/>
                <w:b w:val="0"/>
                <w:bCs w:val="0"/>
                <w:color w:val="auto"/>
                <w:kern w:val="0"/>
                <w:sz w:val="28"/>
                <w:szCs w:val="28"/>
                <w:highlight w:val="none"/>
                <w:lang w:val="en-US" w:eastAsia="zh-CN"/>
              </w:rPr>
              <w:t>采购人</w:t>
            </w:r>
            <w:r>
              <w:rPr>
                <w:rFonts w:hint="eastAsia" w:ascii="宋体" w:hAnsi="宋体" w:eastAsia="宋体" w:cs="宋体"/>
                <w:color w:val="auto"/>
                <w:sz w:val="28"/>
                <w:szCs w:val="28"/>
                <w:highlight w:val="none"/>
                <w:u w:val="none"/>
                <w:lang w:val="en-US" w:eastAsia="zh-CN"/>
              </w:rPr>
              <w:t>委托对房屋内装修进行严格的监督管理，发现问题及时上报，确保不因装修而危及大楼结构安全、人身安全和影响正常办公秩序。</w:t>
            </w:r>
          </w:p>
        </w:tc>
      </w:tr>
      <w:tr w14:paraId="7DB90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653320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319" w:type="dxa"/>
            <w:vMerge w:val="restart"/>
            <w:noWrap w:val="0"/>
            <w:vAlign w:val="center"/>
          </w:tcPr>
          <w:p w14:paraId="6FD25C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标识标牌</w:t>
            </w:r>
          </w:p>
        </w:tc>
        <w:tc>
          <w:tcPr>
            <w:tcW w:w="10000" w:type="dxa"/>
            <w:noWrap w:val="0"/>
            <w:vAlign w:val="center"/>
          </w:tcPr>
          <w:p w14:paraId="569A8753">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（1）标识标牌符合《</w:t>
            </w:r>
            <w:r>
              <w:rPr>
                <w:rFonts w:hint="eastAsia" w:ascii="宋体" w:hAnsi="宋体" w:eastAsia="宋体" w:cs="宋体"/>
                <w:color w:val="auto"/>
                <w:kern w:val="0"/>
                <w:sz w:val="28"/>
                <w:szCs w:val="28"/>
                <w:highlight w:val="none"/>
              </w:rPr>
              <w:t>公共信息图形符号 第1部分：通用符号</w:t>
            </w:r>
            <w:r>
              <w:rPr>
                <w:rFonts w:hint="eastAsia" w:ascii="宋体" w:hAnsi="宋体" w:eastAsia="宋体" w:cs="宋体"/>
                <w:b w:val="0"/>
                <w:bCs w:val="0"/>
                <w:color w:val="auto"/>
                <w:kern w:val="0"/>
                <w:sz w:val="28"/>
                <w:szCs w:val="28"/>
                <w:highlight w:val="none"/>
                <w:lang w:val="en-US" w:eastAsia="zh-CN"/>
              </w:rPr>
              <w:t>》（</w:t>
            </w:r>
            <w:r>
              <w:rPr>
                <w:rFonts w:hint="eastAsia" w:ascii="宋体" w:hAnsi="宋体" w:eastAsia="宋体" w:cs="宋体"/>
                <w:color w:val="auto"/>
                <w:kern w:val="0"/>
                <w:sz w:val="28"/>
                <w:szCs w:val="28"/>
                <w:highlight w:val="none"/>
              </w:rPr>
              <w:t>GB/T 10001.1</w:t>
            </w:r>
            <w:r>
              <w:rPr>
                <w:rFonts w:hint="eastAsia" w:ascii="宋体" w:hAnsi="宋体" w:eastAsia="宋体" w:cs="宋体"/>
                <w:b w:val="0"/>
                <w:bCs w:val="0"/>
                <w:color w:val="auto"/>
                <w:kern w:val="0"/>
                <w:sz w:val="28"/>
                <w:szCs w:val="28"/>
                <w:highlight w:val="none"/>
                <w:lang w:val="en-US" w:eastAsia="zh-CN"/>
              </w:rPr>
              <w:t>）的相关要求，消防与安全标识符合《</w:t>
            </w:r>
            <w:r>
              <w:rPr>
                <w:rFonts w:hint="eastAsia" w:ascii="宋体" w:hAnsi="宋体" w:eastAsia="宋体" w:cs="宋体"/>
                <w:color w:val="auto"/>
                <w:kern w:val="0"/>
                <w:sz w:val="28"/>
                <w:szCs w:val="28"/>
                <w:highlight w:val="none"/>
              </w:rPr>
              <w:t>安全标志及其使用导则</w:t>
            </w:r>
            <w:r>
              <w:rPr>
                <w:rFonts w:hint="eastAsia" w:ascii="宋体" w:hAnsi="宋体" w:eastAsia="宋体" w:cs="宋体"/>
                <w:b w:val="0"/>
                <w:bCs w:val="0"/>
                <w:color w:val="auto"/>
                <w:kern w:val="0"/>
                <w:sz w:val="28"/>
                <w:szCs w:val="28"/>
                <w:highlight w:val="none"/>
                <w:lang w:val="en-US" w:eastAsia="zh-CN"/>
              </w:rPr>
              <w:t>》（GB2894）、《消防安全标志　第1部分：标志》（GB13495.1）的相关要求。</w:t>
            </w:r>
          </w:p>
        </w:tc>
      </w:tr>
      <w:tr w14:paraId="226E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1443B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19" w:type="dxa"/>
            <w:vMerge w:val="continue"/>
            <w:noWrap w:val="0"/>
            <w:vAlign w:val="center"/>
          </w:tcPr>
          <w:p w14:paraId="52DEB0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00" w:type="dxa"/>
            <w:noWrap w:val="0"/>
            <w:vAlign w:val="center"/>
          </w:tcPr>
          <w:p w14:paraId="1A602394">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（2）每月至少检查1次标识标牌和消防与安全标识。应当规范清晰、路线指引正确、安装稳固。</w:t>
            </w:r>
          </w:p>
        </w:tc>
      </w:tr>
    </w:tbl>
    <w:p w14:paraId="5E717DE4">
      <w:pPr>
        <w:pStyle w:val="4"/>
        <w:bidi w:val="0"/>
        <w:rPr>
          <w:rFonts w:hint="eastAsia" w:ascii="宋体" w:hAnsi="宋体" w:eastAsia="宋体" w:cs="宋体"/>
          <w:sz w:val="28"/>
          <w:szCs w:val="28"/>
          <w:highlight w:val="none"/>
          <w:lang w:val="en-US" w:eastAsia="zh-CN"/>
        </w:rPr>
      </w:pPr>
    </w:p>
    <w:p w14:paraId="533C644B">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3.3公用设施设备维护服务</w:t>
      </w:r>
    </w:p>
    <w:tbl>
      <w:tblPr>
        <w:tblStyle w:val="7"/>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960"/>
        <w:gridCol w:w="5864"/>
      </w:tblGrid>
      <w:tr w14:paraId="10BB9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noWrap w:val="0"/>
            <w:vAlign w:val="center"/>
          </w:tcPr>
          <w:p w14:paraId="735630BB">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48" w:type="dxa"/>
            <w:noWrap w:val="0"/>
            <w:vAlign w:val="center"/>
          </w:tcPr>
          <w:p w14:paraId="17F6FEEF">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10020" w:type="dxa"/>
            <w:noWrap w:val="0"/>
            <w:vAlign w:val="center"/>
          </w:tcPr>
          <w:p w14:paraId="1ACCCCEB">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2700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1118A5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48" w:type="dxa"/>
            <w:vMerge w:val="restart"/>
            <w:noWrap w:val="0"/>
            <w:vAlign w:val="center"/>
          </w:tcPr>
          <w:p w14:paraId="61FEC7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基本要求</w:t>
            </w:r>
          </w:p>
        </w:tc>
        <w:tc>
          <w:tcPr>
            <w:tcW w:w="10020" w:type="dxa"/>
            <w:noWrap w:val="0"/>
            <w:vAlign w:val="center"/>
          </w:tcPr>
          <w:p w14:paraId="70CB9EF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（1）重大节假日及恶劣天气前后，组织系统巡检1次。</w:t>
            </w:r>
          </w:p>
        </w:tc>
      </w:tr>
      <w:tr w14:paraId="7225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43EAE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19CD5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2F465C7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（2）具备设施设备安全、稳定运行的环境和场所（含有限空间），温湿度、照度等符合相关安全规范。</w:t>
            </w:r>
          </w:p>
        </w:tc>
      </w:tr>
      <w:tr w14:paraId="2E0B8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Merge w:val="restart"/>
            <w:noWrap w:val="0"/>
            <w:vAlign w:val="center"/>
          </w:tcPr>
          <w:p w14:paraId="153AD3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48" w:type="dxa"/>
            <w:vMerge w:val="restart"/>
            <w:noWrap w:val="0"/>
            <w:vAlign w:val="center"/>
          </w:tcPr>
          <w:p w14:paraId="2BE9A5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设备机房</w:t>
            </w:r>
          </w:p>
        </w:tc>
        <w:tc>
          <w:tcPr>
            <w:tcW w:w="10020" w:type="dxa"/>
            <w:noWrap w:val="0"/>
            <w:vAlign w:val="center"/>
          </w:tcPr>
          <w:p w14:paraId="07A9078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09077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242" w:type="dxa"/>
            <w:vMerge w:val="continue"/>
            <w:noWrap w:val="0"/>
            <w:vAlign w:val="center"/>
          </w:tcPr>
          <w:p w14:paraId="186124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A3DB8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3ADEFB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（2）设备机房门窗、锁具应当完好、有效。</w:t>
            </w:r>
          </w:p>
        </w:tc>
      </w:tr>
      <w:tr w14:paraId="3225C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242" w:type="dxa"/>
            <w:vMerge w:val="continue"/>
            <w:noWrap w:val="0"/>
            <w:vAlign w:val="center"/>
          </w:tcPr>
          <w:p w14:paraId="5A23E9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767BC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7970856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（3）每半月至少开展1次清洁，整洁有序、无杂物、无积尘、无鼠、无虫害，温湿度符合设备运行要求。</w:t>
            </w:r>
          </w:p>
        </w:tc>
      </w:tr>
      <w:tr w14:paraId="7EC3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0E30D28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F2F316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118F08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（4）按各设备机房国家标准规范规定维护/保管消防、通风、应急照明，防止小动物进入。</w:t>
            </w:r>
          </w:p>
        </w:tc>
      </w:tr>
      <w:tr w14:paraId="126B3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2" w:type="dxa"/>
            <w:vMerge w:val="continue"/>
            <w:noWrap w:val="0"/>
            <w:vAlign w:val="center"/>
          </w:tcPr>
          <w:p w14:paraId="446735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75BA2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35539B9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（5）安全防护用具配置齐全，检验合格。</w:t>
            </w:r>
          </w:p>
        </w:tc>
      </w:tr>
      <w:tr w14:paraId="6B6E0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607D25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8A9D7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7A91686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（6）应急设施设备用品应当齐全、完备，可随时启用。</w:t>
            </w:r>
          </w:p>
        </w:tc>
      </w:tr>
      <w:tr w14:paraId="6F436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3CAAD2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348" w:type="dxa"/>
            <w:vMerge w:val="restart"/>
            <w:noWrap w:val="0"/>
            <w:vAlign w:val="center"/>
          </w:tcPr>
          <w:p w14:paraId="6C1504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给排水系统</w:t>
            </w:r>
          </w:p>
        </w:tc>
        <w:tc>
          <w:tcPr>
            <w:tcW w:w="10020" w:type="dxa"/>
            <w:noWrap w:val="0"/>
            <w:vAlign w:val="center"/>
          </w:tcPr>
          <w:p w14:paraId="384B5A9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（1）生活饮用水卫生符合《</w:t>
            </w:r>
            <w:r>
              <w:rPr>
                <w:rFonts w:hint="eastAsia" w:ascii="宋体" w:hAnsi="宋体" w:eastAsia="宋体" w:cs="宋体"/>
                <w:color w:val="auto"/>
                <w:kern w:val="0"/>
                <w:sz w:val="28"/>
                <w:szCs w:val="28"/>
                <w:highlight w:val="none"/>
              </w:rPr>
              <w:t>生活饮用水卫生标准</w:t>
            </w:r>
            <w:r>
              <w:rPr>
                <w:rFonts w:hint="eastAsia" w:ascii="宋体" w:hAnsi="宋体" w:eastAsia="宋体" w:cs="宋体"/>
                <w:b w:val="0"/>
                <w:bCs w:val="0"/>
                <w:color w:val="auto"/>
                <w:kern w:val="0"/>
                <w:sz w:val="28"/>
                <w:szCs w:val="28"/>
                <w:highlight w:val="none"/>
                <w:lang w:val="en-US" w:eastAsia="zh-CN"/>
              </w:rPr>
              <w:t>》（GB5749）的相关要求。积极配合采购人办理卫生许可证。</w:t>
            </w:r>
          </w:p>
        </w:tc>
      </w:tr>
      <w:tr w14:paraId="4199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F17AC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1EEAA2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DFF46E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（2）二次供水卫生符合《二次供水设施卫生规范》（GB17051）的相关要求。及时告知采购人水质检测时间，配合水质检测。</w:t>
            </w:r>
          </w:p>
        </w:tc>
      </w:tr>
      <w:tr w14:paraId="3485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E0D082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599EBEF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38038EA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（3）设施设备、阀门、管道等运行正常，无跑、冒、滴、漏现象。定期巡查及时告知水箱污染情况，告知采购人拟定合理时间清洗水箱并配合。</w:t>
            </w:r>
          </w:p>
        </w:tc>
      </w:tr>
      <w:tr w14:paraId="008E0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AD80E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D35D21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2F1593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（4）有水泵房、水箱间的，每日至少巡视1次。每年至少养护1次水泵。</w:t>
            </w:r>
          </w:p>
        </w:tc>
      </w:tr>
      <w:tr w14:paraId="4263C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4A532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6A518F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1A92625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（5）遇供水单位限水、停水，按规定时间通知采购人。</w:t>
            </w:r>
          </w:p>
        </w:tc>
      </w:tr>
      <w:tr w14:paraId="5CEB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C575C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52FE576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65D0CDC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（6）每季度至少开展1次对排水管进行疏通、清污，保证室内外排水系统通畅。</w:t>
            </w:r>
          </w:p>
        </w:tc>
      </w:tr>
      <w:tr w14:paraId="11531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4B9282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348" w:type="dxa"/>
            <w:vMerge w:val="restart"/>
            <w:noWrap w:val="0"/>
            <w:vAlign w:val="center"/>
          </w:tcPr>
          <w:p w14:paraId="725E0F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电梯系统</w:t>
            </w:r>
          </w:p>
        </w:tc>
        <w:tc>
          <w:tcPr>
            <w:tcW w:w="10020" w:type="dxa"/>
            <w:noWrap w:val="0"/>
            <w:vAlign w:val="center"/>
          </w:tcPr>
          <w:p w14:paraId="1617D11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（1）电梯运行平稳、无异响、平层、开关正常。每周至少开展1次电梯的安全状况检查，发现异常及时告知采购人联系专业电梯维修人员。</w:t>
            </w:r>
          </w:p>
        </w:tc>
      </w:tr>
      <w:tr w14:paraId="0AD8B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F80CA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159D33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43B941A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（2）电梯准用证、年检合格证等证件齐全。相关证件、紧急救援电话和乘客注意事项置于轿厢醒目位置。</w:t>
            </w:r>
          </w:p>
        </w:tc>
      </w:tr>
      <w:tr w14:paraId="4595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EE9866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87117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34B1647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（3）每年至少开展1次对电梯的全面检测，并出具检测报告，核发电梯使用标志。</w:t>
            </w:r>
          </w:p>
        </w:tc>
      </w:tr>
      <w:tr w14:paraId="5D45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D7FF7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7D43D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6CA7073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（4）电梯维保应当符合《电梯维护保养规则》（TSG T5002）的有关要求。</w:t>
            </w:r>
          </w:p>
        </w:tc>
      </w:tr>
      <w:tr w14:paraId="5CCA8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BB33E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5C2149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4FF54BC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（5）电梯使用应当符合《特种设备使用管理规则》（TSG 08）的有关要求。</w:t>
            </w:r>
          </w:p>
        </w:tc>
      </w:tr>
      <w:tr w14:paraId="04639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BB674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323D7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480B690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（6）有电梯突发事件或事故的应急措施与救援预案，每年至少开展演练1次。电梯出现故障，物业服务人员10分钟内到场应急处理，维保专业人员30分钟内到场应急处理。</w:t>
            </w:r>
          </w:p>
        </w:tc>
      </w:tr>
      <w:tr w14:paraId="56546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56AA2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62743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754978B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（7）到场进行救助和排除故障。电梯紧急电话保持畅通。</w:t>
            </w:r>
          </w:p>
        </w:tc>
      </w:tr>
      <w:tr w14:paraId="505C3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DFF77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3DCB2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3753AFF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（8）电梯维修、保养时在现场设置提示标识和防护围栏。</w:t>
            </w:r>
          </w:p>
        </w:tc>
      </w:tr>
      <w:tr w14:paraId="4D00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35F06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9175B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300DACE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（9）根据采购人需求，合理设置电梯开启的数量、时间。</w:t>
            </w:r>
          </w:p>
        </w:tc>
      </w:tr>
      <w:tr w14:paraId="2D322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4A20A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6ED52A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524490D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（10）......</w:t>
            </w:r>
          </w:p>
        </w:tc>
      </w:tr>
      <w:tr w14:paraId="58B11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443E8F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3348" w:type="dxa"/>
            <w:vMerge w:val="restart"/>
            <w:noWrap w:val="0"/>
            <w:vAlign w:val="center"/>
          </w:tcPr>
          <w:p w14:paraId="1E3D454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空调</w:t>
            </w:r>
            <w:r>
              <w:rPr>
                <w:rFonts w:hint="eastAsia" w:ascii="宋体" w:hAnsi="宋体" w:eastAsia="宋体" w:cs="宋体"/>
                <w:sz w:val="28"/>
                <w:szCs w:val="28"/>
                <w:highlight w:val="none"/>
              </w:rPr>
              <w:t>系统</w:t>
            </w:r>
          </w:p>
        </w:tc>
        <w:tc>
          <w:tcPr>
            <w:tcW w:w="10020" w:type="dxa"/>
            <w:noWrap w:val="0"/>
            <w:vAlign w:val="center"/>
          </w:tcPr>
          <w:p w14:paraId="1A1C57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（1）空调通风系统运行管理符合《空调通风系统运行管理标准》（GB50365）的相关要求。</w:t>
            </w:r>
          </w:p>
        </w:tc>
      </w:tr>
      <w:tr w14:paraId="34E28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3D721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1235C2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3511AC1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（2）办公楼内温湿度、空气质量等符合《室内空气质量标准》（GB/T18883）的相关要求。</w:t>
            </w:r>
          </w:p>
        </w:tc>
      </w:tr>
      <w:tr w14:paraId="21ABF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26805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2E16038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38728EF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（3）定期维保并做好记录，保证空调设施设备处于良好状态。</w:t>
            </w:r>
          </w:p>
        </w:tc>
      </w:tr>
      <w:tr w14:paraId="5577D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EB75B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1A493C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604F1CB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（4）空调运行前对冷水机组、循环水泵、冷却塔、风机等设施设备进行系统检查，运行期间每日至少开展1次运行情况巡查。</w:t>
            </w:r>
          </w:p>
        </w:tc>
      </w:tr>
      <w:tr w14:paraId="2E0B8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9935B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313224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281E242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（5）每半年至少开展1次管道、阀门检查并除锈。</w:t>
            </w:r>
          </w:p>
        </w:tc>
      </w:tr>
      <w:tr w14:paraId="60016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7A72E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2A29704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4B79131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（6）每年至少开展1次系统整体性维修养护，检验1次压力容器、仪表及冷却塔噪声。</w:t>
            </w:r>
          </w:p>
        </w:tc>
      </w:tr>
      <w:tr w14:paraId="312C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6D3E0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7C81C7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0D79ADF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（7）每年至少开展1次新风机、空气处理机滤网等清洗消毒；每2年至少开展1次风管清洗消毒。</w:t>
            </w:r>
          </w:p>
        </w:tc>
      </w:tr>
      <w:tr w14:paraId="5C61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75831A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4CB2EB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09C4F7D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（8）每年至少开展1次分体式空调主机（含空调过滤网）和室外机清洁。每月至少开展1次挂机和室外支架稳固性巡查。</w:t>
            </w:r>
          </w:p>
        </w:tc>
      </w:tr>
      <w:tr w14:paraId="3C6BB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2D132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2DC009D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lang w:val="en-US" w:eastAsia="zh-CN"/>
              </w:rPr>
            </w:pPr>
          </w:p>
        </w:tc>
        <w:tc>
          <w:tcPr>
            <w:tcW w:w="10020" w:type="dxa"/>
            <w:noWrap w:val="0"/>
            <w:vAlign w:val="center"/>
          </w:tcPr>
          <w:p w14:paraId="77CDA4B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（9）制冷、供暖系统温度设定及启用时间符合节能要求。</w:t>
            </w:r>
          </w:p>
        </w:tc>
      </w:tr>
      <w:tr w14:paraId="68EDD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AA3A6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yellow"/>
                <w:lang w:val="en-US" w:eastAsia="zh-CN"/>
              </w:rPr>
            </w:pPr>
          </w:p>
        </w:tc>
        <w:tc>
          <w:tcPr>
            <w:tcW w:w="3348" w:type="dxa"/>
            <w:vMerge w:val="continue"/>
            <w:noWrap w:val="0"/>
            <w:vAlign w:val="center"/>
          </w:tcPr>
          <w:p w14:paraId="60F397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yellow"/>
              </w:rPr>
            </w:pPr>
          </w:p>
        </w:tc>
        <w:tc>
          <w:tcPr>
            <w:tcW w:w="10020" w:type="dxa"/>
            <w:noWrap w:val="0"/>
            <w:vAlign w:val="center"/>
          </w:tcPr>
          <w:p w14:paraId="5FD248C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（10）</w:t>
            </w:r>
            <w:r>
              <w:rPr>
                <w:rFonts w:hint="eastAsia" w:ascii="宋体" w:hAnsi="宋体" w:eastAsia="宋体" w:cs="宋体"/>
                <w:color w:val="auto"/>
                <w:sz w:val="28"/>
                <w:szCs w:val="28"/>
                <w:highlight w:val="none"/>
                <w:u w:val="none"/>
                <w:lang w:val="en-US" w:eastAsia="zh-CN"/>
              </w:rPr>
              <w:t>发现故障或损坏应当在30分钟内到场，紧急维修应当在15分钟内到达现场，并告知采购人，在12小时内维修完毕。</w:t>
            </w:r>
          </w:p>
        </w:tc>
      </w:tr>
      <w:tr w14:paraId="6D255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64133B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w:t>
            </w:r>
          </w:p>
        </w:tc>
        <w:tc>
          <w:tcPr>
            <w:tcW w:w="3348" w:type="dxa"/>
            <w:vMerge w:val="restart"/>
            <w:noWrap w:val="0"/>
            <w:vAlign w:val="center"/>
          </w:tcPr>
          <w:p w14:paraId="549658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消防</w:t>
            </w:r>
            <w:r>
              <w:rPr>
                <w:rFonts w:hint="eastAsia" w:ascii="宋体" w:hAnsi="宋体" w:eastAsia="宋体" w:cs="宋体"/>
                <w:sz w:val="28"/>
                <w:szCs w:val="28"/>
                <w:highlight w:val="none"/>
              </w:rPr>
              <w:t>系统</w:t>
            </w:r>
          </w:p>
        </w:tc>
        <w:tc>
          <w:tcPr>
            <w:tcW w:w="10020" w:type="dxa"/>
            <w:noWrap w:val="0"/>
            <w:vAlign w:val="center"/>
          </w:tcPr>
          <w:p w14:paraId="24ED085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（1）消防设施的维护管理符合《建筑消防设施的维护管理》（GB25201）的相关要求。</w:t>
            </w:r>
          </w:p>
        </w:tc>
      </w:tr>
      <w:tr w14:paraId="5B81D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862E4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3867D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0478872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（2）消防设备检测符合《建筑消防设施检测技术规程》（GA503或XF503）的相关要求。</w:t>
            </w:r>
          </w:p>
        </w:tc>
      </w:tr>
      <w:tr w14:paraId="3A2AE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ECC95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9C151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01CB68B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（3）消防设施平面图、火警疏散示意图、防火分区图等按幢设置在楼层醒目位置。</w:t>
            </w:r>
          </w:p>
        </w:tc>
      </w:tr>
      <w:tr w14:paraId="711AB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6D627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DDDC5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7E1DA14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（4）消防系统各设施设备使用说明清晰，宜图文结合。</w:t>
            </w:r>
          </w:p>
        </w:tc>
      </w:tr>
      <w:tr w14:paraId="256B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F8E9B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339F94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637E2AA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（5）自动喷水灭火系统启动正常。</w:t>
            </w:r>
          </w:p>
        </w:tc>
      </w:tr>
      <w:tr w14:paraId="34BE5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89E1E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19E006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7E1F6AC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（6）消火栓箱、防火门、灭火器、消防水泵、红外线报警器、应急照明、安全疏散等系统运行正常。</w:t>
            </w:r>
          </w:p>
        </w:tc>
      </w:tr>
      <w:tr w14:paraId="3D34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97238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B5225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5CF313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（7）消防监控系统运行良好，自动和手动报警设施启动正常。</w:t>
            </w:r>
          </w:p>
        </w:tc>
      </w:tr>
      <w:tr w14:paraId="316DC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D271C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E8776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06E88A7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（8）正压送风、防排烟系统运行正常。</w:t>
            </w:r>
          </w:p>
        </w:tc>
      </w:tr>
      <w:tr w14:paraId="1A99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50223B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p>
        </w:tc>
        <w:tc>
          <w:tcPr>
            <w:tcW w:w="3348" w:type="dxa"/>
            <w:vMerge w:val="restart"/>
            <w:noWrap w:val="0"/>
            <w:vAlign w:val="center"/>
          </w:tcPr>
          <w:p w14:paraId="0D3539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供</w:t>
            </w:r>
            <w:r>
              <w:rPr>
                <w:rFonts w:hint="eastAsia" w:ascii="宋体" w:hAnsi="宋体" w:eastAsia="宋体" w:cs="宋体"/>
                <w:sz w:val="28"/>
                <w:szCs w:val="28"/>
                <w:highlight w:val="none"/>
                <w:lang w:val="en-US" w:eastAsia="zh-CN"/>
              </w:rPr>
              <w:t>配电</w:t>
            </w:r>
            <w:r>
              <w:rPr>
                <w:rFonts w:hint="eastAsia" w:ascii="宋体" w:hAnsi="宋体" w:eastAsia="宋体" w:cs="宋体"/>
                <w:sz w:val="28"/>
                <w:szCs w:val="28"/>
                <w:highlight w:val="none"/>
              </w:rPr>
              <w:t>系统</w:t>
            </w:r>
          </w:p>
        </w:tc>
        <w:tc>
          <w:tcPr>
            <w:tcW w:w="10020" w:type="dxa"/>
            <w:noWrap w:val="0"/>
            <w:vAlign w:val="center"/>
          </w:tcPr>
          <w:p w14:paraId="56E64B5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（1）建立24小时运行值班监控制度。</w:t>
            </w:r>
          </w:p>
        </w:tc>
      </w:tr>
      <w:tr w14:paraId="3D903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01C69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63310D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4B836D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（2）对供电范围内的电气设备定期巡视维护，加强高低压配电柜、配电箱、控制柜及线路等重点部位监测。</w:t>
            </w:r>
          </w:p>
        </w:tc>
      </w:tr>
      <w:tr w14:paraId="1F49D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FE257A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4B18FA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331D048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（3）公共使用的照明、指示灯具线路、开关、接地等保持完好，确保用电安全。</w:t>
            </w:r>
          </w:p>
        </w:tc>
      </w:tr>
      <w:tr w14:paraId="4A76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A7B6D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3F3592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16060F4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（4）核心部位用电建立高可控用电保障和配备应急发电设备，定期维护应急发电设备。</w:t>
            </w:r>
          </w:p>
        </w:tc>
      </w:tr>
      <w:tr w14:paraId="4FF8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800B1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733C49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50B4B23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（5）发生非计划性停电的，应当在事件发生后及时通知采购人，快速恢复或启用应急电源，并做好应急事件上报及处理工作。</w:t>
            </w:r>
          </w:p>
        </w:tc>
      </w:tr>
      <w:tr w14:paraId="0B16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BF8D1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48" w:type="dxa"/>
            <w:vMerge w:val="continue"/>
            <w:noWrap w:val="0"/>
            <w:vAlign w:val="center"/>
          </w:tcPr>
          <w:p w14:paraId="6F1D47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245CDE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（6）复杂故障涉及供电部门维修处置的及时与供电部门联系，并向采购人报告。</w:t>
            </w:r>
          </w:p>
        </w:tc>
      </w:tr>
      <w:tr w14:paraId="421BA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6F4A47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p>
        </w:tc>
        <w:tc>
          <w:tcPr>
            <w:tcW w:w="3348" w:type="dxa"/>
            <w:vMerge w:val="restart"/>
            <w:noWrap w:val="0"/>
            <w:vAlign w:val="center"/>
          </w:tcPr>
          <w:p w14:paraId="728E05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弱电系统</w:t>
            </w:r>
          </w:p>
        </w:tc>
        <w:tc>
          <w:tcPr>
            <w:tcW w:w="10020" w:type="dxa"/>
            <w:noWrap w:val="0"/>
            <w:vAlign w:val="center"/>
          </w:tcPr>
          <w:p w14:paraId="0B16EC1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（1）安全防范系统维护保养符合《安全防范系统维护保养规范》（</w:t>
            </w:r>
            <w:r>
              <w:rPr>
                <w:rFonts w:hint="eastAsia" w:ascii="宋体" w:hAnsi="宋体" w:eastAsia="宋体" w:cs="宋体"/>
                <w:color w:val="auto"/>
                <w:kern w:val="0"/>
                <w:sz w:val="28"/>
                <w:szCs w:val="28"/>
                <w:highlight w:val="none"/>
              </w:rPr>
              <w:t>GA/T 1081</w:t>
            </w:r>
            <w:r>
              <w:rPr>
                <w:rFonts w:hint="eastAsia" w:ascii="宋体" w:hAnsi="宋体" w:eastAsia="宋体" w:cs="宋体"/>
                <w:b w:val="0"/>
                <w:bCs w:val="0"/>
                <w:color w:val="auto"/>
                <w:kern w:val="0"/>
                <w:sz w:val="28"/>
                <w:szCs w:val="28"/>
                <w:highlight w:val="none"/>
                <w:lang w:val="en-US" w:eastAsia="zh-CN"/>
              </w:rPr>
              <w:t>）的相关要求。</w:t>
            </w:r>
          </w:p>
        </w:tc>
      </w:tr>
      <w:tr w14:paraId="0644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06DE8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6197CF3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1E789DE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（2）保持监控系统、门禁系统、安全防范系统等运行正常，有故障及时排除。</w:t>
            </w:r>
          </w:p>
        </w:tc>
      </w:tr>
      <w:tr w14:paraId="0912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48D3C2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w:t>
            </w:r>
          </w:p>
        </w:tc>
        <w:tc>
          <w:tcPr>
            <w:tcW w:w="3348" w:type="dxa"/>
            <w:vMerge w:val="restart"/>
            <w:noWrap w:val="0"/>
            <w:vAlign w:val="center"/>
          </w:tcPr>
          <w:p w14:paraId="1677F97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照明</w:t>
            </w:r>
            <w:r>
              <w:rPr>
                <w:rFonts w:hint="eastAsia" w:ascii="宋体" w:hAnsi="宋体" w:eastAsia="宋体" w:cs="宋体"/>
                <w:sz w:val="28"/>
                <w:szCs w:val="28"/>
                <w:highlight w:val="none"/>
              </w:rPr>
              <w:t>系统</w:t>
            </w:r>
          </w:p>
        </w:tc>
        <w:tc>
          <w:tcPr>
            <w:tcW w:w="10020" w:type="dxa"/>
            <w:noWrap w:val="0"/>
            <w:vAlign w:val="center"/>
          </w:tcPr>
          <w:p w14:paraId="32339EC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（1）外观整洁无缺损、无松落。</w:t>
            </w:r>
          </w:p>
        </w:tc>
      </w:tr>
      <w:tr w14:paraId="011EE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2A2A3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5B31FA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1932462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（2）更换的照明灯具应当选用节能环保产品，亮度与更换前保持一致。</w:t>
            </w:r>
          </w:p>
        </w:tc>
      </w:tr>
      <w:tr w14:paraId="59AD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CADA2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7BFC76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01666B4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（3）每周至少开展1次公共区域照明设备巡视。</w:t>
            </w:r>
          </w:p>
        </w:tc>
      </w:tr>
      <w:tr w14:paraId="623A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33BDAD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w:t>
            </w:r>
          </w:p>
        </w:tc>
        <w:tc>
          <w:tcPr>
            <w:tcW w:w="3348" w:type="dxa"/>
            <w:vMerge w:val="restart"/>
            <w:noWrap w:val="0"/>
            <w:vAlign w:val="center"/>
          </w:tcPr>
          <w:p w14:paraId="5A5068B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锅炉设备/热力站</w:t>
            </w:r>
          </w:p>
        </w:tc>
        <w:tc>
          <w:tcPr>
            <w:tcW w:w="10020" w:type="dxa"/>
            <w:noWrap w:val="0"/>
            <w:vAlign w:val="center"/>
          </w:tcPr>
          <w:p w14:paraId="7208780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（1）建立24小时值班监控制度。</w:t>
            </w:r>
          </w:p>
        </w:tc>
      </w:tr>
      <w:tr w14:paraId="4117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71FC78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174BA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16B3B2C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（2）每年至少开展1次锅炉设备的全面检查。</w:t>
            </w:r>
          </w:p>
        </w:tc>
      </w:tr>
      <w:tr w14:paraId="4FCA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B5A24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858A6A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73871FF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（3）每年至少开展1次锅炉设备及其辅助设备检测，确保各类设备、仪器仪表、水管线路运行正常。</w:t>
            </w:r>
          </w:p>
        </w:tc>
      </w:tr>
      <w:tr w14:paraId="6159B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128372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4DD144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3DD8BB1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（4）每年至少开展1次锅炉水质检测，确保水质合格。</w:t>
            </w:r>
          </w:p>
        </w:tc>
      </w:tr>
      <w:tr w14:paraId="1E22A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C39E6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86C3D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6DCF0EA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（5）按锅炉厂家制定的检修规程对锅炉进行检修。</w:t>
            </w:r>
          </w:p>
        </w:tc>
      </w:tr>
      <w:tr w14:paraId="17121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046DF1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w:t>
            </w:r>
          </w:p>
        </w:tc>
        <w:tc>
          <w:tcPr>
            <w:tcW w:w="3348" w:type="dxa"/>
            <w:vMerge w:val="restart"/>
            <w:noWrap w:val="0"/>
            <w:vAlign w:val="center"/>
          </w:tcPr>
          <w:p w14:paraId="542B34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采暖系统</w:t>
            </w:r>
          </w:p>
        </w:tc>
        <w:tc>
          <w:tcPr>
            <w:tcW w:w="10020" w:type="dxa"/>
            <w:noWrap w:val="0"/>
            <w:vAlign w:val="center"/>
          </w:tcPr>
          <w:p w14:paraId="68787D4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（1）定期检查供暖管道、阀门运行情况，确保正常无隐患。</w:t>
            </w:r>
          </w:p>
        </w:tc>
      </w:tr>
      <w:tr w14:paraId="10AC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1F360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22C789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4DF1251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（2）负责供暖期间暖气阀门的开关检查。</w:t>
            </w:r>
          </w:p>
        </w:tc>
      </w:tr>
      <w:tr w14:paraId="0080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30C36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5363A1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10020" w:type="dxa"/>
            <w:noWrap w:val="0"/>
            <w:vAlign w:val="center"/>
          </w:tcPr>
          <w:p w14:paraId="542ECD5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（3）做好供暖前检查等相关准备工作。</w:t>
            </w:r>
          </w:p>
        </w:tc>
      </w:tr>
      <w:tr w14:paraId="0449A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3D970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1CA4EF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5AA650D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（4）暖气供暖前，提前通知采购人需要采购应急物料。</w:t>
            </w:r>
          </w:p>
        </w:tc>
      </w:tr>
      <w:tr w14:paraId="61B3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90F2B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001060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0A25FC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（5）供暖期间做好日常检查、维护、抢修、登记上报等工作。</w:t>
            </w:r>
          </w:p>
        </w:tc>
      </w:tr>
      <w:tr w14:paraId="086C4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C59619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48" w:type="dxa"/>
            <w:vMerge w:val="continue"/>
            <w:noWrap w:val="0"/>
            <w:vAlign w:val="center"/>
          </w:tcPr>
          <w:p w14:paraId="5BCE0C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10020" w:type="dxa"/>
            <w:noWrap w:val="0"/>
            <w:vAlign w:val="center"/>
          </w:tcPr>
          <w:p w14:paraId="3AA4E5E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（6）根据天气情况适时调节供暖设备运行工况，节约能源。</w:t>
            </w:r>
          </w:p>
        </w:tc>
      </w:tr>
    </w:tbl>
    <w:p w14:paraId="68B85DFA">
      <w:pPr>
        <w:pStyle w:val="5"/>
        <w:rPr>
          <w:rFonts w:hint="eastAsia" w:ascii="宋体" w:hAnsi="宋体" w:eastAsia="宋体" w:cs="宋体"/>
          <w:b w:val="0"/>
          <w:bCs w:val="0"/>
          <w:sz w:val="28"/>
          <w:szCs w:val="28"/>
          <w:highlight w:val="none"/>
        </w:rPr>
      </w:pPr>
      <w:r>
        <w:rPr>
          <w:rFonts w:hint="eastAsia" w:ascii="宋体" w:hAnsi="宋体" w:eastAsia="宋体" w:cs="宋体"/>
          <w:sz w:val="28"/>
          <w:szCs w:val="28"/>
          <w:highlight w:val="none"/>
          <w:lang w:val="en-US" w:eastAsia="zh-CN"/>
        </w:rPr>
        <w:t>注：电梯系统、空调设备等设施设备的安装改造维修应当由具备相应资质的供应商完成，如供应商自身不具备，可进行分包由具有相应资质的单位完成。</w:t>
      </w:r>
      <w:r>
        <w:rPr>
          <w:rFonts w:hint="eastAsia" w:ascii="宋体" w:hAnsi="宋体" w:eastAsia="宋体" w:cs="宋体"/>
          <w:b w:val="0"/>
          <w:bCs w:val="0"/>
          <w:sz w:val="28"/>
          <w:szCs w:val="28"/>
          <w:highlight w:val="none"/>
        </w:rPr>
        <w:t>服务标准涉及的国家标准有更新的，执行国家最新标准。</w:t>
      </w:r>
    </w:p>
    <w:p w14:paraId="2CC3DE0B">
      <w:pPr>
        <w:pStyle w:val="4"/>
        <w:bidi w:val="0"/>
        <w:ind w:left="0" w:leftChars="0" w:firstLine="0" w:firstLineChars="0"/>
        <w:rPr>
          <w:rFonts w:hint="eastAsia" w:ascii="宋体" w:hAnsi="宋体" w:eastAsia="宋体" w:cs="宋体"/>
          <w:sz w:val="28"/>
          <w:szCs w:val="28"/>
          <w:highlight w:val="none"/>
          <w:lang w:val="en-US" w:eastAsia="zh-CN"/>
        </w:rPr>
      </w:pPr>
    </w:p>
    <w:p w14:paraId="1723FB16">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3.4保洁服务</w:t>
      </w:r>
    </w:p>
    <w:tbl>
      <w:tblPr>
        <w:tblStyle w:val="7"/>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973"/>
        <w:gridCol w:w="5841"/>
      </w:tblGrid>
      <w:tr w14:paraId="6659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noWrap w:val="0"/>
            <w:vAlign w:val="center"/>
          </w:tcPr>
          <w:p w14:paraId="61311F90">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72" w:type="dxa"/>
            <w:noWrap w:val="0"/>
            <w:vAlign w:val="center"/>
          </w:tcPr>
          <w:p w14:paraId="244DFFFB">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9978" w:type="dxa"/>
            <w:noWrap w:val="0"/>
            <w:vAlign w:val="center"/>
          </w:tcPr>
          <w:p w14:paraId="769AC019">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3C19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2F54CC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72" w:type="dxa"/>
            <w:vMerge w:val="restart"/>
            <w:noWrap w:val="0"/>
            <w:vAlign w:val="center"/>
          </w:tcPr>
          <w:p w14:paraId="2F2FF4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基本要求</w:t>
            </w:r>
          </w:p>
        </w:tc>
        <w:tc>
          <w:tcPr>
            <w:tcW w:w="9978" w:type="dxa"/>
            <w:noWrap w:val="0"/>
            <w:vAlign w:val="center"/>
          </w:tcPr>
          <w:p w14:paraId="7466F06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（1）建立保洁服务的工作制度及工作计划，并按照执行。</w:t>
            </w:r>
          </w:p>
        </w:tc>
      </w:tr>
      <w:tr w14:paraId="070B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F4600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488B938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78" w:type="dxa"/>
            <w:noWrap w:val="0"/>
            <w:vAlign w:val="center"/>
          </w:tcPr>
          <w:p w14:paraId="53827EF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（2）做好保洁服务工作记录，记录填写规范、保存完好。</w:t>
            </w:r>
          </w:p>
        </w:tc>
      </w:tr>
      <w:tr w14:paraId="4026B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B1732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3D8319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78" w:type="dxa"/>
            <w:noWrap w:val="0"/>
            <w:vAlign w:val="center"/>
          </w:tcPr>
          <w:p w14:paraId="52A3CD7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（3）作业时采取安全防护措施，防止对作业人员或他人造成伤害。相关耗材的环保、安全性等应当符合国家相关规定要求。</w:t>
            </w:r>
          </w:p>
        </w:tc>
      </w:tr>
      <w:tr w14:paraId="077B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E5A00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2743FC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322FFC7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（4）进入保密区域时，有采购人相关人员全程在场。</w:t>
            </w:r>
          </w:p>
        </w:tc>
      </w:tr>
      <w:tr w14:paraId="6AAD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1219" w:type="dxa"/>
            <w:vMerge w:val="restart"/>
            <w:noWrap w:val="0"/>
            <w:vAlign w:val="center"/>
          </w:tcPr>
          <w:p w14:paraId="58BE9C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72" w:type="dxa"/>
            <w:vMerge w:val="restart"/>
            <w:noWrap w:val="0"/>
            <w:vAlign w:val="center"/>
          </w:tcPr>
          <w:p w14:paraId="2C8B71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办公用房区域保洁</w:t>
            </w:r>
          </w:p>
        </w:tc>
        <w:tc>
          <w:tcPr>
            <w:tcW w:w="9978" w:type="dxa"/>
            <w:noWrap w:val="0"/>
            <w:vAlign w:val="center"/>
          </w:tcPr>
          <w:p w14:paraId="38759F1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（1）大厅、楼内公共通道：</w:t>
            </w:r>
          </w:p>
          <w:p w14:paraId="302C8AD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①公共通道保持干净，无异味、无杂物、无积水，每日至少开展1次清洁作业。</w:t>
            </w:r>
          </w:p>
          <w:p w14:paraId="32925B1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②门窗玻璃干净无尘，透光性好，每周至少开展1次清洁作业（不包含高空作业）。</w:t>
            </w:r>
          </w:p>
          <w:p w14:paraId="40D656F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 xml:space="preserve"> ③指示牌干净，无污渍，每日至少开展1次清洁作业。</w:t>
            </w:r>
          </w:p>
        </w:tc>
      </w:tr>
      <w:tr w14:paraId="4940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37C4E7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72590B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6267057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（2）电器、消防等设施设备：</w:t>
            </w:r>
          </w:p>
          <w:p w14:paraId="72B8F8A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①配电箱、设备机房、会议室音视频设备、消防栓及开关插座等保持表面干净，无尘无污迹，每月至少开展1次清洁作业。</w:t>
            </w:r>
          </w:p>
          <w:p w14:paraId="39FC51A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 xml:space="preserve"> ②监控摄像头、门禁系统等表面光亮，无尘、无斑点，每月至少开展1次清洁作业。</w:t>
            </w:r>
          </w:p>
        </w:tc>
      </w:tr>
      <w:tr w14:paraId="24F80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9FA2C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040B43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69F7B05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（3）楼梯及楼梯间保持干净、无异味、无杂物、无积水，每日至少开展1次清洁作业。</w:t>
            </w:r>
          </w:p>
        </w:tc>
      </w:tr>
      <w:tr w14:paraId="7217F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3E6CD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43E26C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3726BD8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（4）开水间保持干净、无异味、无杂物、无积水，每日至少开展1次清洁作业。</w:t>
            </w:r>
          </w:p>
        </w:tc>
      </w:tr>
      <w:tr w14:paraId="3669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3013C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310C11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43C74E7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（5）作业工具间：</w:t>
            </w:r>
          </w:p>
          <w:p w14:paraId="5F3AE44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①保持干净，无异味、无杂物、无积水，每日至少开展1次清洁作业。</w:t>
            </w:r>
          </w:p>
          <w:p w14:paraId="21D9960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 xml:space="preserve"> ②作业工具摆放整齐有序，表面干净无渍，每日消毒。</w:t>
            </w:r>
          </w:p>
        </w:tc>
      </w:tr>
      <w:tr w14:paraId="5735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1E6EC4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12D0DA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463FD6F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（6）公共卫生间：</w:t>
            </w:r>
          </w:p>
          <w:p w14:paraId="343E326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 xml:space="preserve"> ①保持干净，无异味，垃圾无溢出，每日至少开展1次清洁作业。</w:t>
            </w:r>
          </w:p>
          <w:p w14:paraId="31E5DF0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 xml:space="preserve"> ②及时补充厕纸等必要用品。</w:t>
            </w:r>
          </w:p>
        </w:tc>
      </w:tr>
      <w:tr w14:paraId="453E9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1219" w:type="dxa"/>
            <w:vMerge w:val="continue"/>
            <w:noWrap w:val="0"/>
            <w:vAlign w:val="center"/>
          </w:tcPr>
          <w:p w14:paraId="704B7C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208835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7C38442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（7）电梯轿厢：</w:t>
            </w:r>
          </w:p>
          <w:p w14:paraId="2FA180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①保持干净，无污渍、无粘贴物、无异味，每日至少开展1次清洁作业。</w:t>
            </w:r>
          </w:p>
          <w:p w14:paraId="31FBD0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t>②灯具、操作指示板明亮。</w:t>
            </w:r>
          </w:p>
        </w:tc>
      </w:tr>
      <w:tr w14:paraId="24F2A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9293C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1E3187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46D02E7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A3"/>
            </w:r>
            <w:r>
              <w:rPr>
                <w:rFonts w:hint="eastAsia" w:ascii="宋体" w:hAnsi="宋体" w:eastAsia="宋体" w:cs="宋体"/>
                <w:b w:val="0"/>
                <w:bCs w:val="0"/>
                <w:color w:val="auto"/>
                <w:kern w:val="0"/>
                <w:sz w:val="28"/>
                <w:szCs w:val="28"/>
                <w:highlight w:val="none"/>
                <w:lang w:val="en-US" w:eastAsia="zh-CN"/>
              </w:rPr>
              <w:t xml:space="preserve"> （8）平台、屋顶、天沟保持干净，有杂物及时清扫，每月至少开展1次清洁作业。</w:t>
            </w:r>
          </w:p>
        </w:tc>
      </w:tr>
      <w:tr w14:paraId="60F5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13886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3F8173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02A7C5B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w:t>
            </w:r>
            <w:r>
              <w:rPr>
                <w:rFonts w:hint="eastAsia" w:ascii="宋体" w:hAnsi="宋体" w:eastAsia="宋体" w:cs="宋体"/>
                <w:color w:val="auto"/>
                <w:sz w:val="28"/>
                <w:szCs w:val="28"/>
                <w:highlight w:val="none"/>
                <w:u w:val="none"/>
                <w:lang w:val="en-US" w:eastAsia="zh-CN"/>
              </w:rPr>
              <w:t>石材地面、内墙做好养护工作</w:t>
            </w:r>
            <w:r>
              <w:rPr>
                <w:rFonts w:hint="eastAsia" w:ascii="宋体" w:hAnsi="宋体" w:eastAsia="宋体" w:cs="宋体"/>
                <w:b w:val="0"/>
                <w:bCs w:val="0"/>
                <w:color w:val="auto"/>
                <w:kern w:val="0"/>
                <w:sz w:val="28"/>
                <w:szCs w:val="28"/>
                <w:highlight w:val="none"/>
                <w:lang w:val="en-US" w:eastAsia="zh-CN"/>
              </w:rPr>
              <w:t>，每季度开展1次清洁作业。（各类材质地面、内墙服务管理标准详见3.4.1）</w:t>
            </w:r>
          </w:p>
        </w:tc>
      </w:tr>
      <w:tr w14:paraId="20EE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19" w:type="dxa"/>
            <w:vMerge w:val="continue"/>
            <w:noWrap w:val="0"/>
            <w:vAlign w:val="center"/>
          </w:tcPr>
          <w:p w14:paraId="4494D5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3FAEF5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10CA86B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（10）</w:t>
            </w:r>
            <w:r>
              <w:rPr>
                <w:rFonts w:hint="eastAsia" w:ascii="宋体" w:hAnsi="宋体" w:eastAsia="宋体" w:cs="宋体"/>
                <w:color w:val="auto"/>
                <w:sz w:val="28"/>
                <w:szCs w:val="28"/>
                <w:highlight w:val="none"/>
                <w:u w:val="none"/>
                <w:lang w:val="en-US" w:eastAsia="zh-CN"/>
              </w:rPr>
              <w:t>地毯干净、无油渍、无污渍、无褪色</w:t>
            </w:r>
            <w:r>
              <w:rPr>
                <w:rFonts w:hint="eastAsia" w:ascii="宋体" w:hAnsi="宋体" w:eastAsia="宋体" w:cs="宋体"/>
                <w:b w:val="0"/>
                <w:bCs w:val="0"/>
                <w:color w:val="auto"/>
                <w:kern w:val="0"/>
                <w:sz w:val="28"/>
                <w:szCs w:val="28"/>
                <w:highlight w:val="none"/>
                <w:lang w:val="en-US" w:eastAsia="zh-CN"/>
              </w:rPr>
              <w:t>，每月至少开展1次清洁作业。</w:t>
            </w:r>
          </w:p>
        </w:tc>
      </w:tr>
      <w:tr w14:paraId="62231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1A0031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372" w:type="dxa"/>
            <w:vMerge w:val="restart"/>
            <w:noWrap w:val="0"/>
            <w:vAlign w:val="center"/>
          </w:tcPr>
          <w:p w14:paraId="3ABA5E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公共场地区域保洁</w:t>
            </w:r>
          </w:p>
        </w:tc>
        <w:tc>
          <w:tcPr>
            <w:tcW w:w="9978" w:type="dxa"/>
            <w:noWrap w:val="0"/>
            <w:vAlign w:val="center"/>
          </w:tcPr>
          <w:p w14:paraId="235F8F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（1）每日清扫道路地面、停车场等公共区域2次，保持干净、无杂物、无积水。</w:t>
            </w:r>
          </w:p>
        </w:tc>
      </w:tr>
      <w:tr w14:paraId="5E42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22B64D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74AD00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4065E2E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（2）雪、冰冻等恶劣天气时及时清扫积水、积雪，并采取安全防护措施。</w:t>
            </w:r>
          </w:p>
        </w:tc>
      </w:tr>
      <w:tr w14:paraId="3C2D4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7EF9B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5496CF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29CB345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（3）各种路标、宣传栏等保持干净，每月至少开展1次清洁作业。</w:t>
            </w:r>
          </w:p>
        </w:tc>
      </w:tr>
      <w:tr w14:paraId="73F9D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88535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459268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02F7521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（4）清洁室外照明设备，每月至少开展1次清洁作业。</w:t>
            </w:r>
          </w:p>
        </w:tc>
      </w:tr>
      <w:tr w14:paraId="0173F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2AEDC3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0D1FC1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476E946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（5）绿地内无杂物、无改变用途和破坏、践踏、占用现象，每天至少开展1次巡查。</w:t>
            </w:r>
          </w:p>
        </w:tc>
      </w:tr>
      <w:tr w14:paraId="30DF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19" w:type="dxa"/>
            <w:vMerge w:val="continue"/>
            <w:noWrap w:val="0"/>
            <w:vAlign w:val="center"/>
          </w:tcPr>
          <w:p w14:paraId="0844D0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rPr>
            </w:pPr>
          </w:p>
        </w:tc>
        <w:tc>
          <w:tcPr>
            <w:tcW w:w="3372" w:type="dxa"/>
            <w:vMerge w:val="continue"/>
            <w:noWrap w:val="0"/>
            <w:vAlign w:val="center"/>
          </w:tcPr>
          <w:p w14:paraId="71E22D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38710A2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w:t>
            </w:r>
            <w:r>
              <w:rPr>
                <w:rFonts w:hint="eastAsia" w:ascii="宋体" w:hAnsi="宋体" w:eastAsia="宋体" w:cs="宋体"/>
                <w:sz w:val="28"/>
                <w:szCs w:val="28"/>
                <w:highlight w:val="none"/>
              </w:rPr>
              <w:t>办公区外立面</w:t>
            </w:r>
            <w:r>
              <w:rPr>
                <w:rFonts w:hint="eastAsia" w:ascii="宋体" w:hAnsi="宋体" w:eastAsia="宋体" w:cs="宋体"/>
                <w:color w:val="auto"/>
                <w:sz w:val="28"/>
                <w:szCs w:val="28"/>
                <w:highlight w:val="none"/>
                <w:u w:val="none"/>
                <w:lang w:val="en-US" w:eastAsia="zh-CN"/>
              </w:rPr>
              <w:t>定期</w:t>
            </w:r>
            <w:r>
              <w:rPr>
                <w:rFonts w:hint="eastAsia" w:ascii="宋体" w:hAnsi="宋体" w:eastAsia="宋体" w:cs="宋体"/>
                <w:sz w:val="28"/>
                <w:szCs w:val="28"/>
                <w:highlight w:val="none"/>
              </w:rPr>
              <w:t>清洗、</w:t>
            </w:r>
            <w:r>
              <w:rPr>
                <w:rFonts w:hint="eastAsia" w:ascii="宋体" w:hAnsi="宋体" w:eastAsia="宋体" w:cs="宋体"/>
                <w:sz w:val="28"/>
                <w:szCs w:val="28"/>
                <w:highlight w:val="none"/>
                <w:lang w:val="en-US" w:eastAsia="zh-CN"/>
              </w:rPr>
              <w:t>2米以上</w:t>
            </w:r>
            <w:r>
              <w:rPr>
                <w:rFonts w:hint="eastAsia" w:ascii="宋体" w:hAnsi="宋体" w:eastAsia="宋体" w:cs="宋体"/>
                <w:sz w:val="28"/>
                <w:szCs w:val="28"/>
                <w:highlight w:val="none"/>
              </w:rPr>
              <w:t>外窗玻璃擦拭</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每年</w:t>
            </w:r>
            <w:r>
              <w:rPr>
                <w:rFonts w:hint="eastAsia" w:ascii="宋体" w:hAnsi="宋体" w:eastAsia="宋体" w:cs="宋体"/>
                <w:b w:val="0"/>
                <w:bCs w:val="0"/>
                <w:color w:val="auto"/>
                <w:kern w:val="0"/>
                <w:sz w:val="28"/>
                <w:szCs w:val="28"/>
                <w:highlight w:val="none"/>
                <w:lang w:val="en-US" w:eastAsia="zh-CN"/>
              </w:rPr>
              <w:t>至少开展</w:t>
            </w:r>
            <w:r>
              <w:rPr>
                <w:rFonts w:hint="eastAsia" w:ascii="宋体" w:hAnsi="宋体" w:eastAsia="宋体" w:cs="宋体"/>
                <w:sz w:val="28"/>
                <w:szCs w:val="28"/>
                <w:highlight w:val="none"/>
                <w:lang w:val="en-US" w:eastAsia="zh-CN"/>
              </w:rPr>
              <w:t>1次清洗。</w:t>
            </w:r>
            <w:r>
              <w:rPr>
                <w:rFonts w:hint="eastAsia" w:ascii="宋体" w:hAnsi="宋体" w:eastAsia="宋体" w:cs="宋体"/>
                <w:b w:val="0"/>
                <w:bCs w:val="0"/>
                <w:color w:val="auto"/>
                <w:kern w:val="0"/>
                <w:sz w:val="28"/>
                <w:szCs w:val="28"/>
                <w:highlight w:val="none"/>
                <w:lang w:val="en-US" w:eastAsia="zh-CN"/>
              </w:rPr>
              <w:t>（各类材质外立面服务标准详见3.4.1）</w:t>
            </w:r>
          </w:p>
        </w:tc>
      </w:tr>
      <w:tr w14:paraId="2996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75EF01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372" w:type="dxa"/>
            <w:vMerge w:val="restart"/>
            <w:noWrap w:val="0"/>
            <w:vAlign w:val="center"/>
          </w:tcPr>
          <w:p w14:paraId="35BCB1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垃圾处理</w:t>
            </w:r>
          </w:p>
        </w:tc>
        <w:tc>
          <w:tcPr>
            <w:tcW w:w="9978" w:type="dxa"/>
            <w:noWrap w:val="0"/>
            <w:vAlign w:val="center"/>
          </w:tcPr>
          <w:p w14:paraId="076A275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（1）在指定位置摆放分类垃圾桶，并在显著处张贴垃圾分类标识。分类垃圾桶和垃圾分类标识根据所在城市的要求设置。</w:t>
            </w:r>
          </w:p>
        </w:tc>
      </w:tr>
      <w:tr w14:paraId="514C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410D3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48EF80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04EA1C2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（2）桶身表面干净无污渍，每日开展至少1次清洁作业。</w:t>
            </w:r>
          </w:p>
        </w:tc>
      </w:tr>
      <w:tr w14:paraId="3ED2C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09CFD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69F1508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7790BD6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（3）垃圾中转房保持整洁，无明显异味，每日至少开展1次清洁作业。</w:t>
            </w:r>
          </w:p>
        </w:tc>
      </w:tr>
      <w:tr w14:paraId="3CC35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77D69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03EB6D3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42238FE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（4）化粪池清掏，无明显异味，每半年至少开展1次清洁作业。</w:t>
            </w:r>
          </w:p>
        </w:tc>
      </w:tr>
      <w:tr w14:paraId="7A19A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71FE1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5986ED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060BE57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w:t>
            </w:r>
            <w:r>
              <w:rPr>
                <w:rFonts w:hint="eastAsia" w:ascii="宋体" w:hAnsi="宋体" w:eastAsia="宋体" w:cs="宋体"/>
                <w:color w:val="auto"/>
                <w:sz w:val="28"/>
                <w:szCs w:val="28"/>
                <w:highlight w:val="none"/>
                <w:u w:val="none"/>
                <w:lang w:val="en-US" w:eastAsia="zh-CN"/>
              </w:rPr>
              <w:t>每个工作日内要对楼层产生的垃圾，进行清理，并运至垃圾集中堆放点。</w:t>
            </w:r>
          </w:p>
        </w:tc>
      </w:tr>
      <w:tr w14:paraId="20524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21E26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1040F2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364538A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（6）垃圾装袋，日产日清。</w:t>
            </w:r>
          </w:p>
        </w:tc>
      </w:tr>
      <w:tr w14:paraId="149B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6522F7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556CCB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16E98F8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（7）建立垃圾清运台账，交由规范的渠道回收处理。</w:t>
            </w:r>
          </w:p>
        </w:tc>
      </w:tr>
      <w:tr w14:paraId="30D44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2F52B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0C1DF5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234F1C5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w:t>
            </w:r>
            <w:r>
              <w:rPr>
                <w:rFonts w:hint="eastAsia" w:ascii="宋体" w:hAnsi="宋体" w:eastAsia="宋体" w:cs="宋体"/>
                <w:color w:val="auto"/>
                <w:sz w:val="28"/>
                <w:szCs w:val="28"/>
                <w:highlight w:val="none"/>
                <w:u w:val="none"/>
                <w:lang w:val="en-US" w:eastAsia="zh-CN"/>
              </w:rPr>
              <w:t>做好垃圾分类管理的宣传工作，督促并引导全员参与垃圾分类投放。</w:t>
            </w:r>
          </w:p>
        </w:tc>
      </w:tr>
      <w:tr w14:paraId="0A167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19" w:type="dxa"/>
            <w:vMerge w:val="continue"/>
            <w:noWrap w:val="0"/>
            <w:vAlign w:val="center"/>
          </w:tcPr>
          <w:p w14:paraId="23BE4E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43C5D4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0D84FCF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w:t>
            </w:r>
            <w:r>
              <w:rPr>
                <w:rFonts w:hint="eastAsia" w:ascii="宋体" w:hAnsi="宋体" w:eastAsia="宋体" w:cs="宋体"/>
                <w:color w:val="auto"/>
                <w:sz w:val="28"/>
                <w:szCs w:val="28"/>
                <w:highlight w:val="none"/>
                <w:u w:val="none"/>
                <w:lang w:val="en-US" w:eastAsia="zh-CN"/>
              </w:rPr>
              <w:t>垃圾分类投放管理工作的执行标准，按</w:t>
            </w:r>
            <w:r>
              <w:rPr>
                <w:rFonts w:hint="eastAsia" w:ascii="宋体" w:hAnsi="宋体" w:eastAsia="宋体" w:cs="宋体"/>
                <w:b w:val="0"/>
                <w:bCs w:val="0"/>
                <w:color w:val="auto"/>
                <w:kern w:val="0"/>
                <w:sz w:val="28"/>
                <w:szCs w:val="28"/>
                <w:highlight w:val="none"/>
                <w:lang w:val="en-US" w:eastAsia="zh-CN"/>
              </w:rPr>
              <w:t>所在城市</w:t>
            </w:r>
            <w:r>
              <w:rPr>
                <w:rFonts w:hint="eastAsia" w:ascii="宋体" w:hAnsi="宋体" w:eastAsia="宋体" w:cs="宋体"/>
                <w:color w:val="auto"/>
                <w:sz w:val="28"/>
                <w:szCs w:val="28"/>
                <w:highlight w:val="none"/>
                <w:u w:val="none"/>
                <w:lang w:val="en-US" w:eastAsia="zh-CN"/>
              </w:rPr>
              <w:t>的要求执行。</w:t>
            </w:r>
          </w:p>
        </w:tc>
      </w:tr>
      <w:tr w14:paraId="144BB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219" w:type="dxa"/>
            <w:vMerge w:val="restart"/>
            <w:noWrap w:val="0"/>
            <w:vAlign w:val="center"/>
          </w:tcPr>
          <w:p w14:paraId="684167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3372" w:type="dxa"/>
            <w:vMerge w:val="restart"/>
            <w:noWrap w:val="0"/>
            <w:vAlign w:val="center"/>
          </w:tcPr>
          <w:p w14:paraId="3F0AE07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卫生消毒</w:t>
            </w:r>
          </w:p>
        </w:tc>
        <w:tc>
          <w:tcPr>
            <w:tcW w:w="9978" w:type="dxa"/>
            <w:noWrap w:val="0"/>
            <w:vAlign w:val="center"/>
          </w:tcPr>
          <w:p w14:paraId="75E995E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（1）办公用房区域、公共场所区域和周围环境预防性卫生消毒，</w:t>
            </w:r>
            <w:r>
              <w:rPr>
                <w:rFonts w:hint="eastAsia" w:ascii="宋体" w:hAnsi="宋体" w:eastAsia="宋体" w:cs="宋体"/>
                <w:color w:val="auto"/>
                <w:sz w:val="28"/>
                <w:szCs w:val="28"/>
                <w:highlight w:val="none"/>
                <w:u w:val="none"/>
                <w:lang w:val="en-US" w:eastAsia="zh-CN"/>
              </w:rPr>
              <w:t>消毒后及时通风，每周</w:t>
            </w:r>
            <w:r>
              <w:rPr>
                <w:rFonts w:hint="eastAsia" w:ascii="宋体" w:hAnsi="宋体" w:eastAsia="宋体" w:cs="宋体"/>
                <w:b w:val="0"/>
                <w:bCs w:val="0"/>
                <w:color w:val="auto"/>
                <w:kern w:val="0"/>
                <w:sz w:val="28"/>
                <w:szCs w:val="28"/>
                <w:highlight w:val="none"/>
                <w:lang w:val="en-US" w:eastAsia="zh-CN"/>
              </w:rPr>
              <w:t>至少开展</w:t>
            </w:r>
            <w:r>
              <w:rPr>
                <w:rFonts w:hint="eastAsia" w:ascii="宋体" w:hAnsi="宋体" w:eastAsia="宋体" w:cs="宋体"/>
                <w:color w:val="auto"/>
                <w:sz w:val="28"/>
                <w:szCs w:val="28"/>
                <w:highlight w:val="none"/>
                <w:u w:val="none"/>
                <w:lang w:val="en-US" w:eastAsia="zh-CN"/>
              </w:rPr>
              <w:t>1次作业。</w:t>
            </w:r>
          </w:p>
        </w:tc>
      </w:tr>
      <w:tr w14:paraId="3ADDC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219" w:type="dxa"/>
            <w:vMerge w:val="continue"/>
            <w:noWrap w:val="0"/>
            <w:vAlign w:val="center"/>
          </w:tcPr>
          <w:p w14:paraId="49D2B5E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116C12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214370C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（2）采取综合措施消灭老鼠、蟑螂，控制室内外蚊虫孳生，达到基本无蝇</w:t>
            </w:r>
            <w:r>
              <w:rPr>
                <w:rFonts w:hint="eastAsia" w:ascii="宋体" w:hAnsi="宋体" w:eastAsia="宋体" w:cs="宋体"/>
                <w:color w:val="auto"/>
                <w:sz w:val="28"/>
                <w:szCs w:val="28"/>
                <w:highlight w:val="none"/>
                <w:u w:val="none"/>
                <w:lang w:val="en-US" w:eastAsia="zh-CN"/>
              </w:rPr>
              <w:t>，每季度</w:t>
            </w:r>
            <w:r>
              <w:rPr>
                <w:rFonts w:hint="eastAsia" w:ascii="宋体" w:hAnsi="宋体" w:eastAsia="宋体" w:cs="宋体"/>
                <w:b w:val="0"/>
                <w:bCs w:val="0"/>
                <w:color w:val="auto"/>
                <w:kern w:val="0"/>
                <w:sz w:val="28"/>
                <w:szCs w:val="28"/>
                <w:highlight w:val="none"/>
                <w:lang w:val="en-US" w:eastAsia="zh-CN"/>
              </w:rPr>
              <w:t>至少开展</w:t>
            </w:r>
            <w:r>
              <w:rPr>
                <w:rFonts w:hint="eastAsia" w:ascii="宋体" w:hAnsi="宋体" w:eastAsia="宋体" w:cs="宋体"/>
                <w:color w:val="auto"/>
                <w:sz w:val="28"/>
                <w:szCs w:val="28"/>
                <w:highlight w:val="none"/>
                <w:u w:val="none"/>
                <w:lang w:val="en-US" w:eastAsia="zh-CN"/>
              </w:rPr>
              <w:t>1次作业。</w:t>
            </w:r>
          </w:p>
        </w:tc>
      </w:tr>
      <w:tr w14:paraId="4B07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19" w:type="dxa"/>
            <w:vMerge w:val="continue"/>
            <w:noWrap w:val="0"/>
            <w:vAlign w:val="center"/>
          </w:tcPr>
          <w:p w14:paraId="7C11C8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72" w:type="dxa"/>
            <w:vMerge w:val="continue"/>
            <w:noWrap w:val="0"/>
            <w:vAlign w:val="center"/>
          </w:tcPr>
          <w:p w14:paraId="036AA6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978" w:type="dxa"/>
            <w:noWrap w:val="0"/>
            <w:vAlign w:val="center"/>
          </w:tcPr>
          <w:p w14:paraId="09A8986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（3）发生公共卫生事件时，邀请专业单位开展消毒、检测等工作。</w:t>
            </w:r>
          </w:p>
        </w:tc>
      </w:tr>
    </w:tbl>
    <w:p w14:paraId="08375EAF">
      <w:pPr>
        <w:pStyle w:val="4"/>
        <w:bidi w:val="0"/>
        <w:rPr>
          <w:rFonts w:hint="eastAsia" w:ascii="宋体" w:hAnsi="宋体" w:eastAsia="宋体" w:cs="宋体"/>
          <w:sz w:val="28"/>
          <w:szCs w:val="28"/>
          <w:highlight w:val="none"/>
          <w:lang w:val="en-US" w:eastAsia="zh-CN"/>
        </w:rPr>
      </w:pPr>
    </w:p>
    <w:p w14:paraId="0001E607">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3.4.1具体清洁要求</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1921"/>
        <w:gridCol w:w="5731"/>
      </w:tblGrid>
      <w:tr w14:paraId="2944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2B1CA67">
            <w:pPr>
              <w:jc w:val="center"/>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序号</w:t>
            </w:r>
          </w:p>
        </w:tc>
        <w:tc>
          <w:tcPr>
            <w:tcW w:w="3368" w:type="dxa"/>
            <w:noWrap w:val="0"/>
            <w:vAlign w:val="center"/>
          </w:tcPr>
          <w:p w14:paraId="38A665DE">
            <w:pPr>
              <w:jc w:val="center"/>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材质</w:t>
            </w:r>
          </w:p>
        </w:tc>
        <w:tc>
          <w:tcPr>
            <w:tcW w:w="9947" w:type="dxa"/>
            <w:noWrap w:val="0"/>
            <w:vAlign w:val="center"/>
          </w:tcPr>
          <w:p w14:paraId="09E39DA4">
            <w:pPr>
              <w:jc w:val="center"/>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清洁要求</w:t>
            </w:r>
          </w:p>
        </w:tc>
      </w:tr>
      <w:tr w14:paraId="23E1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070394C3">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w:t>
            </w:r>
          </w:p>
        </w:tc>
        <w:tc>
          <w:tcPr>
            <w:tcW w:w="3368" w:type="dxa"/>
            <w:vMerge w:val="restart"/>
            <w:noWrap w:val="0"/>
            <w:vAlign w:val="center"/>
          </w:tcPr>
          <w:p w14:paraId="31D51A4A">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环氧地坪地面</w:t>
            </w:r>
          </w:p>
        </w:tc>
        <w:tc>
          <w:tcPr>
            <w:tcW w:w="9947" w:type="dxa"/>
            <w:noWrap w:val="0"/>
            <w:vAlign w:val="center"/>
          </w:tcPr>
          <w:p w14:paraId="70490273">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清理垃圾：清理地面上的垃圾和杂物。</w:t>
            </w:r>
          </w:p>
        </w:tc>
      </w:tr>
      <w:tr w14:paraId="34640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2A0DF3F">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2E5E07AD">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294249E7">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2A1BA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A001CC5">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6872A2B8">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7CE58C92">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w:t>
            </w:r>
            <w:r>
              <w:rPr>
                <w:rFonts w:hint="eastAsia" w:ascii="宋体" w:hAnsi="宋体" w:eastAsia="宋体" w:cs="宋体"/>
                <w:sz w:val="28"/>
                <w:szCs w:val="28"/>
                <w:highlight w:val="none"/>
                <w:vertAlign w:val="baseline"/>
                <w:lang w:val="en-US" w:eastAsia="zh-CN"/>
              </w:rPr>
              <w:t>进行深层清洗：对于顽固沉积物，需要使用滚刷或颗粒机进行深层清洗。</w:t>
            </w:r>
          </w:p>
        </w:tc>
      </w:tr>
      <w:tr w14:paraId="36215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8FD133D">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0B1FE6FB">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50692A19">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w:t>
            </w:r>
            <w:r>
              <w:rPr>
                <w:rFonts w:hint="eastAsia" w:ascii="宋体" w:hAnsi="宋体" w:eastAsia="宋体" w:cs="宋体"/>
                <w:sz w:val="28"/>
                <w:szCs w:val="28"/>
                <w:highlight w:val="none"/>
                <w:vertAlign w:val="baseline"/>
                <w:lang w:val="en-US" w:eastAsia="zh-CN"/>
              </w:rPr>
              <w:t>浸泡：将清洁剂或去污剂浸泡在环氧地坪上，加强去除污渍的效果。</w:t>
            </w:r>
          </w:p>
        </w:tc>
      </w:tr>
      <w:tr w14:paraId="7DA4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1146829">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48405C6D">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02468163">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w:t>
            </w:r>
            <w:r>
              <w:rPr>
                <w:rFonts w:hint="eastAsia" w:ascii="宋体" w:hAnsi="宋体" w:eastAsia="宋体" w:cs="宋体"/>
                <w:sz w:val="28"/>
                <w:szCs w:val="28"/>
                <w:highlight w:val="none"/>
                <w:vertAlign w:val="baseline"/>
                <w:lang w:val="en-US" w:eastAsia="zh-CN"/>
              </w:rPr>
              <w:t>冲洗：用清水将地面冲洗干净，以去除残留的清洁剂或去污剂。</w:t>
            </w:r>
          </w:p>
        </w:tc>
      </w:tr>
      <w:tr w14:paraId="7D385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79E97172">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w:t>
            </w:r>
          </w:p>
        </w:tc>
        <w:tc>
          <w:tcPr>
            <w:tcW w:w="3368" w:type="dxa"/>
            <w:vMerge w:val="restart"/>
            <w:noWrap w:val="0"/>
            <w:vAlign w:val="center"/>
          </w:tcPr>
          <w:p w14:paraId="42C3EF9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耐磨漆地面</w:t>
            </w:r>
          </w:p>
        </w:tc>
        <w:tc>
          <w:tcPr>
            <w:tcW w:w="9947" w:type="dxa"/>
            <w:noWrap w:val="0"/>
            <w:vAlign w:val="center"/>
          </w:tcPr>
          <w:p w14:paraId="72FC9F30">
            <w:pPr>
              <w:ind w:firstLine="280" w:firstLineChars="100"/>
              <w:jc w:val="both"/>
              <w:rPr>
                <w:rFonts w:hint="eastAsia" w:ascii="宋体" w:hAnsi="宋体" w:eastAsia="宋体" w:cs="宋体"/>
                <w:sz w:val="28"/>
                <w:szCs w:val="28"/>
                <w:highlight w:val="none"/>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rPr>
              <w:t>日常清洁：使用软质拖把或地板清洁机，配合清水和中性清洁剂进行清洁。避免使用酸性或碱性清洁剂，以免损坏地面表面。定期清理地面上的污渍和杂物，保持地面干净整洁。</w:t>
            </w:r>
          </w:p>
        </w:tc>
      </w:tr>
      <w:tr w14:paraId="094C6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E74CE41">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4E8F82EE">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7E2067A4">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rPr>
              <w:t>打蜡：为了增加耐磨地面的光亮度和耐磨性，可以进行打蜡处理。使用适合聚氨酯地面的蜡进行均匀涂抹，待蜡干燥后使用抛光机或拖把清理地面，使其变得光滑而有光泽。</w:t>
            </w:r>
          </w:p>
        </w:tc>
      </w:tr>
      <w:tr w14:paraId="38CA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B91F97B">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3</w:t>
            </w:r>
          </w:p>
        </w:tc>
        <w:tc>
          <w:tcPr>
            <w:tcW w:w="3368" w:type="dxa"/>
            <w:vMerge w:val="restart"/>
            <w:noWrap w:val="0"/>
            <w:vAlign w:val="center"/>
          </w:tcPr>
          <w:p w14:paraId="43D6A650">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瓷砖地面</w:t>
            </w:r>
          </w:p>
        </w:tc>
        <w:tc>
          <w:tcPr>
            <w:tcW w:w="9947" w:type="dxa"/>
            <w:noWrap w:val="0"/>
            <w:vAlign w:val="center"/>
          </w:tcPr>
          <w:p w14:paraId="24207E49">
            <w:pPr>
              <w:ind w:firstLine="280" w:firstLineChars="100"/>
              <w:jc w:val="both"/>
              <w:rPr>
                <w:rFonts w:hint="eastAsia" w:ascii="宋体" w:hAnsi="宋体" w:eastAsia="宋体" w:cs="宋体"/>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rPr>
              <w:t>日常清洁：</w:t>
            </w:r>
            <w:r>
              <w:rPr>
                <w:rFonts w:hint="eastAsia" w:ascii="宋体" w:hAnsi="宋体" w:eastAsia="宋体" w:cs="宋体"/>
                <w:sz w:val="28"/>
                <w:szCs w:val="28"/>
                <w:highlight w:val="none"/>
                <w:lang w:val="en-US" w:eastAsia="zh-CN"/>
              </w:rPr>
              <w:t>推尘，保持地面干净无杂物。</w:t>
            </w:r>
          </w:p>
        </w:tc>
      </w:tr>
      <w:tr w14:paraId="519B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2B738CE">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758A9936">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37054AC3">
            <w:pPr>
              <w:ind w:firstLine="280" w:firstLineChars="100"/>
              <w:jc w:val="both"/>
              <w:rPr>
                <w:rFonts w:hint="eastAsia" w:ascii="宋体" w:hAnsi="宋体" w:eastAsia="宋体" w:cs="宋体"/>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lang w:val="en-US" w:eastAsia="zh-CN"/>
              </w:rPr>
              <w:t>深度清洁：使用洗洁精或肥皂水清理。</w:t>
            </w:r>
          </w:p>
        </w:tc>
      </w:tr>
      <w:tr w14:paraId="141C2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6055054">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4</w:t>
            </w:r>
          </w:p>
        </w:tc>
        <w:tc>
          <w:tcPr>
            <w:tcW w:w="3368" w:type="dxa"/>
            <w:vMerge w:val="restart"/>
            <w:noWrap w:val="0"/>
            <w:vAlign w:val="center"/>
          </w:tcPr>
          <w:p w14:paraId="713E9FC5">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石材地面</w:t>
            </w:r>
          </w:p>
        </w:tc>
        <w:tc>
          <w:tcPr>
            <w:tcW w:w="9947" w:type="dxa"/>
            <w:noWrap w:val="0"/>
            <w:vAlign w:val="center"/>
          </w:tcPr>
          <w:p w14:paraId="7D53CAA1">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根据各区域的人流量及大理石的实际磨损程度制定大理石的晶面保养计划。</w:t>
            </w:r>
          </w:p>
        </w:tc>
      </w:tr>
      <w:tr w14:paraId="7FAAD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64E6B060">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73566DF0">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74FFF3D5">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（2）启动晶面机，使用中性清洁剂清洁，避免使用强酸或强碱清洁剂，定期进行基础维护。</w:t>
            </w:r>
          </w:p>
        </w:tc>
      </w:tr>
      <w:tr w14:paraId="1A945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024C6CF6">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5</w:t>
            </w:r>
          </w:p>
        </w:tc>
        <w:tc>
          <w:tcPr>
            <w:tcW w:w="3368" w:type="dxa"/>
            <w:vMerge w:val="restart"/>
            <w:noWrap w:val="0"/>
            <w:vAlign w:val="center"/>
          </w:tcPr>
          <w:p w14:paraId="45675AA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水磨石地面</w:t>
            </w:r>
          </w:p>
        </w:tc>
        <w:tc>
          <w:tcPr>
            <w:tcW w:w="9947" w:type="dxa"/>
            <w:noWrap w:val="0"/>
            <w:vAlign w:val="center"/>
          </w:tcPr>
          <w:p w14:paraId="3D48AA37">
            <w:pPr>
              <w:ind w:firstLine="280" w:firstLineChars="100"/>
              <w:jc w:val="both"/>
              <w:rPr>
                <w:rFonts w:hint="eastAsia" w:ascii="宋体" w:hAnsi="宋体" w:eastAsia="宋体" w:cs="宋体"/>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rPr>
              <w:t>日常清洁：</w:t>
            </w:r>
            <w:r>
              <w:rPr>
                <w:rFonts w:hint="eastAsia" w:ascii="宋体" w:hAnsi="宋体" w:eastAsia="宋体" w:cs="宋体"/>
                <w:sz w:val="28"/>
                <w:szCs w:val="28"/>
                <w:highlight w:val="none"/>
                <w:lang w:val="en-US" w:eastAsia="zh-CN"/>
              </w:rPr>
              <w:t>推尘，保持地面干净无杂物。</w:t>
            </w:r>
          </w:p>
        </w:tc>
      </w:tr>
      <w:tr w14:paraId="4260D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6B425C02">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2E32C79B">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6B39D864">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lang w:val="en-US" w:eastAsia="zh-CN"/>
              </w:rPr>
              <w:t>深度清洁：使用洗洁精或肥皂水清理。</w:t>
            </w:r>
          </w:p>
        </w:tc>
      </w:tr>
      <w:tr w14:paraId="057B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5CB08426">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6</w:t>
            </w:r>
          </w:p>
        </w:tc>
        <w:tc>
          <w:tcPr>
            <w:tcW w:w="3368" w:type="dxa"/>
            <w:vMerge w:val="restart"/>
            <w:noWrap w:val="0"/>
            <w:vAlign w:val="center"/>
          </w:tcPr>
          <w:p w14:paraId="1174F144">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地胶板地面</w:t>
            </w:r>
          </w:p>
        </w:tc>
        <w:tc>
          <w:tcPr>
            <w:tcW w:w="9947" w:type="dxa"/>
            <w:noWrap w:val="0"/>
            <w:vAlign w:val="center"/>
          </w:tcPr>
          <w:p w14:paraId="41685068">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定期保养。使用中性清洁剂清洁，避免使用强酸或强碱清洁剂，定期进行基础维护。</w:t>
            </w:r>
          </w:p>
        </w:tc>
      </w:tr>
      <w:tr w14:paraId="3333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B9B4390">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35AEF200">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25E9208A">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vertAlign w:val="baseline"/>
                <w:lang w:val="en-US" w:eastAsia="zh-CN"/>
              </w:rPr>
              <w:t>日常维护。使用湿润的拖把清洁，污染严重时局部清洁，每月对地胶板地面进行打蜡处理。</w:t>
            </w:r>
          </w:p>
        </w:tc>
      </w:tr>
      <w:tr w14:paraId="115B0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7805C9DC">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7</w:t>
            </w:r>
          </w:p>
        </w:tc>
        <w:tc>
          <w:tcPr>
            <w:tcW w:w="3368" w:type="dxa"/>
            <w:vMerge w:val="restart"/>
            <w:noWrap w:val="0"/>
            <w:vAlign w:val="center"/>
          </w:tcPr>
          <w:p w14:paraId="230527D4">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地板地面</w:t>
            </w:r>
          </w:p>
        </w:tc>
        <w:tc>
          <w:tcPr>
            <w:tcW w:w="9947" w:type="dxa"/>
            <w:noWrap w:val="0"/>
            <w:vAlign w:val="center"/>
          </w:tcPr>
          <w:p w14:paraId="06E41E04">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定期保养。使用中性清洁剂清洁，避免使用强酸或强碱清洁剂，定期进行基础维护。</w:t>
            </w:r>
          </w:p>
        </w:tc>
      </w:tr>
      <w:tr w14:paraId="549AA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4B0A322">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1FF4F004">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6D9D2624">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vertAlign w:val="baseline"/>
                <w:lang w:val="en-US" w:eastAsia="zh-CN"/>
              </w:rPr>
              <w:t>日常维护。使用湿润的拖把清洁，污染严重时局部清洁，每月对地板进行打蜡处理。</w:t>
            </w:r>
          </w:p>
        </w:tc>
      </w:tr>
      <w:tr w14:paraId="2E67F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4714277">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8</w:t>
            </w:r>
          </w:p>
        </w:tc>
        <w:tc>
          <w:tcPr>
            <w:tcW w:w="3368" w:type="dxa"/>
            <w:vMerge w:val="restart"/>
            <w:noWrap w:val="0"/>
            <w:vAlign w:val="center"/>
          </w:tcPr>
          <w:p w14:paraId="56708742">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地毯地面</w:t>
            </w:r>
          </w:p>
        </w:tc>
        <w:tc>
          <w:tcPr>
            <w:tcW w:w="9947" w:type="dxa"/>
            <w:noWrap w:val="0"/>
            <w:vAlign w:val="center"/>
          </w:tcPr>
          <w:p w14:paraId="0DFD44C9">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sz w:val="28"/>
                <w:szCs w:val="28"/>
                <w:highlight w:val="none"/>
                <w:vertAlign w:val="baseline"/>
                <w:lang w:val="en-US" w:eastAsia="zh-CN"/>
              </w:rPr>
              <w:t>日常用吸尘机除尘，局部脏污用湿布配中性清洁液重点清洁。</w:t>
            </w:r>
          </w:p>
        </w:tc>
      </w:tr>
      <w:tr w14:paraId="1CBC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823F789">
            <w:pPr>
              <w:jc w:val="center"/>
              <w:rPr>
                <w:rFonts w:hint="eastAsia" w:ascii="宋体" w:hAnsi="宋体" w:eastAsia="宋体" w:cs="宋体"/>
                <w:sz w:val="28"/>
                <w:szCs w:val="28"/>
                <w:highlight w:val="none"/>
                <w:vertAlign w:val="baseline"/>
                <w:lang w:val="en-US" w:eastAsia="zh-CN"/>
              </w:rPr>
            </w:pPr>
          </w:p>
        </w:tc>
        <w:tc>
          <w:tcPr>
            <w:tcW w:w="3368" w:type="dxa"/>
            <w:vMerge w:val="continue"/>
            <w:noWrap w:val="0"/>
            <w:vAlign w:val="center"/>
          </w:tcPr>
          <w:p w14:paraId="624B0C96">
            <w:pPr>
              <w:jc w:val="both"/>
              <w:rPr>
                <w:rFonts w:hint="eastAsia" w:ascii="宋体" w:hAnsi="宋体" w:eastAsia="宋体" w:cs="宋体"/>
                <w:sz w:val="28"/>
                <w:szCs w:val="28"/>
                <w:highlight w:val="none"/>
                <w:vertAlign w:val="baseline"/>
                <w:lang w:val="en-US" w:eastAsia="zh-CN"/>
              </w:rPr>
            </w:pPr>
          </w:p>
        </w:tc>
        <w:tc>
          <w:tcPr>
            <w:tcW w:w="9947" w:type="dxa"/>
            <w:noWrap w:val="0"/>
            <w:vAlign w:val="center"/>
          </w:tcPr>
          <w:p w14:paraId="0D8FD8D5">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w:t>
            </w:r>
            <w:r>
              <w:rPr>
                <w:rFonts w:hint="eastAsia" w:ascii="宋体" w:hAnsi="宋体" w:eastAsia="宋体" w:cs="宋体"/>
                <w:sz w:val="28"/>
                <w:szCs w:val="28"/>
                <w:highlight w:val="none"/>
                <w:vertAlign w:val="baseline"/>
                <w:lang w:val="en-US" w:eastAsia="zh-CN"/>
              </w:rPr>
              <w:t>用地毯清洗机进行整体清洗，除螨。</w:t>
            </w:r>
          </w:p>
        </w:tc>
      </w:tr>
      <w:tr w14:paraId="5EF5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863279E">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9</w:t>
            </w:r>
          </w:p>
        </w:tc>
        <w:tc>
          <w:tcPr>
            <w:tcW w:w="3368" w:type="dxa"/>
            <w:noWrap w:val="0"/>
            <w:vAlign w:val="center"/>
          </w:tcPr>
          <w:p w14:paraId="35A8FAF9">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乳胶漆内墙</w:t>
            </w:r>
          </w:p>
        </w:tc>
        <w:tc>
          <w:tcPr>
            <w:tcW w:w="9947" w:type="dxa"/>
            <w:noWrap w:val="0"/>
            <w:vAlign w:val="center"/>
          </w:tcPr>
          <w:p w14:paraId="0EE34643">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有污渍时用半干布擦拭。</w:t>
            </w:r>
          </w:p>
        </w:tc>
      </w:tr>
      <w:tr w14:paraId="3F75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3EE4D6E">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10</w:t>
            </w:r>
          </w:p>
        </w:tc>
        <w:tc>
          <w:tcPr>
            <w:tcW w:w="3368" w:type="dxa"/>
            <w:noWrap w:val="0"/>
            <w:vAlign w:val="center"/>
          </w:tcPr>
          <w:p w14:paraId="59E8F650">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墙纸内墙</w:t>
            </w:r>
          </w:p>
        </w:tc>
        <w:tc>
          <w:tcPr>
            <w:tcW w:w="9947" w:type="dxa"/>
            <w:noWrap w:val="0"/>
            <w:vAlign w:val="center"/>
          </w:tcPr>
          <w:p w14:paraId="541797D2">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有污渍时用半干布擦拭。</w:t>
            </w:r>
          </w:p>
        </w:tc>
      </w:tr>
      <w:tr w14:paraId="6AAF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99A6FB3">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11</w:t>
            </w:r>
          </w:p>
        </w:tc>
        <w:tc>
          <w:tcPr>
            <w:tcW w:w="3368" w:type="dxa"/>
            <w:noWrap w:val="0"/>
            <w:vAlign w:val="center"/>
          </w:tcPr>
          <w:p w14:paraId="03D8D9CD">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木饰面内墙</w:t>
            </w:r>
          </w:p>
        </w:tc>
        <w:tc>
          <w:tcPr>
            <w:tcW w:w="9947" w:type="dxa"/>
            <w:noWrap w:val="0"/>
            <w:vAlign w:val="center"/>
          </w:tcPr>
          <w:p w14:paraId="236F24F4">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有污渍时用中性清洁剂、半干布擦拭。</w:t>
            </w:r>
          </w:p>
        </w:tc>
      </w:tr>
      <w:tr w14:paraId="042F0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C4C85AF">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12</w:t>
            </w:r>
          </w:p>
        </w:tc>
        <w:tc>
          <w:tcPr>
            <w:tcW w:w="3368" w:type="dxa"/>
            <w:noWrap w:val="0"/>
            <w:vAlign w:val="center"/>
          </w:tcPr>
          <w:p w14:paraId="6DD1924F">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石材内墙</w:t>
            </w:r>
          </w:p>
        </w:tc>
        <w:tc>
          <w:tcPr>
            <w:tcW w:w="9947" w:type="dxa"/>
            <w:noWrap w:val="0"/>
            <w:vAlign w:val="center"/>
          </w:tcPr>
          <w:p w14:paraId="5AB6D20C">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有污渍时用半干布擦拭。</w:t>
            </w:r>
          </w:p>
        </w:tc>
      </w:tr>
      <w:tr w14:paraId="198F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2869403F">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13</w:t>
            </w:r>
          </w:p>
        </w:tc>
        <w:tc>
          <w:tcPr>
            <w:tcW w:w="3368" w:type="dxa"/>
            <w:noWrap w:val="0"/>
            <w:vAlign w:val="center"/>
          </w:tcPr>
          <w:p w14:paraId="4F60A7CC">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金属板内墙</w:t>
            </w:r>
          </w:p>
        </w:tc>
        <w:tc>
          <w:tcPr>
            <w:tcW w:w="9947" w:type="dxa"/>
            <w:noWrap w:val="0"/>
            <w:vAlign w:val="center"/>
          </w:tcPr>
          <w:p w14:paraId="49F7DD86">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有污渍时用半干布擦拭。</w:t>
            </w:r>
          </w:p>
        </w:tc>
      </w:tr>
      <w:tr w14:paraId="70E0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2B704EF4">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14</w:t>
            </w:r>
          </w:p>
        </w:tc>
        <w:tc>
          <w:tcPr>
            <w:tcW w:w="3368" w:type="dxa"/>
            <w:noWrap w:val="0"/>
            <w:vAlign w:val="center"/>
          </w:tcPr>
          <w:p w14:paraId="3BA0B209">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涂料外墙</w:t>
            </w:r>
          </w:p>
        </w:tc>
        <w:tc>
          <w:tcPr>
            <w:tcW w:w="9947" w:type="dxa"/>
            <w:noWrap w:val="0"/>
            <w:vAlign w:val="center"/>
          </w:tcPr>
          <w:p w14:paraId="7742F397">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126FD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9958EF6">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15</w:t>
            </w:r>
          </w:p>
        </w:tc>
        <w:tc>
          <w:tcPr>
            <w:tcW w:w="3368" w:type="dxa"/>
            <w:noWrap w:val="0"/>
            <w:vAlign w:val="center"/>
          </w:tcPr>
          <w:p w14:paraId="706BDCF5">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真石漆外墙</w:t>
            </w:r>
          </w:p>
        </w:tc>
        <w:tc>
          <w:tcPr>
            <w:tcW w:w="9947" w:type="dxa"/>
            <w:noWrap w:val="0"/>
            <w:vAlign w:val="center"/>
          </w:tcPr>
          <w:p w14:paraId="612E87AF">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70319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5F700FF">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16</w:t>
            </w:r>
          </w:p>
        </w:tc>
        <w:tc>
          <w:tcPr>
            <w:tcW w:w="3368" w:type="dxa"/>
            <w:noWrap w:val="0"/>
            <w:vAlign w:val="center"/>
          </w:tcPr>
          <w:p w14:paraId="714B3AF5">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瓷砖外墙</w:t>
            </w:r>
          </w:p>
        </w:tc>
        <w:tc>
          <w:tcPr>
            <w:tcW w:w="9947" w:type="dxa"/>
            <w:noWrap w:val="0"/>
            <w:vAlign w:val="center"/>
          </w:tcPr>
          <w:p w14:paraId="320D886C">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30F1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8EF9989">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17</w:t>
            </w:r>
          </w:p>
        </w:tc>
        <w:tc>
          <w:tcPr>
            <w:tcW w:w="3368" w:type="dxa"/>
            <w:noWrap w:val="0"/>
            <w:vAlign w:val="center"/>
          </w:tcPr>
          <w:p w14:paraId="14FE78E4">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保温一体板外墙</w:t>
            </w:r>
          </w:p>
        </w:tc>
        <w:tc>
          <w:tcPr>
            <w:tcW w:w="9947" w:type="dxa"/>
            <w:noWrap w:val="0"/>
            <w:vAlign w:val="center"/>
          </w:tcPr>
          <w:p w14:paraId="6325E6AC">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68CF8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2F0F676">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18</w:t>
            </w:r>
          </w:p>
        </w:tc>
        <w:tc>
          <w:tcPr>
            <w:tcW w:w="3368" w:type="dxa"/>
            <w:noWrap w:val="0"/>
            <w:vAlign w:val="center"/>
          </w:tcPr>
          <w:p w14:paraId="0F3EC84A">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铝板外墙</w:t>
            </w:r>
          </w:p>
        </w:tc>
        <w:tc>
          <w:tcPr>
            <w:tcW w:w="9947" w:type="dxa"/>
            <w:noWrap w:val="0"/>
            <w:vAlign w:val="center"/>
          </w:tcPr>
          <w:p w14:paraId="305458CD">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1E93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BC8735B">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19</w:t>
            </w:r>
          </w:p>
        </w:tc>
        <w:tc>
          <w:tcPr>
            <w:tcW w:w="3368" w:type="dxa"/>
            <w:noWrap w:val="0"/>
            <w:vAlign w:val="center"/>
          </w:tcPr>
          <w:p w14:paraId="3FE355C7">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干挂石材外墙</w:t>
            </w:r>
          </w:p>
        </w:tc>
        <w:tc>
          <w:tcPr>
            <w:tcW w:w="9947" w:type="dxa"/>
            <w:noWrap w:val="0"/>
            <w:vAlign w:val="center"/>
          </w:tcPr>
          <w:p w14:paraId="45C770A8">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r w14:paraId="6A29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218A774A">
            <w:pPr>
              <w:jc w:val="center"/>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20</w:t>
            </w:r>
          </w:p>
        </w:tc>
        <w:tc>
          <w:tcPr>
            <w:tcW w:w="3368" w:type="dxa"/>
            <w:noWrap w:val="0"/>
            <w:vAlign w:val="center"/>
          </w:tcPr>
          <w:p w14:paraId="540A64A9">
            <w:pPr>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vertAlign w:val="baseline"/>
                <w:lang w:val="en-US" w:eastAsia="zh-CN"/>
              </w:rPr>
              <w:t>玻璃幕墙外墙</w:t>
            </w:r>
          </w:p>
        </w:tc>
        <w:tc>
          <w:tcPr>
            <w:tcW w:w="9947" w:type="dxa"/>
            <w:noWrap w:val="0"/>
            <w:vAlign w:val="center"/>
          </w:tcPr>
          <w:p w14:paraId="61A33D92">
            <w:pPr>
              <w:ind w:firstLine="280" w:firstLineChars="100"/>
              <w:jc w:val="both"/>
              <w:rPr>
                <w:rFonts w:hint="eastAsia" w:ascii="宋体" w:hAnsi="宋体" w:eastAsia="宋体" w:cs="宋体"/>
                <w:sz w:val="28"/>
                <w:szCs w:val="28"/>
                <w:highlight w:val="none"/>
                <w:vertAlign w:val="baseli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sz w:val="28"/>
                <w:szCs w:val="28"/>
                <w:highlight w:val="none"/>
                <w:vertAlign w:val="baseline"/>
                <w:lang w:val="en-US" w:eastAsia="zh-CN"/>
              </w:rPr>
              <w:t>定期专业清洗。</w:t>
            </w:r>
          </w:p>
        </w:tc>
      </w:tr>
    </w:tbl>
    <w:p w14:paraId="289E8B8E">
      <w:pPr>
        <w:keepNext w:val="0"/>
        <w:keepLines w:val="0"/>
        <w:pageBreakBefore w:val="0"/>
        <w:widowControl w:val="0"/>
        <w:kinsoku/>
        <w:wordWrap/>
        <w:overflowPunct/>
        <w:topLinePunct w:val="0"/>
        <w:autoSpaceDE/>
        <w:autoSpaceDN/>
        <w:bidi w:val="0"/>
        <w:adjustRightInd/>
        <w:snapToGrid w:val="0"/>
        <w:ind w:firstLine="560" w:firstLineChars="200"/>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注：根据物业用材情况选择清洁要求，（不包括高空作业，专业清洗人员的聘请）。</w:t>
      </w:r>
    </w:p>
    <w:p w14:paraId="60F9A1D0">
      <w:pPr>
        <w:bidi w:val="0"/>
        <w:rPr>
          <w:rFonts w:hint="eastAsia" w:ascii="宋体" w:hAnsi="宋体" w:eastAsia="宋体" w:cs="宋体"/>
          <w:sz w:val="28"/>
          <w:szCs w:val="28"/>
          <w:highlight w:val="none"/>
          <w:lang w:val="en-US" w:eastAsia="zh-CN"/>
        </w:rPr>
      </w:pPr>
    </w:p>
    <w:p w14:paraId="1C103A01">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3.5绿化服务</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1"/>
        <w:gridCol w:w="5815"/>
      </w:tblGrid>
      <w:tr w14:paraId="3B26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noWrap w:val="0"/>
            <w:vAlign w:val="center"/>
          </w:tcPr>
          <w:p w14:paraId="6F4BDB95">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69" w:type="dxa"/>
            <w:noWrap w:val="0"/>
            <w:vAlign w:val="center"/>
          </w:tcPr>
          <w:p w14:paraId="1D2F8BE8">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9934" w:type="dxa"/>
            <w:noWrap w:val="0"/>
            <w:vAlign w:val="center"/>
          </w:tcPr>
          <w:p w14:paraId="5B7D40E3">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41DD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07C0AF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69" w:type="dxa"/>
            <w:vMerge w:val="restart"/>
            <w:noWrap w:val="0"/>
            <w:vAlign w:val="center"/>
          </w:tcPr>
          <w:p w14:paraId="3CE005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基本要求</w:t>
            </w:r>
          </w:p>
        </w:tc>
        <w:tc>
          <w:tcPr>
            <w:tcW w:w="9934" w:type="dxa"/>
            <w:noWrap w:val="0"/>
            <w:vAlign w:val="center"/>
          </w:tcPr>
          <w:p w14:paraId="7DAD588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（1）制定绿化服务的工作制度及工作计划，并按照执行。</w:t>
            </w:r>
          </w:p>
        </w:tc>
      </w:tr>
      <w:tr w14:paraId="29BA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4AC60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3FF0CE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5890526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（2）做好绿化服务工作记录，填写规范。</w:t>
            </w:r>
          </w:p>
        </w:tc>
      </w:tr>
      <w:tr w14:paraId="59211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2B4BC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33FF30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4D680A0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（3）作业时采取安全防护措施，防止对作业人员或他人造成伤害。</w:t>
            </w:r>
          </w:p>
        </w:tc>
      </w:tr>
      <w:tr w14:paraId="6830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4BEC90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2ECB6F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8"/>
                <w:szCs w:val="28"/>
                <w:highlight w:val="none"/>
                <w:lang w:val="en-US" w:eastAsia="zh-CN" w:bidi="ar-SA"/>
              </w:rPr>
            </w:pPr>
          </w:p>
        </w:tc>
        <w:tc>
          <w:tcPr>
            <w:tcW w:w="9934" w:type="dxa"/>
            <w:noWrap w:val="0"/>
            <w:vAlign w:val="center"/>
          </w:tcPr>
          <w:p w14:paraId="4110C58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（4）相关耗材的环保、安全性应当符合规定要求。</w:t>
            </w:r>
          </w:p>
        </w:tc>
      </w:tr>
      <w:tr w14:paraId="1113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5E1AB5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69" w:type="dxa"/>
            <w:vMerge w:val="restart"/>
            <w:noWrap w:val="0"/>
            <w:vAlign w:val="center"/>
          </w:tcPr>
          <w:p w14:paraId="1FC2B0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室外绿化养护</w:t>
            </w:r>
          </w:p>
        </w:tc>
        <w:tc>
          <w:tcPr>
            <w:tcW w:w="9934" w:type="dxa"/>
            <w:noWrap w:val="0"/>
            <w:vAlign w:val="center"/>
          </w:tcPr>
          <w:p w14:paraId="2D5488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w:t>
            </w:r>
            <w:r>
              <w:rPr>
                <w:rFonts w:hint="eastAsia" w:ascii="宋体" w:hAnsi="宋体" w:eastAsia="宋体" w:cs="宋体"/>
                <w:color w:val="auto"/>
                <w:sz w:val="28"/>
                <w:szCs w:val="28"/>
                <w:highlight w:val="none"/>
                <w:u w:val="none"/>
                <w:lang w:val="en-US" w:eastAsia="zh-CN"/>
              </w:rPr>
              <w:t>根据生长环境、植物特性进行除草、灌溉、施肥、整形修剪、防治病虫害等。</w:t>
            </w:r>
          </w:p>
        </w:tc>
      </w:tr>
      <w:tr w14:paraId="2AC6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49F2BD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66060B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6162934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（2）根据生长情况修剪绿地，绿地内无枯草、无杂物，</w:t>
            </w:r>
            <w:r>
              <w:rPr>
                <w:rFonts w:hint="eastAsia" w:ascii="宋体" w:hAnsi="宋体" w:eastAsia="宋体" w:cs="宋体"/>
                <w:color w:val="auto"/>
                <w:sz w:val="28"/>
                <w:szCs w:val="28"/>
                <w:highlight w:val="none"/>
                <w:u w:val="none"/>
                <w:lang w:val="en-US" w:eastAsia="zh-CN"/>
              </w:rPr>
              <w:t>无干枯坏死和病虫侵害，基本无裸露土地。</w:t>
            </w:r>
          </w:p>
        </w:tc>
      </w:tr>
      <w:tr w14:paraId="1DB9A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45303A7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28D165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251BD27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（3）定期修剪树木、花卉等，</w:t>
            </w:r>
            <w:r>
              <w:rPr>
                <w:rFonts w:hint="eastAsia" w:ascii="宋体" w:hAnsi="宋体" w:eastAsia="宋体" w:cs="宋体"/>
                <w:color w:val="auto"/>
                <w:sz w:val="28"/>
                <w:szCs w:val="28"/>
                <w:highlight w:val="none"/>
                <w:u w:val="none"/>
                <w:lang w:val="en-US" w:eastAsia="zh-CN"/>
              </w:rPr>
              <w:t>灌乔木生长正常、造型美观自然、花枝新鲜，无枯叶、无病虫、无死树缺株。</w:t>
            </w:r>
          </w:p>
        </w:tc>
      </w:tr>
      <w:tr w14:paraId="7621C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3BEC83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5217CB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0A623B0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w:t>
            </w:r>
            <w:r>
              <w:rPr>
                <w:rFonts w:hint="eastAsia" w:ascii="宋体" w:hAnsi="宋体" w:eastAsia="宋体" w:cs="宋体"/>
                <w:color w:val="auto"/>
                <w:sz w:val="28"/>
                <w:szCs w:val="28"/>
                <w:highlight w:val="none"/>
                <w:u w:val="none"/>
                <w:lang w:val="en-US" w:eastAsia="zh-CN"/>
              </w:rPr>
              <w:t>绿篱生长造型正常，颜色正常，修剪及时，基本无死株和干死株，有虫株率在10%以下。</w:t>
            </w:r>
          </w:p>
        </w:tc>
      </w:tr>
      <w:tr w14:paraId="675D0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40914C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724098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0EC8C7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w:t>
            </w:r>
            <w:r>
              <w:rPr>
                <w:rFonts w:hint="eastAsia" w:ascii="宋体" w:hAnsi="宋体" w:eastAsia="宋体" w:cs="宋体"/>
                <w:color w:val="auto"/>
                <w:sz w:val="28"/>
                <w:szCs w:val="28"/>
                <w:highlight w:val="none"/>
                <w:u w:val="none"/>
                <w:lang w:val="en-US" w:eastAsia="zh-CN"/>
              </w:rPr>
              <w:t>清除花坛和花景的花蒂、黄叶、杂草、垃圾，做好病虫害防治。</w:t>
            </w:r>
          </w:p>
        </w:tc>
      </w:tr>
      <w:tr w14:paraId="786A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BB636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51BF15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1B29E91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w:t>
            </w:r>
            <w:r>
              <w:rPr>
                <w:rFonts w:hint="eastAsia" w:ascii="宋体" w:hAnsi="宋体" w:eastAsia="宋体" w:cs="宋体"/>
                <w:color w:val="auto"/>
                <w:sz w:val="28"/>
                <w:szCs w:val="28"/>
                <w:highlight w:val="none"/>
                <w:u w:val="none"/>
                <w:lang w:val="en-US" w:eastAsia="zh-CN"/>
              </w:rPr>
              <w:t>水池水面定期清理，无枯枝落叶、水质清洁。</w:t>
            </w:r>
          </w:p>
        </w:tc>
      </w:tr>
      <w:tr w14:paraId="3C50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521B9A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40D6D1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57DC1E0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（7）根据病虫害发生规律实施综合治理，通常在病虫率高时，以药剂杀死病虫，以确保植物良好生长。产生垃圾的主要区域和路段做到日产日清。</w:t>
            </w:r>
          </w:p>
        </w:tc>
      </w:tr>
      <w:tr w14:paraId="327C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792D131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792219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934" w:type="dxa"/>
            <w:noWrap w:val="0"/>
            <w:vAlign w:val="center"/>
          </w:tcPr>
          <w:p w14:paraId="09D3C0C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（8）雨雪、冰冻等恶劣天气来临前，专人巡查，对绿植做好预防措施，排除安全隐患。</w:t>
            </w:r>
          </w:p>
        </w:tc>
      </w:tr>
      <w:tr w14:paraId="5FDEF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34ED50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9" w:type="dxa"/>
            <w:vMerge w:val="continue"/>
            <w:noWrap w:val="0"/>
            <w:vAlign w:val="center"/>
          </w:tcPr>
          <w:p w14:paraId="2ADBA4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8"/>
                <w:szCs w:val="28"/>
                <w:highlight w:val="none"/>
                <w:lang w:val="en-US" w:eastAsia="zh-CN" w:bidi="ar-SA"/>
              </w:rPr>
            </w:pPr>
          </w:p>
        </w:tc>
        <w:tc>
          <w:tcPr>
            <w:tcW w:w="9934" w:type="dxa"/>
            <w:noWrap w:val="0"/>
            <w:vAlign w:val="center"/>
          </w:tcPr>
          <w:p w14:paraId="16E2F7F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（9）恶劣天气后，及时清除倒树断枝，疏通道路，尽快恢复原状。</w:t>
            </w:r>
          </w:p>
        </w:tc>
      </w:tr>
    </w:tbl>
    <w:p w14:paraId="4BA9FB2E">
      <w:pPr>
        <w:pStyle w:val="4"/>
        <w:rPr>
          <w:rFonts w:hint="eastAsia" w:ascii="宋体" w:hAnsi="宋体" w:eastAsia="宋体" w:cs="宋体"/>
          <w:sz w:val="28"/>
          <w:szCs w:val="28"/>
          <w:highlight w:val="none"/>
        </w:rPr>
      </w:pPr>
    </w:p>
    <w:p w14:paraId="2D93F4B5">
      <w:pPr>
        <w:pStyle w:val="4"/>
        <w:rPr>
          <w:rFonts w:hint="eastAsia" w:ascii="宋体" w:hAnsi="宋体" w:eastAsia="宋体" w:cs="宋体"/>
          <w:b/>
          <w:bCs w:val="0"/>
          <w:i w:val="0"/>
          <w:iCs w:val="0"/>
          <w:sz w:val="28"/>
          <w:szCs w:val="28"/>
          <w:highlight w:val="none"/>
          <w:u w:val="none"/>
          <w:lang w:val="en-US" w:eastAsia="zh-CN"/>
        </w:rPr>
      </w:pPr>
      <w:r>
        <w:rPr>
          <w:rFonts w:hint="eastAsia" w:ascii="宋体" w:hAnsi="宋体" w:eastAsia="宋体" w:cs="宋体"/>
          <w:b/>
          <w:bCs w:val="0"/>
          <w:i w:val="0"/>
          <w:iCs w:val="0"/>
          <w:sz w:val="28"/>
          <w:szCs w:val="28"/>
          <w:highlight w:val="none"/>
          <w:u w:val="none"/>
          <w:lang w:val="en-US" w:eastAsia="zh-CN"/>
        </w:rPr>
        <w:t>3.6</w:t>
      </w:r>
      <w:r>
        <w:rPr>
          <w:rFonts w:hint="eastAsia" w:ascii="宋体" w:hAnsi="宋体" w:eastAsia="宋体" w:cs="宋体"/>
          <w:color w:val="auto"/>
          <w:kern w:val="2"/>
          <w:sz w:val="28"/>
          <w:szCs w:val="28"/>
          <w:highlight w:val="none"/>
          <w:u w:val="none"/>
          <w:lang w:val="en-US" w:eastAsia="zh-CN" w:bidi="ar-SA"/>
        </w:rPr>
        <w:t>保安服务</w:t>
      </w:r>
    </w:p>
    <w:tbl>
      <w:tblPr>
        <w:tblStyle w:val="7"/>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71"/>
        <w:gridCol w:w="5786"/>
      </w:tblGrid>
      <w:tr w14:paraId="65390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noWrap w:val="0"/>
            <w:vAlign w:val="center"/>
          </w:tcPr>
          <w:p w14:paraId="2570C452">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67" w:type="dxa"/>
            <w:noWrap w:val="0"/>
            <w:vAlign w:val="center"/>
          </w:tcPr>
          <w:p w14:paraId="1F8D9E4A">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9886" w:type="dxa"/>
            <w:noWrap w:val="0"/>
            <w:vAlign w:val="center"/>
          </w:tcPr>
          <w:p w14:paraId="6A667A80">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73C17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0A50C5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3367" w:type="dxa"/>
            <w:vMerge w:val="restart"/>
            <w:noWrap w:val="0"/>
            <w:vAlign w:val="center"/>
          </w:tcPr>
          <w:p w14:paraId="33180C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基本要求</w:t>
            </w:r>
          </w:p>
        </w:tc>
        <w:tc>
          <w:tcPr>
            <w:tcW w:w="9886" w:type="dxa"/>
            <w:noWrap w:val="0"/>
            <w:vAlign w:val="center"/>
          </w:tcPr>
          <w:p w14:paraId="0EAEB5B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（1）建立保安服务相关制度，并按照执行。</w:t>
            </w:r>
          </w:p>
        </w:tc>
      </w:tr>
      <w:tr w14:paraId="08A7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11731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20F36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9A419F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（2）对巡查、值守及异常情况等做好相关记录，填写规范，保存完好。</w:t>
            </w:r>
          </w:p>
        </w:tc>
      </w:tr>
      <w:tr w14:paraId="4192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229B32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204D87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770BC3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（3）配备保安服务必要的器材。</w:t>
            </w:r>
          </w:p>
        </w:tc>
      </w:tr>
      <w:tr w14:paraId="0FF2C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7C3784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p>
        </w:tc>
        <w:tc>
          <w:tcPr>
            <w:tcW w:w="3367" w:type="dxa"/>
            <w:vMerge w:val="restart"/>
            <w:noWrap w:val="0"/>
            <w:vAlign w:val="center"/>
          </w:tcPr>
          <w:p w14:paraId="77221F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出入管理</w:t>
            </w:r>
          </w:p>
        </w:tc>
        <w:tc>
          <w:tcPr>
            <w:tcW w:w="9886" w:type="dxa"/>
            <w:noWrap w:val="0"/>
            <w:vAlign w:val="center"/>
          </w:tcPr>
          <w:p w14:paraId="5993F02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（1）办公楼（区）主出入口应当实行 24小时值班制。</w:t>
            </w:r>
          </w:p>
        </w:tc>
      </w:tr>
      <w:tr w14:paraId="75F63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0B79A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67ACC6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2AA81F7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（2）设置门岗。</w:t>
            </w:r>
          </w:p>
        </w:tc>
      </w:tr>
      <w:tr w14:paraId="1667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2CDAF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7C1356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4DAB399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（3）在出入口对外来人员及其携带大件物品、外来车辆进行询问和记录，并与相关部门取得联系，同意后方可进入。</w:t>
            </w:r>
          </w:p>
        </w:tc>
      </w:tr>
      <w:tr w14:paraId="098B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05576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DC2DB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89CF2E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（4）大件物品搬出有相关部门开具的证明和清单，经核实后放行。</w:t>
            </w:r>
          </w:p>
        </w:tc>
      </w:tr>
      <w:tr w14:paraId="0D9BF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255" w:type="dxa"/>
            <w:vMerge w:val="continue"/>
            <w:noWrap w:val="0"/>
            <w:vAlign w:val="center"/>
          </w:tcPr>
          <w:p w14:paraId="6ADC47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6C67A9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20016F3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（5）排查可疑人员，对于不出示证件、不按规定登记、不听劝阻而强行闯入者，及时劝离，必要时通知公安机关进行处理。</w:t>
            </w:r>
          </w:p>
        </w:tc>
      </w:tr>
      <w:tr w14:paraId="3E191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AD9D5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31E8E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F7C700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（6）配合相关部门积极疏导上访人员，有效疏导如出入口人群集聚、车辆拥堵、货物堵塞道路等情况。</w:t>
            </w:r>
          </w:p>
        </w:tc>
      </w:tr>
      <w:tr w14:paraId="37EB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A431E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7DCC5A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1B19113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根据物业服务合同约定，对物品进出实行安检、登记、电话确认等分类管理措施。大件物品进出会同接收单位收件人审检，严防违禁品（包括毒品、军火弹药、管制刀具、易燃易爆品等）、限带品（包括动物、任何未经授权的专业摄影设备、无人机等）进入。</w:t>
            </w:r>
          </w:p>
        </w:tc>
      </w:tr>
      <w:tr w14:paraId="7428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13D72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200C043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2030FA5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（8）提供现场接待服务。</w:t>
            </w:r>
          </w:p>
          <w:p w14:paraId="370D252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val="en-US" w:eastAsia="zh-CN"/>
              </w:rPr>
              <w:t>①</w:t>
            </w:r>
            <w:r>
              <w:rPr>
                <w:rFonts w:hint="eastAsia" w:ascii="宋体" w:hAnsi="宋体" w:eastAsia="宋体" w:cs="宋体"/>
                <w:color w:val="auto"/>
                <w:sz w:val="28"/>
                <w:szCs w:val="28"/>
                <w:highlight w:val="none"/>
                <w:u w:val="none"/>
                <w:lang w:eastAsia="zh-CN"/>
              </w:rPr>
              <w:t>做好来访人员、车辆进出证件登记，及时通报。</w:t>
            </w:r>
          </w:p>
          <w:p w14:paraId="4B30DA2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val="en-US" w:eastAsia="zh-CN"/>
              </w:rPr>
              <w:t>②</w:t>
            </w:r>
            <w:r>
              <w:rPr>
                <w:rFonts w:hint="eastAsia" w:ascii="宋体" w:hAnsi="宋体" w:eastAsia="宋体" w:cs="宋体"/>
                <w:color w:val="auto"/>
                <w:sz w:val="28"/>
                <w:szCs w:val="28"/>
                <w:highlight w:val="none"/>
                <w:u w:val="none"/>
                <w:lang w:eastAsia="zh-CN"/>
              </w:rPr>
              <w:t>严禁无关人员、可疑人员和危险物品进入办公楼（区）内。</w:t>
            </w:r>
          </w:p>
          <w:p w14:paraId="747A8EB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③物品摆放整齐有序、分类放置。</w:t>
            </w:r>
          </w:p>
          <w:p w14:paraId="727D058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④现场办理等待时间不超过5分钟，等待较长时间应</w:t>
            </w:r>
            <w:r>
              <w:rPr>
                <w:rFonts w:hint="eastAsia" w:ascii="宋体" w:hAnsi="宋体" w:eastAsia="宋体" w:cs="宋体"/>
                <w:color w:val="auto"/>
                <w:sz w:val="28"/>
                <w:szCs w:val="28"/>
                <w:highlight w:val="none"/>
                <w:u w:val="none"/>
                <w:lang w:eastAsia="zh-CN"/>
              </w:rPr>
              <w:t>当</w:t>
            </w:r>
            <w:r>
              <w:rPr>
                <w:rFonts w:hint="eastAsia" w:ascii="宋体" w:hAnsi="宋体" w:eastAsia="宋体" w:cs="宋体"/>
                <w:color w:val="auto"/>
                <w:sz w:val="28"/>
                <w:szCs w:val="28"/>
                <w:highlight w:val="none"/>
                <w:u w:val="none"/>
              </w:rPr>
              <w:t>及时沟通。</w:t>
            </w:r>
          </w:p>
          <w:p w14:paraId="30FCEA6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⑤对来访人员咨询、建议、求助等事项，及时处理或答复，处理和答复率100%。</w:t>
            </w:r>
          </w:p>
          <w:p w14:paraId="122E25D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⑥接待服务工作时间应</w:t>
            </w:r>
            <w:r>
              <w:rPr>
                <w:rFonts w:hint="eastAsia" w:ascii="宋体" w:hAnsi="宋体" w:eastAsia="宋体" w:cs="宋体"/>
                <w:color w:val="auto"/>
                <w:sz w:val="28"/>
                <w:szCs w:val="28"/>
                <w:highlight w:val="none"/>
                <w:u w:val="none"/>
                <w:lang w:eastAsia="zh-CN"/>
              </w:rPr>
              <w:t>当</w:t>
            </w:r>
            <w:r>
              <w:rPr>
                <w:rFonts w:hint="eastAsia" w:ascii="宋体" w:hAnsi="宋体" w:eastAsia="宋体" w:cs="宋体"/>
                <w:color w:val="auto"/>
                <w:sz w:val="28"/>
                <w:szCs w:val="28"/>
                <w:highlight w:val="none"/>
                <w:u w:val="none"/>
              </w:rPr>
              <w:t>覆盖采购人工作时间（上班时间为</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8:00</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18：00</w:t>
            </w:r>
            <w:r>
              <w:rPr>
                <w:rFonts w:hint="eastAsia" w:ascii="宋体" w:hAnsi="宋体" w:eastAsia="宋体" w:cs="宋体"/>
                <w:color w:val="auto"/>
                <w:sz w:val="28"/>
                <w:szCs w:val="28"/>
                <w:highlight w:val="none"/>
                <w:u w:val="none"/>
              </w:rPr>
              <w:t>）。</w:t>
            </w:r>
          </w:p>
          <w:p w14:paraId="4298A25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⑦与被访人进行核实确认；告知被访人的办公室门牌号；告知访客注意事项（</w:t>
            </w:r>
            <w:r>
              <w:rPr>
                <w:rFonts w:hint="eastAsia" w:ascii="宋体" w:hAnsi="宋体" w:eastAsia="宋体" w:cs="宋体"/>
                <w:color w:val="auto"/>
                <w:sz w:val="28"/>
                <w:szCs w:val="28"/>
                <w:highlight w:val="none"/>
                <w:u w:val="none"/>
                <w:lang w:val="en-US" w:eastAsia="zh-CN"/>
              </w:rPr>
              <w:t>根据实际需要</w:t>
            </w:r>
            <w:r>
              <w:rPr>
                <w:rFonts w:hint="eastAsia" w:ascii="宋体" w:hAnsi="宋体" w:eastAsia="宋体" w:cs="宋体"/>
                <w:color w:val="auto"/>
                <w:sz w:val="28"/>
                <w:szCs w:val="28"/>
                <w:highlight w:val="none"/>
                <w:u w:val="none"/>
              </w:rPr>
              <w:t>填写</w:t>
            </w:r>
            <w:r>
              <w:rPr>
                <w:rFonts w:hint="eastAsia" w:ascii="宋体" w:hAnsi="宋体" w:eastAsia="宋体" w:cs="宋体"/>
                <w:color w:val="auto"/>
                <w:sz w:val="28"/>
                <w:szCs w:val="28"/>
                <w:highlight w:val="none"/>
                <w:u w:val="none"/>
                <w:lang w:val="en-US" w:eastAsia="zh-CN"/>
              </w:rPr>
              <w:t>注意事项</w:t>
            </w:r>
            <w:r>
              <w:rPr>
                <w:rFonts w:hint="eastAsia" w:ascii="宋体" w:hAnsi="宋体" w:eastAsia="宋体" w:cs="宋体"/>
                <w:color w:val="auto"/>
                <w:sz w:val="28"/>
                <w:szCs w:val="28"/>
                <w:highlight w:val="none"/>
                <w:u w:val="none"/>
              </w:rPr>
              <w:t>）。</w:t>
            </w:r>
          </w:p>
        </w:tc>
      </w:tr>
      <w:tr w14:paraId="34AD6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5A67E4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p>
        </w:tc>
        <w:tc>
          <w:tcPr>
            <w:tcW w:w="3367" w:type="dxa"/>
            <w:vMerge w:val="restart"/>
            <w:noWrap w:val="0"/>
            <w:vAlign w:val="center"/>
          </w:tcPr>
          <w:p w14:paraId="209483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值班</w:t>
            </w:r>
            <w:r>
              <w:rPr>
                <w:rFonts w:hint="eastAsia" w:ascii="宋体" w:hAnsi="宋体" w:eastAsia="宋体" w:cs="宋体"/>
                <w:sz w:val="28"/>
                <w:szCs w:val="28"/>
                <w:highlight w:val="none"/>
              </w:rPr>
              <w:t>巡查</w:t>
            </w:r>
          </w:p>
        </w:tc>
        <w:tc>
          <w:tcPr>
            <w:tcW w:w="9886" w:type="dxa"/>
            <w:noWrap w:val="0"/>
            <w:vAlign w:val="center"/>
          </w:tcPr>
          <w:p w14:paraId="57A3647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（1）建立24小时值班巡查制度。</w:t>
            </w:r>
          </w:p>
        </w:tc>
      </w:tr>
      <w:tr w14:paraId="1BC51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2A656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16076F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886" w:type="dxa"/>
            <w:noWrap w:val="0"/>
            <w:vAlign w:val="center"/>
          </w:tcPr>
          <w:p w14:paraId="1D414A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（2）制定巡查路线，按照指定时间和路线执行，加强重点区域、重点部位及装修区域的巡查。</w:t>
            </w:r>
          </w:p>
        </w:tc>
      </w:tr>
      <w:tr w14:paraId="26D9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A6BC1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45AFE5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val="en-US" w:eastAsia="zh-CN"/>
              </w:rPr>
            </w:pPr>
          </w:p>
        </w:tc>
        <w:tc>
          <w:tcPr>
            <w:tcW w:w="9886" w:type="dxa"/>
            <w:noWrap w:val="0"/>
            <w:vAlign w:val="center"/>
          </w:tcPr>
          <w:p w14:paraId="3F6E8DB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（3）巡查期间保持通信设施设备畅通，遇到异常情况立即上报并在现场采取相应措施。</w:t>
            </w:r>
          </w:p>
        </w:tc>
      </w:tr>
      <w:tr w14:paraId="4219C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E0E0F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0D8D9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174ADFF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（4）收到监控室指令后，巡查人员及时到达指定地点并迅速采取相应措施。</w:t>
            </w:r>
          </w:p>
        </w:tc>
      </w:tr>
      <w:tr w14:paraId="3C8A3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104D87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p>
        </w:tc>
        <w:tc>
          <w:tcPr>
            <w:tcW w:w="3367" w:type="dxa"/>
            <w:vMerge w:val="restart"/>
            <w:noWrap w:val="0"/>
            <w:vAlign w:val="center"/>
          </w:tcPr>
          <w:p w14:paraId="0D1F7E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监控</w:t>
            </w:r>
            <w:r>
              <w:rPr>
                <w:rFonts w:hint="eastAsia" w:ascii="宋体" w:hAnsi="宋体" w:eastAsia="宋体" w:cs="宋体"/>
                <w:sz w:val="28"/>
                <w:szCs w:val="28"/>
                <w:highlight w:val="none"/>
                <w:lang w:val="en-US" w:eastAsia="zh-CN"/>
              </w:rPr>
              <w:t>值守</w:t>
            </w:r>
          </w:p>
        </w:tc>
        <w:tc>
          <w:tcPr>
            <w:tcW w:w="9886" w:type="dxa"/>
            <w:noWrap w:val="0"/>
            <w:vAlign w:val="center"/>
          </w:tcPr>
          <w:p w14:paraId="5BE9ACE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（1）监控室环境符合系统设备运行要求，定期进行检查和检测，确保系统功能正常。</w:t>
            </w:r>
          </w:p>
        </w:tc>
      </w:tr>
      <w:tr w14:paraId="4083D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2D269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268194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6876E5A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（2）监控设备24小时正常运行，监控室实行专人24小时值班制度。</w:t>
            </w:r>
          </w:p>
        </w:tc>
      </w:tr>
      <w:tr w14:paraId="06D13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48F64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4D1D7C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422F4A2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（3）监控记录画面清晰，视频监控无死角、无盲区。</w:t>
            </w:r>
          </w:p>
        </w:tc>
      </w:tr>
      <w:tr w14:paraId="6DCDB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DB927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54B554D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25078AF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（4）值班期间遵守操作规程和保密制度，做好监控记录的保存工作。</w:t>
            </w:r>
          </w:p>
        </w:tc>
      </w:tr>
      <w:tr w14:paraId="06F9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62E45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418B98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1EDDB5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（5）监控记录保持完整，保存时间不应少于90天。</w:t>
            </w:r>
          </w:p>
        </w:tc>
      </w:tr>
      <w:tr w14:paraId="7D305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255" w:type="dxa"/>
            <w:vMerge w:val="continue"/>
            <w:noWrap w:val="0"/>
            <w:vAlign w:val="center"/>
          </w:tcPr>
          <w:p w14:paraId="6F2B022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100DDA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376D080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（6）无关人员进入监控室或查阅监控记录，经授权人批准并做好相关记录。</w:t>
            </w:r>
          </w:p>
        </w:tc>
      </w:tr>
      <w:tr w14:paraId="6EBB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9022C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BB67B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1208A09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（7）监控室收到火情等报警信号、其他异常情况信号后，及时报警并安排其他安保人员前往现场进行处理。</w:t>
            </w:r>
          </w:p>
        </w:tc>
      </w:tr>
      <w:tr w14:paraId="0932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32873C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3367" w:type="dxa"/>
            <w:vMerge w:val="restart"/>
            <w:noWrap w:val="0"/>
            <w:vAlign w:val="center"/>
          </w:tcPr>
          <w:p w14:paraId="73A461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车辆停放</w:t>
            </w:r>
          </w:p>
        </w:tc>
        <w:tc>
          <w:tcPr>
            <w:tcW w:w="9886" w:type="dxa"/>
            <w:noWrap w:val="0"/>
            <w:vAlign w:val="center"/>
          </w:tcPr>
          <w:p w14:paraId="6116B8C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（1）车辆行驶路线设置合理、规范，导向标志完整、清晰。</w:t>
            </w:r>
          </w:p>
        </w:tc>
      </w:tr>
      <w:tr w14:paraId="0D263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2F1D3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3618E0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48B961E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（2）合理规划车辆停放区域，张贴车辆引导标识，对车辆及停放区域实行规范管理。</w:t>
            </w:r>
          </w:p>
        </w:tc>
      </w:tr>
      <w:tr w14:paraId="0264D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6DBA0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61BA48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CD7B46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（3）严禁在办公楼的公用走道、楼梯间、安全出口处等公共区域停放车辆或充电。</w:t>
            </w:r>
          </w:p>
        </w:tc>
      </w:tr>
      <w:tr w14:paraId="7BF62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4E234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206EFB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6C46FCD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（4）非机动车定点有序停放。</w:t>
            </w:r>
          </w:p>
        </w:tc>
      </w:tr>
      <w:tr w14:paraId="44098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00DF1E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37C3A6B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3CF844A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（5）发现车辆异常情况及时通知车主，并做好登记；发生交通事故、自然灾害等意外事故时及时赶赴现场疏导和协助处理，响应时间不超过3分钟。</w:t>
            </w:r>
          </w:p>
        </w:tc>
      </w:tr>
      <w:tr w14:paraId="219B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0AF8F1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w:t>
            </w:r>
          </w:p>
        </w:tc>
        <w:tc>
          <w:tcPr>
            <w:tcW w:w="3367" w:type="dxa"/>
            <w:vMerge w:val="restart"/>
            <w:noWrap w:val="0"/>
            <w:vAlign w:val="center"/>
          </w:tcPr>
          <w:p w14:paraId="5DBF8B2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消防安全管理</w:t>
            </w:r>
          </w:p>
        </w:tc>
        <w:tc>
          <w:tcPr>
            <w:tcW w:w="9886" w:type="dxa"/>
            <w:noWrap w:val="0"/>
            <w:vAlign w:val="center"/>
          </w:tcPr>
          <w:p w14:paraId="7634498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（1）建立消防安全责任制，确定各级消防安全责任人及其职责。</w:t>
            </w:r>
          </w:p>
        </w:tc>
      </w:tr>
      <w:tr w14:paraId="757B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BAF1A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3461CC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6A773B5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（2）消防控制室实行24小时值班制度，每班不少于2人。</w:t>
            </w:r>
          </w:p>
        </w:tc>
      </w:tr>
      <w:tr w14:paraId="0327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BB265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5A4211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6B0270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（3）消火栓、应急照明、应急物资、消防及人员逃生通道、消防车通道可随时正常使用。</w:t>
            </w:r>
          </w:p>
        </w:tc>
      </w:tr>
      <w:tr w14:paraId="7747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F5B6F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01AEB3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553C529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（4）易燃易爆品设专区专人管理，做好相关记录。</w:t>
            </w:r>
          </w:p>
        </w:tc>
      </w:tr>
      <w:tr w14:paraId="06B3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F4976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496776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41BCAEA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（5）定期组织消防安全宣传，每半年至少开展1次消防演练。</w:t>
            </w:r>
          </w:p>
        </w:tc>
      </w:tr>
      <w:tr w14:paraId="5C416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35CA80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p>
        </w:tc>
        <w:tc>
          <w:tcPr>
            <w:tcW w:w="3367" w:type="dxa"/>
            <w:vMerge w:val="restart"/>
            <w:noWrap w:val="0"/>
            <w:vAlign w:val="center"/>
          </w:tcPr>
          <w:p w14:paraId="79A57E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突发事件处理</w:t>
            </w:r>
          </w:p>
        </w:tc>
        <w:tc>
          <w:tcPr>
            <w:tcW w:w="9886" w:type="dxa"/>
            <w:noWrap w:val="0"/>
            <w:vAlign w:val="center"/>
          </w:tcPr>
          <w:p w14:paraId="0B2CB94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（1）制定突发事件安全责任书，明确突发事件责任人及应承担的安全责任。</w:t>
            </w:r>
          </w:p>
        </w:tc>
      </w:tr>
      <w:tr w14:paraId="7789D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BF3D5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3899A5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34290C8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（2）建立应急突发事件处置队伍，明确各自的职责。</w:t>
            </w:r>
          </w:p>
        </w:tc>
      </w:tr>
      <w:tr w14:paraId="1C11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FF4D1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123EFB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187C86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（3）识别、分析各种潜在风险，针对不同风险类型制定相应解决方案，并配备应急物资。</w:t>
            </w:r>
          </w:p>
        </w:tc>
      </w:tr>
      <w:tr w14:paraId="4050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A5FDA1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384988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3BA99F5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（4）每半年至少开展1次突发事件应急演练，并有相应记录。</w:t>
            </w:r>
          </w:p>
        </w:tc>
      </w:tr>
      <w:tr w14:paraId="32B7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B9B72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100069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0A704B8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（5）发生意外事件时，及时采取应急措施，维护办公区域物业服务正常进行，保护人身财产安全。</w:t>
            </w:r>
          </w:p>
        </w:tc>
      </w:tr>
      <w:tr w14:paraId="5284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874C54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105DE6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1CA7174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（6）办公区域物业服务应急预案终止实施后，积极采取措施，在尽可能短的时间内，消除事故带来的不良影响，妥善安置和慰问受害及受影响的人员和部门。</w:t>
            </w:r>
          </w:p>
        </w:tc>
      </w:tr>
      <w:tr w14:paraId="4385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0AD98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4F122E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7F6F8DC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（7）事故处理后，及时形成事故应急总结报告，完善应急救援工作方案。</w:t>
            </w:r>
          </w:p>
        </w:tc>
      </w:tr>
      <w:tr w14:paraId="235F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67ECD8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p>
        </w:tc>
        <w:tc>
          <w:tcPr>
            <w:tcW w:w="3367" w:type="dxa"/>
            <w:vMerge w:val="restart"/>
            <w:noWrap w:val="0"/>
            <w:vAlign w:val="center"/>
          </w:tcPr>
          <w:p w14:paraId="22ADA2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大型活动秩序</w:t>
            </w:r>
          </w:p>
        </w:tc>
        <w:tc>
          <w:tcPr>
            <w:tcW w:w="9886" w:type="dxa"/>
            <w:noWrap w:val="0"/>
            <w:vAlign w:val="center"/>
          </w:tcPr>
          <w:p w14:paraId="2A463DF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（1）制定相应的活动秩序维护方案，合理安排人员，并对场所的安全隐患进行排查。</w:t>
            </w:r>
          </w:p>
        </w:tc>
      </w:tr>
      <w:tr w14:paraId="38B2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E6E6F3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5E12FB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337FF74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（2）应当保障通道、出入口、停车场等区域畅通。</w:t>
            </w:r>
          </w:p>
        </w:tc>
      </w:tr>
      <w:tr w14:paraId="5356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7325D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8"/>
                <w:szCs w:val="28"/>
                <w:highlight w:val="none"/>
                <w:lang w:val="en-US" w:eastAsia="zh-CN"/>
              </w:rPr>
            </w:pPr>
          </w:p>
        </w:tc>
        <w:tc>
          <w:tcPr>
            <w:tcW w:w="3367" w:type="dxa"/>
            <w:vMerge w:val="continue"/>
            <w:noWrap w:val="0"/>
            <w:vAlign w:val="center"/>
          </w:tcPr>
          <w:p w14:paraId="616A33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8"/>
                <w:szCs w:val="28"/>
                <w:highlight w:val="none"/>
              </w:rPr>
            </w:pPr>
          </w:p>
        </w:tc>
        <w:tc>
          <w:tcPr>
            <w:tcW w:w="9886" w:type="dxa"/>
            <w:noWrap w:val="0"/>
            <w:vAlign w:val="center"/>
          </w:tcPr>
          <w:p w14:paraId="295C1C5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b w:val="0"/>
                <w:bCs w:val="0"/>
                <w:color w:val="auto"/>
                <w:kern w:val="0"/>
                <w:sz w:val="28"/>
                <w:szCs w:val="28"/>
                <w:highlight w:val="none"/>
                <w:lang w:val="en-US" w:eastAsia="zh-CN"/>
              </w:rPr>
              <w:t xml:space="preserve"> （3）活动举办过程中，做好现场秩序的维护和突发事故的处置工作，确保活动正常进行。</w:t>
            </w:r>
          </w:p>
        </w:tc>
      </w:tr>
    </w:tbl>
    <w:p w14:paraId="38A39FCF">
      <w:pPr>
        <w:pStyle w:val="4"/>
        <w:bidi w:val="0"/>
        <w:rPr>
          <w:rFonts w:hint="eastAsia" w:ascii="宋体" w:hAnsi="宋体" w:eastAsia="宋体" w:cs="宋体"/>
          <w:sz w:val="28"/>
          <w:szCs w:val="28"/>
          <w:highlight w:val="none"/>
          <w:lang w:val="en-US" w:eastAsia="zh-CN"/>
        </w:rPr>
      </w:pPr>
    </w:p>
    <w:p w14:paraId="48EC8503">
      <w:pPr>
        <w:pStyle w:val="4"/>
        <w:bidi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3.7会议服务</w:t>
      </w:r>
    </w:p>
    <w:tbl>
      <w:tblPr>
        <w:tblStyle w:val="7"/>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959"/>
        <w:gridCol w:w="5777"/>
      </w:tblGrid>
      <w:tr w14:paraId="270D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0F07734">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序号</w:t>
            </w:r>
          </w:p>
        </w:tc>
        <w:tc>
          <w:tcPr>
            <w:tcW w:w="3348" w:type="dxa"/>
            <w:noWrap w:val="0"/>
            <w:vAlign w:val="center"/>
          </w:tcPr>
          <w:p w14:paraId="57522B77">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服务内容</w:t>
            </w:r>
          </w:p>
        </w:tc>
        <w:tc>
          <w:tcPr>
            <w:tcW w:w="9867" w:type="dxa"/>
            <w:noWrap w:val="0"/>
            <w:vAlign w:val="center"/>
          </w:tcPr>
          <w:p w14:paraId="659FA310">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服务标准</w:t>
            </w:r>
          </w:p>
        </w:tc>
      </w:tr>
      <w:tr w14:paraId="6EF8E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78EB3E3B">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1</w:t>
            </w:r>
          </w:p>
        </w:tc>
        <w:tc>
          <w:tcPr>
            <w:tcW w:w="3348" w:type="dxa"/>
            <w:noWrap w:val="0"/>
            <w:vAlign w:val="center"/>
          </w:tcPr>
          <w:p w14:paraId="65F8AADB">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会议受理</w:t>
            </w:r>
          </w:p>
        </w:tc>
        <w:tc>
          <w:tcPr>
            <w:tcW w:w="9867" w:type="dxa"/>
            <w:noWrap w:val="0"/>
            <w:vAlign w:val="center"/>
          </w:tcPr>
          <w:p w14:paraId="40E89E60">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接受会议预订，记录会议需求。</w:t>
            </w:r>
          </w:p>
        </w:tc>
      </w:tr>
      <w:tr w14:paraId="218C1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118597CA">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2</w:t>
            </w:r>
          </w:p>
        </w:tc>
        <w:tc>
          <w:tcPr>
            <w:tcW w:w="3348" w:type="dxa"/>
            <w:noWrap w:val="0"/>
            <w:vAlign w:val="center"/>
          </w:tcPr>
          <w:p w14:paraId="64E99ED3">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会前准备</w:t>
            </w:r>
          </w:p>
        </w:tc>
        <w:tc>
          <w:tcPr>
            <w:tcW w:w="9867" w:type="dxa"/>
            <w:noWrap w:val="0"/>
            <w:vAlign w:val="center"/>
          </w:tcPr>
          <w:p w14:paraId="483348E9">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根据会议需求、场地大小、用途，明确会议桌椅、物品、设备、文具等摆放规定，音、视频设施保障措施。</w:t>
            </w:r>
          </w:p>
        </w:tc>
      </w:tr>
      <w:tr w14:paraId="60D76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B619BB3">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3</w:t>
            </w:r>
          </w:p>
        </w:tc>
        <w:tc>
          <w:tcPr>
            <w:tcW w:w="3348" w:type="dxa"/>
            <w:noWrap w:val="0"/>
            <w:vAlign w:val="center"/>
          </w:tcPr>
          <w:p w14:paraId="277277B8">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引导服务</w:t>
            </w:r>
          </w:p>
        </w:tc>
        <w:tc>
          <w:tcPr>
            <w:tcW w:w="9867" w:type="dxa"/>
            <w:noWrap w:val="0"/>
            <w:vAlign w:val="center"/>
          </w:tcPr>
          <w:p w14:paraId="2C83D2C6">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做好引导牌并放置在指定位置，引导人员引导手势规范，语言标准。</w:t>
            </w:r>
          </w:p>
        </w:tc>
      </w:tr>
      <w:tr w14:paraId="2210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4B8E00F0">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w:t>
            </w:r>
          </w:p>
        </w:tc>
        <w:tc>
          <w:tcPr>
            <w:tcW w:w="3348" w:type="dxa"/>
            <w:noWrap w:val="0"/>
            <w:vAlign w:val="center"/>
          </w:tcPr>
          <w:p w14:paraId="1AEFC8E2">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会中服务</w:t>
            </w:r>
          </w:p>
        </w:tc>
        <w:tc>
          <w:tcPr>
            <w:tcW w:w="9867" w:type="dxa"/>
            <w:noWrap w:val="0"/>
            <w:vAlign w:val="center"/>
          </w:tcPr>
          <w:p w14:paraId="4A5B32C4">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会议期间按要求加水。</w:t>
            </w:r>
          </w:p>
        </w:tc>
      </w:tr>
      <w:tr w14:paraId="6DFFB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30E28A2A">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w:t>
            </w:r>
          </w:p>
        </w:tc>
        <w:tc>
          <w:tcPr>
            <w:tcW w:w="3348" w:type="dxa"/>
            <w:noWrap w:val="0"/>
            <w:vAlign w:val="center"/>
          </w:tcPr>
          <w:p w14:paraId="79484CE6">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rPr>
              <w:t>会后整理</w:t>
            </w:r>
          </w:p>
        </w:tc>
        <w:tc>
          <w:tcPr>
            <w:tcW w:w="9867" w:type="dxa"/>
            <w:noWrap w:val="0"/>
            <w:vAlign w:val="center"/>
          </w:tcPr>
          <w:p w14:paraId="33907910">
            <w:pPr>
              <w:pageBreakBefore w:val="0"/>
              <w:widowControl/>
              <w:numPr>
                <w:ilvl w:val="0"/>
                <w:numId w:val="0"/>
              </w:numPr>
              <w:kinsoku/>
              <w:wordWrap/>
              <w:overflowPunct/>
              <w:topLinePunct w:val="0"/>
              <w:bidi w:val="0"/>
              <w:snapToGrid w:val="0"/>
              <w:spacing w:line="300" w:lineRule="auto"/>
              <w:ind w:leftChars="0"/>
              <w:rPr>
                <w:rFonts w:hint="eastAsia" w:ascii="宋体" w:hAnsi="宋体" w:eastAsia="宋体" w:cs="宋体"/>
                <w:color w:val="auto"/>
                <w:kern w:val="2"/>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lang w:val="en-US" w:eastAsia="zh-CN"/>
              </w:rPr>
              <w:sym w:font="Wingdings 2" w:char="0052"/>
            </w:r>
            <w:r>
              <w:rPr>
                <w:rFonts w:hint="eastAsia" w:ascii="宋体" w:hAnsi="宋体" w:eastAsia="宋体" w:cs="宋体"/>
                <w:color w:val="auto"/>
                <w:sz w:val="28"/>
                <w:szCs w:val="28"/>
                <w:highlight w:val="none"/>
                <w:u w:val="none"/>
                <w:lang w:val="en-US" w:eastAsia="zh-CN"/>
              </w:rPr>
              <w:t>对会议现场进行检查，做好会场清扫工作。</w:t>
            </w:r>
          </w:p>
        </w:tc>
      </w:tr>
    </w:tbl>
    <w:p w14:paraId="73A16244">
      <w:pPr>
        <w:pStyle w:val="3"/>
        <w:rPr>
          <w:rFonts w:hint="eastAsia" w:ascii="宋体" w:hAnsi="宋体" w:eastAsia="宋体" w:cs="宋体"/>
          <w:color w:val="auto"/>
          <w:sz w:val="28"/>
          <w:szCs w:val="28"/>
          <w:highlight w:val="none"/>
          <w:u w:val="none"/>
          <w:lang w:val="en-US" w:eastAsia="zh-CN"/>
        </w:rPr>
      </w:pPr>
      <w:bookmarkStart w:id="7" w:name="_Toc12052"/>
      <w:bookmarkStart w:id="8" w:name="_Toc27983"/>
      <w:bookmarkStart w:id="9" w:name="_Toc26417"/>
    </w:p>
    <w:p w14:paraId="06496749">
      <w:pPr>
        <w:pStyle w:val="3"/>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4.供应商履行合同所需的设备</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721"/>
        <w:gridCol w:w="3412"/>
        <w:gridCol w:w="875"/>
        <w:gridCol w:w="851"/>
      </w:tblGrid>
      <w:tr w14:paraId="722C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51DA0B19">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序号</w:t>
            </w:r>
          </w:p>
        </w:tc>
        <w:tc>
          <w:tcPr>
            <w:tcW w:w="4650" w:type="dxa"/>
            <w:noWrap w:val="0"/>
            <w:vAlign w:val="center"/>
          </w:tcPr>
          <w:p w14:paraId="0AA94404">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lang w:val="en-US" w:eastAsia="zh-CN"/>
              </w:rPr>
              <w:t>用途</w:t>
            </w:r>
          </w:p>
        </w:tc>
        <w:tc>
          <w:tcPr>
            <w:tcW w:w="5829" w:type="dxa"/>
            <w:noWrap w:val="0"/>
            <w:vAlign w:val="center"/>
          </w:tcPr>
          <w:p w14:paraId="05ACBA54">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eastAsia="zh-CN"/>
              </w:rPr>
            </w:pPr>
            <w:r>
              <w:rPr>
                <w:rFonts w:hint="eastAsia" w:ascii="宋体" w:hAnsi="宋体" w:eastAsia="宋体" w:cs="宋体"/>
                <w:b/>
                <w:bCs/>
                <w:color w:val="auto"/>
                <w:kern w:val="0"/>
                <w:sz w:val="28"/>
                <w:szCs w:val="28"/>
                <w:highlight w:val="none"/>
                <w:lang w:val="en-US" w:eastAsia="zh-CN"/>
              </w:rPr>
              <w:t>作业设备</w:t>
            </w:r>
            <w:r>
              <w:rPr>
                <w:rFonts w:hint="eastAsia" w:ascii="宋体" w:hAnsi="宋体" w:eastAsia="宋体" w:cs="宋体"/>
                <w:b/>
                <w:bCs/>
                <w:color w:val="auto"/>
                <w:kern w:val="0"/>
                <w:sz w:val="28"/>
                <w:szCs w:val="28"/>
                <w:highlight w:val="none"/>
              </w:rPr>
              <w:t>名称</w:t>
            </w:r>
          </w:p>
        </w:tc>
        <w:tc>
          <w:tcPr>
            <w:tcW w:w="1494" w:type="dxa"/>
            <w:noWrap w:val="0"/>
            <w:vAlign w:val="center"/>
          </w:tcPr>
          <w:p w14:paraId="30D160E8">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数量</w:t>
            </w:r>
          </w:p>
        </w:tc>
        <w:tc>
          <w:tcPr>
            <w:tcW w:w="1453" w:type="dxa"/>
            <w:noWrap w:val="0"/>
            <w:vAlign w:val="center"/>
          </w:tcPr>
          <w:p w14:paraId="7049C7B1">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单位</w:t>
            </w:r>
          </w:p>
        </w:tc>
      </w:tr>
      <w:tr w14:paraId="69B63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433A9C96">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rPr>
            </w:pPr>
            <w:r>
              <w:rPr>
                <w:rFonts w:hint="eastAsia" w:ascii="宋体" w:hAnsi="宋体" w:eastAsia="宋体" w:cs="宋体"/>
                <w:b w:val="0"/>
                <w:bCs w:val="0"/>
                <w:color w:val="auto"/>
                <w:kern w:val="0"/>
                <w:sz w:val="28"/>
                <w:szCs w:val="28"/>
                <w:highlight w:val="none"/>
                <w:lang w:val="en-US" w:eastAsia="zh-CN"/>
              </w:rPr>
              <w:t>1</w:t>
            </w:r>
          </w:p>
        </w:tc>
        <w:tc>
          <w:tcPr>
            <w:tcW w:w="4650" w:type="dxa"/>
            <w:noWrap w:val="0"/>
            <w:vAlign w:val="center"/>
          </w:tcPr>
          <w:p w14:paraId="1A08219C">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基本服务</w:t>
            </w:r>
          </w:p>
        </w:tc>
        <w:tc>
          <w:tcPr>
            <w:tcW w:w="5829" w:type="dxa"/>
            <w:noWrap w:val="0"/>
            <w:vAlign w:val="center"/>
          </w:tcPr>
          <w:p w14:paraId="4B5095B6">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p>
        </w:tc>
        <w:tc>
          <w:tcPr>
            <w:tcW w:w="1494" w:type="dxa"/>
            <w:noWrap w:val="0"/>
            <w:vAlign w:val="center"/>
          </w:tcPr>
          <w:p w14:paraId="75754667">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rPr>
            </w:pPr>
          </w:p>
        </w:tc>
        <w:tc>
          <w:tcPr>
            <w:tcW w:w="1453" w:type="dxa"/>
            <w:noWrap w:val="0"/>
            <w:vAlign w:val="center"/>
          </w:tcPr>
          <w:p w14:paraId="1E96D375">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rPr>
            </w:pPr>
          </w:p>
        </w:tc>
      </w:tr>
      <w:tr w14:paraId="1C10F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094864E9">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2</w:t>
            </w:r>
          </w:p>
        </w:tc>
        <w:tc>
          <w:tcPr>
            <w:tcW w:w="4650" w:type="dxa"/>
            <w:noWrap w:val="0"/>
            <w:vAlign w:val="center"/>
          </w:tcPr>
          <w:p w14:paraId="0677E180">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sz w:val="28"/>
                <w:szCs w:val="28"/>
                <w:highlight w:val="none"/>
                <w:lang w:val="en-US" w:eastAsia="zh-CN"/>
              </w:rPr>
              <w:t>公用设施设备维护服务</w:t>
            </w:r>
          </w:p>
        </w:tc>
        <w:tc>
          <w:tcPr>
            <w:tcW w:w="5829" w:type="dxa"/>
            <w:noWrap w:val="0"/>
            <w:vAlign w:val="center"/>
          </w:tcPr>
          <w:p w14:paraId="3E270984">
            <w:pPr>
              <w:pageBreakBefore w:val="0"/>
              <w:widowControl/>
              <w:kinsoku/>
              <w:wordWrap/>
              <w:overflowPunct/>
              <w:topLinePunct w:val="0"/>
              <w:bidi w:val="0"/>
              <w:snapToGrid w:val="0"/>
              <w:spacing w:line="300" w:lineRule="auto"/>
              <w:ind w:left="0" w:leftChars="0"/>
              <w:jc w:val="left"/>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highlight w:val="none"/>
                <w:lang w:val="en-US" w:eastAsia="zh-CN"/>
              </w:rPr>
              <w:t>公用设施设备维护设备（</w:t>
            </w:r>
            <w:r>
              <w:rPr>
                <w:rFonts w:hint="eastAsia" w:ascii="宋体" w:hAnsi="宋体" w:eastAsia="宋体" w:cs="宋体"/>
                <w:b w:val="0"/>
                <w:bCs w:val="0"/>
                <w:color w:val="auto"/>
                <w:kern w:val="0"/>
                <w:sz w:val="28"/>
                <w:szCs w:val="28"/>
                <w:highlight w:val="none"/>
                <w:lang w:val="en-US" w:eastAsia="zh-CN" w:bidi="ar-SA"/>
              </w:rPr>
              <w:t>管道探测仪1台、多功能管道疏通器1台、应急水泵1台、高压水枪1台）</w:t>
            </w:r>
          </w:p>
        </w:tc>
        <w:tc>
          <w:tcPr>
            <w:tcW w:w="1494" w:type="dxa"/>
            <w:noWrap w:val="0"/>
            <w:vAlign w:val="center"/>
          </w:tcPr>
          <w:p w14:paraId="7867EC40">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w:t>
            </w:r>
          </w:p>
        </w:tc>
        <w:tc>
          <w:tcPr>
            <w:tcW w:w="1453" w:type="dxa"/>
            <w:noWrap w:val="0"/>
            <w:vAlign w:val="center"/>
          </w:tcPr>
          <w:p w14:paraId="5FC4A7CD">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批</w:t>
            </w:r>
          </w:p>
        </w:tc>
      </w:tr>
      <w:tr w14:paraId="48C6A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134" w:type="dxa"/>
            <w:noWrap w:val="0"/>
            <w:vAlign w:val="center"/>
          </w:tcPr>
          <w:p w14:paraId="68B1DCE3">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3</w:t>
            </w:r>
          </w:p>
        </w:tc>
        <w:tc>
          <w:tcPr>
            <w:tcW w:w="4650" w:type="dxa"/>
            <w:noWrap w:val="0"/>
            <w:vAlign w:val="center"/>
          </w:tcPr>
          <w:p w14:paraId="223DBE61">
            <w:pPr>
              <w:pageBreakBefore w:val="0"/>
              <w:widowControl/>
              <w:kinsoku/>
              <w:wordWrap/>
              <w:overflowPunct/>
              <w:topLinePunct w:val="0"/>
              <w:bidi w:val="0"/>
              <w:snapToGrid w:val="0"/>
              <w:spacing w:line="300" w:lineRule="auto"/>
              <w:ind w:left="0" w:leftChars="0"/>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保洁服务</w:t>
            </w:r>
          </w:p>
        </w:tc>
        <w:tc>
          <w:tcPr>
            <w:tcW w:w="5829" w:type="dxa"/>
            <w:noWrap w:val="0"/>
            <w:vAlign w:val="center"/>
          </w:tcPr>
          <w:p w14:paraId="0E162CBD">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保洁设备（清洗机1台、榨水车8辆）</w:t>
            </w:r>
          </w:p>
        </w:tc>
        <w:tc>
          <w:tcPr>
            <w:tcW w:w="1494" w:type="dxa"/>
            <w:noWrap w:val="0"/>
            <w:vAlign w:val="center"/>
          </w:tcPr>
          <w:p w14:paraId="389DD73E">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w:t>
            </w:r>
          </w:p>
        </w:tc>
        <w:tc>
          <w:tcPr>
            <w:tcW w:w="1453" w:type="dxa"/>
            <w:noWrap w:val="0"/>
            <w:vAlign w:val="center"/>
          </w:tcPr>
          <w:p w14:paraId="5CF7F79A">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批</w:t>
            </w:r>
          </w:p>
        </w:tc>
      </w:tr>
      <w:tr w14:paraId="1734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5DFF0BC1">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4</w:t>
            </w:r>
          </w:p>
        </w:tc>
        <w:tc>
          <w:tcPr>
            <w:tcW w:w="4650" w:type="dxa"/>
            <w:noWrap w:val="0"/>
            <w:vAlign w:val="center"/>
          </w:tcPr>
          <w:p w14:paraId="5B1977F4">
            <w:pPr>
              <w:pageBreakBefore w:val="0"/>
              <w:widowControl/>
              <w:kinsoku/>
              <w:wordWrap/>
              <w:overflowPunct/>
              <w:topLinePunct w:val="0"/>
              <w:bidi w:val="0"/>
              <w:snapToGrid w:val="0"/>
              <w:spacing w:line="300" w:lineRule="auto"/>
              <w:ind w:left="0" w:leftChars="0"/>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绿化服务</w:t>
            </w:r>
          </w:p>
        </w:tc>
        <w:tc>
          <w:tcPr>
            <w:tcW w:w="5829" w:type="dxa"/>
            <w:noWrap w:val="0"/>
            <w:vAlign w:val="center"/>
          </w:tcPr>
          <w:p w14:paraId="51BA51DF">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绿化设备（绿篱机1台、打草机1台、绿化长剪1把）</w:t>
            </w:r>
          </w:p>
        </w:tc>
        <w:tc>
          <w:tcPr>
            <w:tcW w:w="1494" w:type="dxa"/>
            <w:noWrap w:val="0"/>
            <w:vAlign w:val="center"/>
          </w:tcPr>
          <w:p w14:paraId="53BAB315">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w:t>
            </w:r>
          </w:p>
        </w:tc>
        <w:tc>
          <w:tcPr>
            <w:tcW w:w="1453" w:type="dxa"/>
            <w:noWrap w:val="0"/>
            <w:vAlign w:val="center"/>
          </w:tcPr>
          <w:p w14:paraId="50EA077E">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批</w:t>
            </w:r>
          </w:p>
        </w:tc>
      </w:tr>
      <w:tr w14:paraId="42A09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46EAFCC1">
            <w:pPr>
              <w:pageBreakBefore w:val="0"/>
              <w:widowControl/>
              <w:numPr>
                <w:ilvl w:val="0"/>
                <w:numId w:val="0"/>
              </w:numPr>
              <w:kinsoku/>
              <w:wordWrap/>
              <w:overflowPunct/>
              <w:topLinePunct w:val="0"/>
              <w:bidi w:val="0"/>
              <w:snapToGrid w:val="0"/>
              <w:spacing w:line="300" w:lineRule="auto"/>
              <w:ind w:left="0" w:firstLine="0"/>
              <w:jc w:val="center"/>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5</w:t>
            </w:r>
          </w:p>
        </w:tc>
        <w:tc>
          <w:tcPr>
            <w:tcW w:w="4650" w:type="dxa"/>
            <w:noWrap w:val="0"/>
            <w:vAlign w:val="center"/>
          </w:tcPr>
          <w:p w14:paraId="353D3E6C">
            <w:pPr>
              <w:pageBreakBefore w:val="0"/>
              <w:widowControl/>
              <w:kinsoku/>
              <w:wordWrap/>
              <w:overflowPunct/>
              <w:topLinePunct w:val="0"/>
              <w:bidi w:val="0"/>
              <w:snapToGrid w:val="0"/>
              <w:spacing w:line="300" w:lineRule="auto"/>
              <w:ind w:left="0" w:leftChars="0"/>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保安服务</w:t>
            </w:r>
          </w:p>
        </w:tc>
        <w:tc>
          <w:tcPr>
            <w:tcW w:w="5829" w:type="dxa"/>
            <w:noWrap w:val="0"/>
            <w:vAlign w:val="center"/>
          </w:tcPr>
          <w:p w14:paraId="21B27CAC">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spacing w:val="-2"/>
                <w:sz w:val="28"/>
                <w:szCs w:val="28"/>
                <w:highlight w:val="none"/>
                <w:lang w:val="en-US" w:eastAsia="zh-CN"/>
              </w:rPr>
              <w:t>安保设备（</w:t>
            </w:r>
            <w:r>
              <w:rPr>
                <w:rFonts w:hint="eastAsia" w:ascii="宋体" w:hAnsi="宋体" w:eastAsia="宋体" w:cs="宋体"/>
                <w:b w:val="0"/>
                <w:bCs w:val="0"/>
                <w:color w:val="auto"/>
                <w:spacing w:val="-2"/>
                <w:sz w:val="28"/>
                <w:szCs w:val="28"/>
                <w:highlight w:val="none"/>
              </w:rPr>
              <w:t>防暴头盔、执法记录仪、强光灯、雨具、大功率手电、巡逻手电、对讲机）</w:t>
            </w:r>
            <w:r>
              <w:rPr>
                <w:rFonts w:hint="eastAsia" w:ascii="宋体" w:hAnsi="宋体" w:eastAsia="宋体" w:cs="宋体"/>
                <w:b w:val="0"/>
                <w:bCs w:val="0"/>
                <w:color w:val="auto"/>
                <w:spacing w:val="-2"/>
                <w:sz w:val="28"/>
                <w:szCs w:val="28"/>
                <w:highlight w:val="none"/>
                <w:lang w:val="en-US" w:eastAsia="zh-CN"/>
              </w:rPr>
              <w:t>安保器械（</w:t>
            </w:r>
            <w:r>
              <w:rPr>
                <w:rFonts w:hint="eastAsia" w:ascii="宋体" w:hAnsi="宋体" w:eastAsia="宋体" w:cs="宋体"/>
                <w:b w:val="0"/>
                <w:bCs w:val="0"/>
                <w:color w:val="auto"/>
                <w:spacing w:val="-2"/>
                <w:sz w:val="28"/>
                <w:szCs w:val="28"/>
                <w:highlight w:val="none"/>
              </w:rPr>
              <w:t>橡胶棍棒、盾牌、防刺服、防刺手套</w:t>
            </w:r>
          </w:p>
        </w:tc>
        <w:tc>
          <w:tcPr>
            <w:tcW w:w="1494" w:type="dxa"/>
            <w:noWrap w:val="0"/>
            <w:vAlign w:val="center"/>
          </w:tcPr>
          <w:p w14:paraId="4AA0D915">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9</w:t>
            </w:r>
          </w:p>
        </w:tc>
        <w:tc>
          <w:tcPr>
            <w:tcW w:w="1453" w:type="dxa"/>
            <w:noWrap w:val="0"/>
            <w:vAlign w:val="center"/>
          </w:tcPr>
          <w:p w14:paraId="3702CE20">
            <w:pPr>
              <w:pageBreakBefore w:val="0"/>
              <w:widowControl/>
              <w:kinsoku/>
              <w:wordWrap/>
              <w:overflowPunct/>
              <w:topLinePunct w:val="0"/>
              <w:bidi w:val="0"/>
              <w:snapToGrid w:val="0"/>
              <w:spacing w:line="300" w:lineRule="auto"/>
              <w:ind w:left="0" w:leftChars="0"/>
              <w:jc w:val="center"/>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套</w:t>
            </w:r>
          </w:p>
        </w:tc>
      </w:tr>
    </w:tbl>
    <w:p w14:paraId="60AB9732">
      <w:pPr>
        <w:pStyle w:val="5"/>
        <w:rPr>
          <w:rFonts w:hint="eastAsia" w:ascii="宋体" w:hAnsi="宋体" w:eastAsia="宋体" w:cs="宋体"/>
          <w:b/>
          <w:bCs/>
          <w:color w:val="FF0000"/>
          <w:sz w:val="28"/>
          <w:szCs w:val="28"/>
          <w:lang w:val="en-US" w:eastAsia="zh-CN"/>
        </w:rPr>
      </w:pPr>
      <w:r>
        <w:rPr>
          <w:rFonts w:hint="eastAsia" w:ascii="宋体" w:hAnsi="宋体" w:eastAsia="宋体" w:cs="宋体"/>
          <w:b w:val="0"/>
          <w:bCs w:val="0"/>
          <w:sz w:val="28"/>
          <w:szCs w:val="28"/>
          <w:highlight w:val="none"/>
          <w:lang w:val="en-US" w:eastAsia="zh-CN"/>
        </w:rPr>
        <w:t>注：采购人已无偿提供的作业设备，不在此重复要求。</w:t>
      </w:r>
    </w:p>
    <w:p w14:paraId="3F6133E5">
      <w:pPr>
        <w:rPr>
          <w:rFonts w:hint="eastAsia" w:ascii="宋体" w:hAnsi="宋体" w:eastAsia="宋体" w:cs="宋体"/>
          <w:sz w:val="28"/>
          <w:szCs w:val="28"/>
          <w:lang w:val="en-US" w:eastAsia="zh-CN"/>
        </w:rPr>
      </w:pPr>
    </w:p>
    <w:p w14:paraId="524C3483">
      <w:pPr>
        <w:pStyle w:val="3"/>
        <w:numPr>
          <w:ilvl w:val="0"/>
          <w:numId w:val="3"/>
        </w:numPr>
        <w:bidi w:val="0"/>
        <w:rPr>
          <w:rFonts w:hint="eastAsia" w:ascii="宋体" w:hAnsi="宋体" w:eastAsia="宋体" w:cs="宋体"/>
          <w:sz w:val="28"/>
          <w:szCs w:val="28"/>
          <w:highlight w:val="none"/>
        </w:rPr>
      </w:pPr>
      <w:r>
        <w:rPr>
          <w:rFonts w:hint="eastAsia" w:ascii="宋体" w:hAnsi="宋体" w:eastAsia="宋体" w:cs="宋体"/>
          <w:sz w:val="28"/>
          <w:szCs w:val="28"/>
          <w:highlight w:val="none"/>
        </w:rPr>
        <w:t>物业管理服务人员需求</w:t>
      </w:r>
    </w:p>
    <w:p w14:paraId="3787BB80">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1、神木永兴街道便民服务中心</w:t>
      </w:r>
    </w:p>
    <w:tbl>
      <w:tblPr>
        <w:tblStyle w:val="7"/>
        <w:tblpPr w:leftFromText="180" w:rightFromText="180" w:vertAnchor="text" w:horzAnchor="page" w:tblpX="1554" w:tblpY="83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6"/>
        <w:gridCol w:w="1354"/>
        <w:gridCol w:w="1912"/>
        <w:gridCol w:w="3099"/>
      </w:tblGrid>
      <w:tr w14:paraId="3437C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37C5BD90">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rPr>
              <w:t>部门</w:t>
            </w:r>
            <w:r>
              <w:rPr>
                <w:rFonts w:hint="eastAsia" w:ascii="宋体" w:hAnsi="宋体" w:eastAsia="宋体" w:cs="宋体"/>
                <w:b/>
                <w:bCs w:val="0"/>
                <w:color w:val="auto"/>
                <w:sz w:val="28"/>
                <w:szCs w:val="28"/>
                <w:highlight w:val="none"/>
                <w:lang w:eastAsia="zh-CN"/>
              </w:rPr>
              <w:t>职能</w:t>
            </w:r>
          </w:p>
        </w:tc>
        <w:tc>
          <w:tcPr>
            <w:tcW w:w="2146" w:type="dxa"/>
            <w:noWrap w:val="0"/>
            <w:vAlign w:val="center"/>
          </w:tcPr>
          <w:p w14:paraId="21C87B8A">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岗位</w:t>
            </w:r>
          </w:p>
        </w:tc>
        <w:tc>
          <w:tcPr>
            <w:tcW w:w="2313" w:type="dxa"/>
            <w:noWrap w:val="0"/>
            <w:vAlign w:val="center"/>
          </w:tcPr>
          <w:p w14:paraId="79F0F86C">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同时在岗人数</w:t>
            </w:r>
          </w:p>
        </w:tc>
        <w:tc>
          <w:tcPr>
            <w:tcW w:w="3266" w:type="dxa"/>
            <w:noWrap w:val="0"/>
            <w:vAlign w:val="center"/>
          </w:tcPr>
          <w:p w14:paraId="5F750A9E">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岗位所需总人数</w:t>
            </w:r>
          </w:p>
        </w:tc>
        <w:tc>
          <w:tcPr>
            <w:tcW w:w="5295" w:type="dxa"/>
            <w:noWrap w:val="0"/>
            <w:vAlign w:val="center"/>
          </w:tcPr>
          <w:p w14:paraId="4B5B1293">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备注（岗位所需服务时长或时段、需具备的上岗资格证</w:t>
            </w:r>
            <w:r>
              <w:rPr>
                <w:rFonts w:hint="eastAsia" w:ascii="宋体" w:hAnsi="宋体" w:eastAsia="宋体" w:cs="宋体"/>
                <w:b/>
                <w:bCs w:val="0"/>
                <w:color w:val="auto"/>
                <w:sz w:val="28"/>
                <w:szCs w:val="28"/>
                <w:highlight w:val="none"/>
                <w:lang w:eastAsia="zh-CN"/>
              </w:rPr>
              <w:t>、人员学历、工作经验</w:t>
            </w:r>
            <w:r>
              <w:rPr>
                <w:rFonts w:hint="eastAsia" w:ascii="宋体" w:hAnsi="宋体" w:eastAsia="宋体" w:cs="宋体"/>
                <w:b/>
                <w:bCs w:val="0"/>
                <w:color w:val="auto"/>
                <w:sz w:val="28"/>
                <w:szCs w:val="28"/>
                <w:highlight w:val="none"/>
              </w:rPr>
              <w:t>等</w:t>
            </w:r>
            <w:r>
              <w:rPr>
                <w:rFonts w:hint="eastAsia" w:ascii="宋体" w:hAnsi="宋体" w:eastAsia="宋体" w:cs="宋体"/>
                <w:b/>
                <w:bCs w:val="0"/>
                <w:color w:val="auto"/>
                <w:sz w:val="28"/>
                <w:szCs w:val="28"/>
                <w:highlight w:val="none"/>
                <w:lang w:eastAsia="zh-CN"/>
              </w:rPr>
              <w:t>要求</w:t>
            </w:r>
            <w:r>
              <w:rPr>
                <w:rFonts w:hint="eastAsia" w:ascii="宋体" w:hAnsi="宋体" w:eastAsia="宋体" w:cs="宋体"/>
                <w:b/>
                <w:bCs w:val="0"/>
                <w:color w:val="auto"/>
                <w:sz w:val="28"/>
                <w:szCs w:val="28"/>
                <w:highlight w:val="none"/>
              </w:rPr>
              <w:t>）</w:t>
            </w:r>
          </w:p>
        </w:tc>
      </w:tr>
      <w:tr w14:paraId="74C9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7082A786">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服务中心</w:t>
            </w:r>
          </w:p>
        </w:tc>
        <w:tc>
          <w:tcPr>
            <w:tcW w:w="2146" w:type="dxa"/>
            <w:noWrap w:val="0"/>
            <w:vAlign w:val="center"/>
          </w:tcPr>
          <w:p w14:paraId="193EDD44">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项目经理</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两个独立服务点位共用一个项目经理）</w:t>
            </w:r>
          </w:p>
        </w:tc>
        <w:tc>
          <w:tcPr>
            <w:tcW w:w="2313" w:type="dxa"/>
            <w:noWrap w:val="0"/>
            <w:vAlign w:val="center"/>
          </w:tcPr>
          <w:p w14:paraId="6269027E">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w:t>
            </w:r>
          </w:p>
        </w:tc>
        <w:tc>
          <w:tcPr>
            <w:tcW w:w="3266" w:type="dxa"/>
            <w:noWrap w:val="0"/>
            <w:vAlign w:val="center"/>
          </w:tcPr>
          <w:p w14:paraId="09642ADC">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w:t>
            </w:r>
          </w:p>
        </w:tc>
        <w:tc>
          <w:tcPr>
            <w:tcW w:w="5295" w:type="dxa"/>
            <w:noWrap w:val="0"/>
            <w:vAlign w:val="center"/>
          </w:tcPr>
          <w:p w14:paraId="1744179C">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rPr>
            </w:pPr>
            <w:r>
              <w:rPr>
                <w:rFonts w:hint="eastAsia" w:ascii="宋体" w:hAnsi="宋体" w:eastAsia="宋体" w:cs="宋体"/>
                <w:i w:val="0"/>
                <w:iCs w:val="0"/>
                <w:color w:val="000000"/>
                <w:kern w:val="0"/>
                <w:sz w:val="28"/>
                <w:szCs w:val="28"/>
                <w:u w:val="none"/>
                <w:lang w:val="en-US" w:eastAsia="zh-CN" w:bidi="ar"/>
              </w:rPr>
              <w:t>政治素质过硬、作风正派；具备较强文字、协调、统筹能力。未经采购人同意不得擅自更换。8小时上班制</w:t>
            </w:r>
          </w:p>
        </w:tc>
      </w:tr>
      <w:tr w14:paraId="2E4DB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2" w:hRule="atLeast"/>
        </w:trPr>
        <w:tc>
          <w:tcPr>
            <w:tcW w:w="1540" w:type="dxa"/>
            <w:noWrap w:val="0"/>
            <w:vAlign w:val="center"/>
          </w:tcPr>
          <w:p w14:paraId="177D9586">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公用设施设备维护服务</w:t>
            </w:r>
          </w:p>
        </w:tc>
        <w:tc>
          <w:tcPr>
            <w:tcW w:w="2146" w:type="dxa"/>
            <w:noWrap w:val="0"/>
            <w:vAlign w:val="center"/>
          </w:tcPr>
          <w:p w14:paraId="2C03401A">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水电工</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两个独立服务点位共用一人）</w:t>
            </w:r>
          </w:p>
        </w:tc>
        <w:tc>
          <w:tcPr>
            <w:tcW w:w="2313" w:type="dxa"/>
            <w:noWrap w:val="0"/>
            <w:vAlign w:val="center"/>
          </w:tcPr>
          <w:p w14:paraId="64462E7E">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3266" w:type="dxa"/>
            <w:noWrap w:val="0"/>
            <w:vAlign w:val="center"/>
          </w:tcPr>
          <w:p w14:paraId="68D4FEF2">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5295" w:type="dxa"/>
            <w:noWrap w:val="0"/>
            <w:vAlign w:val="center"/>
          </w:tcPr>
          <w:p w14:paraId="442FF313">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负责水、电、暖、电器、消防、监控、弱电系统日常维修养护；须持特种作业操作证（低压电工证）。具备应急抢修能力。每周一巡检、故障随报随修，每月月中全面检修排查，每日巡查一次常态化管控。</w:t>
            </w:r>
            <w:r>
              <w:rPr>
                <w:rFonts w:hint="eastAsia" w:ascii="宋体" w:hAnsi="宋体" w:eastAsia="宋体" w:cs="宋体"/>
                <w:color w:val="000000"/>
                <w:sz w:val="28"/>
                <w:szCs w:val="28"/>
                <w:lang w:eastAsia="zh-CN"/>
              </w:rPr>
              <w:t>急修须在30分钟内到场处置，一般维修24小时内办结，复杂维修48小时内制定整改方案并报备采购人。</w:t>
            </w:r>
          </w:p>
        </w:tc>
      </w:tr>
      <w:tr w14:paraId="53AB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4840A040">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保洁服务</w:t>
            </w:r>
          </w:p>
        </w:tc>
        <w:tc>
          <w:tcPr>
            <w:tcW w:w="2146" w:type="dxa"/>
            <w:noWrap w:val="0"/>
            <w:vAlign w:val="center"/>
          </w:tcPr>
          <w:p w14:paraId="177DD1E5">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主管</w:t>
            </w:r>
          </w:p>
        </w:tc>
        <w:tc>
          <w:tcPr>
            <w:tcW w:w="2313" w:type="dxa"/>
            <w:noWrap w:val="0"/>
            <w:vAlign w:val="center"/>
          </w:tcPr>
          <w:p w14:paraId="214A9DAD">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3266" w:type="dxa"/>
            <w:noWrap w:val="0"/>
            <w:vAlign w:val="center"/>
          </w:tcPr>
          <w:p w14:paraId="1B87CC5C">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5295" w:type="dxa"/>
            <w:noWrap w:val="0"/>
            <w:vAlign w:val="center"/>
          </w:tcPr>
          <w:p w14:paraId="146B70D7">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p>
        </w:tc>
      </w:tr>
      <w:tr w14:paraId="2D46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2E7285B3">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p>
        </w:tc>
        <w:tc>
          <w:tcPr>
            <w:tcW w:w="2146" w:type="dxa"/>
            <w:noWrap w:val="0"/>
            <w:vAlign w:val="center"/>
          </w:tcPr>
          <w:p w14:paraId="7635E1F3">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保洁员</w:t>
            </w:r>
          </w:p>
        </w:tc>
        <w:tc>
          <w:tcPr>
            <w:tcW w:w="2313" w:type="dxa"/>
            <w:noWrap w:val="0"/>
            <w:vAlign w:val="center"/>
          </w:tcPr>
          <w:p w14:paraId="1E3DABF4">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7</w:t>
            </w:r>
          </w:p>
        </w:tc>
        <w:tc>
          <w:tcPr>
            <w:tcW w:w="3266" w:type="dxa"/>
            <w:noWrap w:val="0"/>
            <w:vAlign w:val="center"/>
          </w:tcPr>
          <w:p w14:paraId="510D764A">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7</w:t>
            </w:r>
          </w:p>
        </w:tc>
        <w:tc>
          <w:tcPr>
            <w:tcW w:w="5295" w:type="dxa"/>
            <w:noWrap w:val="0"/>
            <w:vAlign w:val="center"/>
          </w:tcPr>
          <w:p w14:paraId="30150CF4">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i w:val="0"/>
                <w:iCs w:val="0"/>
                <w:color w:val="000000"/>
                <w:kern w:val="0"/>
                <w:sz w:val="28"/>
                <w:szCs w:val="28"/>
                <w:u w:val="none"/>
                <w:lang w:val="en-US" w:eastAsia="zh-CN" w:bidi="ar"/>
              </w:rPr>
              <w:t>负责日常保洁；65 周岁以下，身体健康持健康证、无传染病、品行端正、服从管理。8小时上班制，每日清扫至少2次、每月月中冲洗、全天巡回保洁，每日至少擦拭一次、常态化维护，</w:t>
            </w:r>
          </w:p>
        </w:tc>
      </w:tr>
      <w:tr w14:paraId="51BE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0EB87CF2">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会议服务</w:t>
            </w:r>
          </w:p>
        </w:tc>
        <w:tc>
          <w:tcPr>
            <w:tcW w:w="2146" w:type="dxa"/>
            <w:noWrap w:val="0"/>
            <w:vAlign w:val="center"/>
          </w:tcPr>
          <w:p w14:paraId="06DA1B04">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会议服务</w:t>
            </w:r>
          </w:p>
        </w:tc>
        <w:tc>
          <w:tcPr>
            <w:tcW w:w="2313" w:type="dxa"/>
            <w:noWrap w:val="0"/>
            <w:vAlign w:val="center"/>
          </w:tcPr>
          <w:p w14:paraId="19E80C5E">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w:t>
            </w:r>
          </w:p>
        </w:tc>
        <w:tc>
          <w:tcPr>
            <w:tcW w:w="3266" w:type="dxa"/>
            <w:noWrap w:val="0"/>
            <w:vAlign w:val="center"/>
          </w:tcPr>
          <w:p w14:paraId="4F134E13">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w:t>
            </w:r>
          </w:p>
        </w:tc>
        <w:tc>
          <w:tcPr>
            <w:tcW w:w="5295" w:type="dxa"/>
            <w:noWrap w:val="0"/>
            <w:vAlign w:val="center"/>
          </w:tcPr>
          <w:p w14:paraId="7DF2223C">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sz w:val="28"/>
                <w:szCs w:val="28"/>
              </w:rPr>
              <w:t>工作时段跟随会议安排，含工作日日间及临时加班值守。岗位要求中专及以上学历；具备 1 年及以上会务、酒店或物业会议服务工作经验。熟练完成会场布置、茶水接待、设备检查、会后清场等工作，熟知会务礼仪规范，应变能力强，能配合临时调整会议保障安排。</w:t>
            </w:r>
          </w:p>
        </w:tc>
      </w:tr>
      <w:tr w14:paraId="7B91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1DA7A731">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保安服务</w:t>
            </w:r>
          </w:p>
        </w:tc>
        <w:tc>
          <w:tcPr>
            <w:tcW w:w="2146" w:type="dxa"/>
            <w:noWrap w:val="0"/>
            <w:vAlign w:val="center"/>
          </w:tcPr>
          <w:p w14:paraId="0B553F68">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监控员</w:t>
            </w:r>
          </w:p>
        </w:tc>
        <w:tc>
          <w:tcPr>
            <w:tcW w:w="2313" w:type="dxa"/>
            <w:noWrap w:val="0"/>
            <w:vAlign w:val="center"/>
          </w:tcPr>
          <w:p w14:paraId="58233B26">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3266" w:type="dxa"/>
            <w:noWrap w:val="0"/>
            <w:vAlign w:val="center"/>
          </w:tcPr>
          <w:p w14:paraId="2278CEB3">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5295" w:type="dxa"/>
            <w:noWrap w:val="0"/>
            <w:vAlign w:val="center"/>
          </w:tcPr>
          <w:p w14:paraId="07485761">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p>
        </w:tc>
      </w:tr>
      <w:tr w14:paraId="513E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13A676EF">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p>
        </w:tc>
        <w:tc>
          <w:tcPr>
            <w:tcW w:w="2146" w:type="dxa"/>
            <w:noWrap w:val="0"/>
            <w:vAlign w:val="center"/>
          </w:tcPr>
          <w:p w14:paraId="52D7CA5F">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安防队员</w:t>
            </w:r>
          </w:p>
        </w:tc>
        <w:tc>
          <w:tcPr>
            <w:tcW w:w="2313" w:type="dxa"/>
            <w:noWrap w:val="0"/>
            <w:vAlign w:val="center"/>
          </w:tcPr>
          <w:p w14:paraId="11C32586">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3</w:t>
            </w:r>
          </w:p>
        </w:tc>
        <w:tc>
          <w:tcPr>
            <w:tcW w:w="3266" w:type="dxa"/>
            <w:noWrap w:val="0"/>
            <w:vAlign w:val="center"/>
          </w:tcPr>
          <w:p w14:paraId="01367E20">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9</w:t>
            </w:r>
          </w:p>
        </w:tc>
        <w:tc>
          <w:tcPr>
            <w:tcW w:w="5295" w:type="dxa"/>
            <w:noWrap w:val="0"/>
            <w:vAlign w:val="center"/>
          </w:tcPr>
          <w:p w14:paraId="6248472D">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门岗值守、全域巡查、消防设施日常检查，持保安证。初中及以上学历，形象端正、身体健康，55 周岁以下，有安保经验优先。每月一次技能培训、每季度一次消防应急演练；每 1.5 小时巡逻一次、每周至少全面排查一次；全天候不间断值守，节假日加密管控。白班：08:00–16:00（8h）小夜班：16:00–24:00（8h），大夜班24:00-08:00三班倒。</w:t>
            </w:r>
          </w:p>
        </w:tc>
      </w:tr>
      <w:tr w14:paraId="4CDB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16DB59AB">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合计</w:t>
            </w:r>
          </w:p>
        </w:tc>
        <w:tc>
          <w:tcPr>
            <w:tcW w:w="2146" w:type="dxa"/>
            <w:noWrap w:val="0"/>
            <w:vAlign w:val="center"/>
          </w:tcPr>
          <w:p w14:paraId="3C746F0A">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p>
        </w:tc>
        <w:tc>
          <w:tcPr>
            <w:tcW w:w="2313" w:type="dxa"/>
            <w:noWrap w:val="0"/>
            <w:vAlign w:val="center"/>
          </w:tcPr>
          <w:p w14:paraId="3FBA0289">
            <w:pPr>
              <w:pageBreakBefore w:val="0"/>
              <w:widowControl/>
              <w:kinsoku/>
              <w:wordWrap/>
              <w:overflowPunct/>
              <w:topLinePunct w:val="0"/>
              <w:bidi w:val="0"/>
              <w:snapToGrid w:val="0"/>
              <w:spacing w:line="300" w:lineRule="auto"/>
              <w:ind w:left="0"/>
              <w:jc w:val="center"/>
              <w:rPr>
                <w:rFonts w:hint="eastAsia" w:ascii="宋体" w:hAnsi="宋体" w:eastAsia="宋体" w:cs="宋体"/>
                <w:kern w:val="2"/>
                <w:sz w:val="28"/>
                <w:szCs w:val="28"/>
                <w:lang w:val="en-US" w:eastAsia="zh-CN" w:bidi="ar-SA"/>
              </w:rPr>
            </w:pPr>
          </w:p>
        </w:tc>
        <w:tc>
          <w:tcPr>
            <w:tcW w:w="3266" w:type="dxa"/>
            <w:noWrap w:val="0"/>
            <w:vAlign w:val="center"/>
          </w:tcPr>
          <w:p w14:paraId="4492573A">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20</w:t>
            </w:r>
          </w:p>
        </w:tc>
        <w:tc>
          <w:tcPr>
            <w:tcW w:w="5295" w:type="dxa"/>
            <w:noWrap w:val="0"/>
            <w:vAlign w:val="center"/>
          </w:tcPr>
          <w:p w14:paraId="55B8A75B">
            <w:pPr>
              <w:pageBreakBefore w:val="0"/>
              <w:widowControl/>
              <w:kinsoku/>
              <w:wordWrap/>
              <w:overflowPunct/>
              <w:topLinePunct w:val="0"/>
              <w:bidi w:val="0"/>
              <w:snapToGrid w:val="0"/>
              <w:spacing w:line="300" w:lineRule="auto"/>
              <w:ind w:left="0"/>
              <w:jc w:val="both"/>
              <w:rPr>
                <w:rFonts w:hint="eastAsia" w:ascii="宋体" w:hAnsi="宋体" w:eastAsia="宋体" w:cs="宋体"/>
                <w:i w:val="0"/>
                <w:iCs w:val="0"/>
                <w:color w:val="000000"/>
                <w:kern w:val="0"/>
                <w:sz w:val="28"/>
                <w:szCs w:val="28"/>
                <w:u w:val="none"/>
                <w:lang w:val="en-US" w:eastAsia="zh-CN" w:bidi="ar"/>
              </w:rPr>
            </w:pPr>
          </w:p>
        </w:tc>
      </w:tr>
      <w:tr w14:paraId="6358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2909E070">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p>
        </w:tc>
        <w:tc>
          <w:tcPr>
            <w:tcW w:w="2146" w:type="dxa"/>
            <w:noWrap w:val="0"/>
            <w:vAlign w:val="center"/>
          </w:tcPr>
          <w:p w14:paraId="52C8EEE3">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p>
        </w:tc>
        <w:tc>
          <w:tcPr>
            <w:tcW w:w="2313" w:type="dxa"/>
            <w:noWrap w:val="0"/>
            <w:vAlign w:val="center"/>
          </w:tcPr>
          <w:p w14:paraId="01CF3F7E">
            <w:pPr>
              <w:pageBreakBefore w:val="0"/>
              <w:widowControl/>
              <w:kinsoku/>
              <w:wordWrap/>
              <w:overflowPunct/>
              <w:topLinePunct w:val="0"/>
              <w:bidi w:val="0"/>
              <w:snapToGrid w:val="0"/>
              <w:spacing w:line="300" w:lineRule="auto"/>
              <w:ind w:left="0"/>
              <w:jc w:val="center"/>
              <w:rPr>
                <w:rFonts w:hint="eastAsia" w:ascii="宋体" w:hAnsi="宋体" w:eastAsia="宋体" w:cs="宋体"/>
                <w:kern w:val="2"/>
                <w:sz w:val="28"/>
                <w:szCs w:val="28"/>
                <w:lang w:val="en-US" w:eastAsia="zh-CN" w:bidi="ar-SA"/>
              </w:rPr>
            </w:pPr>
          </w:p>
        </w:tc>
        <w:tc>
          <w:tcPr>
            <w:tcW w:w="3266" w:type="dxa"/>
            <w:noWrap w:val="0"/>
            <w:vAlign w:val="center"/>
          </w:tcPr>
          <w:p w14:paraId="3835C2B1">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5295" w:type="dxa"/>
            <w:noWrap w:val="0"/>
            <w:vAlign w:val="center"/>
          </w:tcPr>
          <w:p w14:paraId="78876D5D">
            <w:pPr>
              <w:pageBreakBefore w:val="0"/>
              <w:widowControl/>
              <w:kinsoku/>
              <w:wordWrap/>
              <w:overflowPunct/>
              <w:topLinePunct w:val="0"/>
              <w:bidi w:val="0"/>
              <w:snapToGrid w:val="0"/>
              <w:spacing w:line="300" w:lineRule="auto"/>
              <w:ind w:left="0"/>
              <w:jc w:val="both"/>
              <w:rPr>
                <w:rFonts w:hint="eastAsia" w:ascii="宋体" w:hAnsi="宋体" w:eastAsia="宋体" w:cs="宋体"/>
                <w:i w:val="0"/>
                <w:iCs w:val="0"/>
                <w:color w:val="000000"/>
                <w:kern w:val="0"/>
                <w:sz w:val="28"/>
                <w:szCs w:val="28"/>
                <w:u w:val="none"/>
                <w:lang w:val="en-US" w:eastAsia="zh-CN" w:bidi="ar"/>
              </w:rPr>
            </w:pPr>
          </w:p>
        </w:tc>
      </w:tr>
    </w:tbl>
    <w:p w14:paraId="4D6137B4">
      <w:pPr>
        <w:numPr>
          <w:ilvl w:val="0"/>
          <w:numId w:val="0"/>
        </w:numPr>
        <w:rPr>
          <w:rFonts w:hint="eastAsia" w:ascii="宋体" w:hAnsi="宋体" w:eastAsia="宋体" w:cs="宋体"/>
          <w:sz w:val="28"/>
          <w:szCs w:val="28"/>
        </w:rPr>
      </w:pPr>
    </w:p>
    <w:p w14:paraId="43A74F71">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sz w:val="28"/>
          <w:szCs w:val="28"/>
          <w:lang w:val="en-US" w:eastAsia="zh-CN"/>
        </w:rPr>
        <w:t>2神木永兴社区</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6"/>
        <w:gridCol w:w="1354"/>
        <w:gridCol w:w="1912"/>
        <w:gridCol w:w="3099"/>
      </w:tblGrid>
      <w:tr w14:paraId="3BDE0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noWrap w:val="0"/>
            <w:vAlign w:val="center"/>
          </w:tcPr>
          <w:p w14:paraId="0A82304E">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rPr>
              <w:t>部门</w:t>
            </w:r>
            <w:r>
              <w:rPr>
                <w:rFonts w:hint="eastAsia" w:ascii="宋体" w:hAnsi="宋体" w:eastAsia="宋体" w:cs="宋体"/>
                <w:b/>
                <w:bCs w:val="0"/>
                <w:color w:val="auto"/>
                <w:sz w:val="28"/>
                <w:szCs w:val="28"/>
                <w:highlight w:val="none"/>
                <w:lang w:eastAsia="zh-CN"/>
              </w:rPr>
              <w:t>职能</w:t>
            </w:r>
          </w:p>
        </w:tc>
        <w:tc>
          <w:tcPr>
            <w:tcW w:w="1256" w:type="dxa"/>
            <w:noWrap w:val="0"/>
            <w:vAlign w:val="center"/>
          </w:tcPr>
          <w:p w14:paraId="758FF4A7">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岗位</w:t>
            </w:r>
          </w:p>
        </w:tc>
        <w:tc>
          <w:tcPr>
            <w:tcW w:w="1354" w:type="dxa"/>
            <w:noWrap w:val="0"/>
            <w:vAlign w:val="center"/>
          </w:tcPr>
          <w:p w14:paraId="2BC2AA07">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同时在岗人数</w:t>
            </w:r>
          </w:p>
        </w:tc>
        <w:tc>
          <w:tcPr>
            <w:tcW w:w="1912" w:type="dxa"/>
            <w:noWrap w:val="0"/>
            <w:vAlign w:val="center"/>
          </w:tcPr>
          <w:p w14:paraId="500FFC21">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岗位所需总人数</w:t>
            </w:r>
          </w:p>
        </w:tc>
        <w:tc>
          <w:tcPr>
            <w:tcW w:w="3099" w:type="dxa"/>
            <w:noWrap w:val="0"/>
            <w:vAlign w:val="center"/>
          </w:tcPr>
          <w:p w14:paraId="1377923D">
            <w:pPr>
              <w:pageBreakBefore w:val="0"/>
              <w:widowControl/>
              <w:kinsoku/>
              <w:wordWrap/>
              <w:overflowPunct/>
              <w:topLinePunct w:val="0"/>
              <w:bidi w:val="0"/>
              <w:snapToGrid w:val="0"/>
              <w:spacing w:line="300" w:lineRule="auto"/>
              <w:ind w:left="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备注（岗位所需服务时长或时段、需具备的上岗资格证</w:t>
            </w:r>
            <w:r>
              <w:rPr>
                <w:rFonts w:hint="eastAsia" w:ascii="宋体" w:hAnsi="宋体" w:eastAsia="宋体" w:cs="宋体"/>
                <w:b/>
                <w:bCs w:val="0"/>
                <w:color w:val="auto"/>
                <w:sz w:val="28"/>
                <w:szCs w:val="28"/>
                <w:highlight w:val="none"/>
                <w:lang w:eastAsia="zh-CN"/>
              </w:rPr>
              <w:t>、人员学历、工作经验</w:t>
            </w:r>
            <w:r>
              <w:rPr>
                <w:rFonts w:hint="eastAsia" w:ascii="宋体" w:hAnsi="宋体" w:eastAsia="宋体" w:cs="宋体"/>
                <w:b/>
                <w:bCs w:val="0"/>
                <w:color w:val="auto"/>
                <w:sz w:val="28"/>
                <w:szCs w:val="28"/>
                <w:highlight w:val="none"/>
              </w:rPr>
              <w:t>等</w:t>
            </w:r>
            <w:r>
              <w:rPr>
                <w:rFonts w:hint="eastAsia" w:ascii="宋体" w:hAnsi="宋体" w:eastAsia="宋体" w:cs="宋体"/>
                <w:b/>
                <w:bCs w:val="0"/>
                <w:color w:val="auto"/>
                <w:sz w:val="28"/>
                <w:szCs w:val="28"/>
                <w:highlight w:val="none"/>
                <w:lang w:eastAsia="zh-CN"/>
              </w:rPr>
              <w:t>要求</w:t>
            </w:r>
            <w:r>
              <w:rPr>
                <w:rFonts w:hint="eastAsia" w:ascii="宋体" w:hAnsi="宋体" w:eastAsia="宋体" w:cs="宋体"/>
                <w:b/>
                <w:bCs w:val="0"/>
                <w:color w:val="auto"/>
                <w:sz w:val="28"/>
                <w:szCs w:val="28"/>
                <w:highlight w:val="none"/>
              </w:rPr>
              <w:t>）</w:t>
            </w:r>
          </w:p>
        </w:tc>
      </w:tr>
      <w:tr w14:paraId="67E5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noWrap w:val="0"/>
            <w:vAlign w:val="center"/>
          </w:tcPr>
          <w:p w14:paraId="5AAD1241">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服务中心</w:t>
            </w:r>
          </w:p>
        </w:tc>
        <w:tc>
          <w:tcPr>
            <w:tcW w:w="1256" w:type="dxa"/>
            <w:noWrap w:val="0"/>
            <w:vAlign w:val="center"/>
          </w:tcPr>
          <w:p w14:paraId="353B266C">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项目经理</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两个独立服务点位共用一个项目经理）</w:t>
            </w:r>
          </w:p>
        </w:tc>
        <w:tc>
          <w:tcPr>
            <w:tcW w:w="1354" w:type="dxa"/>
            <w:noWrap w:val="0"/>
            <w:vAlign w:val="center"/>
          </w:tcPr>
          <w:p w14:paraId="55F8BC41">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1912" w:type="dxa"/>
            <w:noWrap w:val="0"/>
            <w:vAlign w:val="center"/>
          </w:tcPr>
          <w:p w14:paraId="72995DCF">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3099" w:type="dxa"/>
            <w:noWrap w:val="0"/>
            <w:vAlign w:val="center"/>
          </w:tcPr>
          <w:p w14:paraId="49C5D5F5">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lang w:val="en-US"/>
              </w:rPr>
            </w:pPr>
            <w:r>
              <w:rPr>
                <w:rFonts w:hint="eastAsia" w:ascii="宋体" w:hAnsi="宋体" w:eastAsia="宋体" w:cs="宋体"/>
                <w:i w:val="0"/>
                <w:iCs w:val="0"/>
                <w:color w:val="000000"/>
                <w:kern w:val="0"/>
                <w:sz w:val="28"/>
                <w:szCs w:val="28"/>
                <w:u w:val="none"/>
                <w:lang w:val="en-US" w:eastAsia="zh-CN" w:bidi="ar"/>
              </w:rPr>
              <w:t>政治素质过硬、作风正派；具备较强文字、协调、统筹能力。未经采购人同意不得擅自更换。8小时上班制</w:t>
            </w:r>
          </w:p>
        </w:tc>
      </w:tr>
      <w:tr w14:paraId="0537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noWrap w:val="0"/>
            <w:vAlign w:val="center"/>
          </w:tcPr>
          <w:p w14:paraId="625BF664">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公用设施设备维护服务</w:t>
            </w:r>
          </w:p>
        </w:tc>
        <w:tc>
          <w:tcPr>
            <w:tcW w:w="1256" w:type="dxa"/>
            <w:noWrap w:val="0"/>
            <w:vAlign w:val="center"/>
          </w:tcPr>
          <w:p w14:paraId="6B4CD397">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水电工</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两个独立服务点位共用一人）</w:t>
            </w:r>
          </w:p>
        </w:tc>
        <w:tc>
          <w:tcPr>
            <w:tcW w:w="1354" w:type="dxa"/>
            <w:noWrap w:val="0"/>
            <w:vAlign w:val="center"/>
          </w:tcPr>
          <w:p w14:paraId="1DD5B121">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1912" w:type="dxa"/>
            <w:noWrap w:val="0"/>
            <w:vAlign w:val="center"/>
          </w:tcPr>
          <w:p w14:paraId="5F1CC849">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3099" w:type="dxa"/>
            <w:noWrap w:val="0"/>
            <w:vAlign w:val="center"/>
          </w:tcPr>
          <w:p w14:paraId="67E11E3B">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负责水、电、暖、电器、消防、监控、弱电系统日常维修养护；须持特种作业操作证（低压电工证）、健康证。具备应急抢修能力。每周一巡检、故障随报随修，每月月中全面检修排查，每日巡查一次常态化管控。</w:t>
            </w:r>
            <w:r>
              <w:rPr>
                <w:rFonts w:hint="eastAsia" w:ascii="宋体" w:hAnsi="宋体" w:eastAsia="宋体" w:cs="宋体"/>
                <w:color w:val="000000"/>
                <w:sz w:val="28"/>
                <w:szCs w:val="28"/>
                <w:lang w:eastAsia="zh-CN"/>
              </w:rPr>
              <w:t>急修须在30分钟内到场处置，一般维修24小时内办结，复杂维修48小时内制定整改方案并报备采购人。</w:t>
            </w:r>
          </w:p>
        </w:tc>
      </w:tr>
      <w:tr w14:paraId="78C2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vMerge w:val="restart"/>
            <w:noWrap w:val="0"/>
            <w:vAlign w:val="center"/>
          </w:tcPr>
          <w:p w14:paraId="1A2CC818">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保洁服务</w:t>
            </w:r>
          </w:p>
        </w:tc>
        <w:tc>
          <w:tcPr>
            <w:tcW w:w="1256" w:type="dxa"/>
            <w:noWrap w:val="0"/>
            <w:vAlign w:val="center"/>
          </w:tcPr>
          <w:p w14:paraId="0250C400">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主管</w:t>
            </w:r>
          </w:p>
        </w:tc>
        <w:tc>
          <w:tcPr>
            <w:tcW w:w="1354" w:type="dxa"/>
            <w:noWrap w:val="0"/>
            <w:vAlign w:val="center"/>
          </w:tcPr>
          <w:p w14:paraId="3A424E9E">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1912" w:type="dxa"/>
            <w:noWrap w:val="0"/>
            <w:vAlign w:val="center"/>
          </w:tcPr>
          <w:p w14:paraId="4E697D48">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3099" w:type="dxa"/>
            <w:noWrap w:val="0"/>
            <w:vAlign w:val="center"/>
          </w:tcPr>
          <w:p w14:paraId="7BB2904C">
            <w:pPr>
              <w:pageBreakBefore w:val="0"/>
              <w:widowControl/>
              <w:kinsoku/>
              <w:wordWrap/>
              <w:overflowPunct/>
              <w:topLinePunct w:val="0"/>
              <w:bidi w:val="0"/>
              <w:snapToGrid w:val="0"/>
              <w:spacing w:line="300" w:lineRule="auto"/>
              <w:ind w:left="0" w:leftChars="0"/>
              <w:jc w:val="both"/>
              <w:rPr>
                <w:rFonts w:hint="default" w:ascii="宋体" w:hAnsi="宋体" w:eastAsia="宋体" w:cs="宋体"/>
                <w:bCs/>
                <w:color w:val="auto"/>
                <w:sz w:val="28"/>
                <w:szCs w:val="28"/>
                <w:highlight w:val="none"/>
                <w:lang w:val="en-US"/>
              </w:rPr>
            </w:pPr>
            <w:r>
              <w:rPr>
                <w:rFonts w:hint="eastAsia" w:ascii="宋体" w:hAnsi="宋体" w:eastAsia="宋体" w:cs="宋体"/>
                <w:i w:val="0"/>
                <w:iCs w:val="0"/>
                <w:color w:val="000000"/>
                <w:kern w:val="0"/>
                <w:sz w:val="28"/>
                <w:szCs w:val="28"/>
                <w:u w:val="none"/>
                <w:lang w:val="en-US" w:eastAsia="zh-CN" w:bidi="ar"/>
              </w:rPr>
              <w:t>统筹保洁管理，检查协调人员调动及卫生清洁情况。</w:t>
            </w:r>
          </w:p>
        </w:tc>
      </w:tr>
      <w:tr w14:paraId="28C27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vMerge w:val="continue"/>
            <w:noWrap w:val="0"/>
            <w:vAlign w:val="center"/>
          </w:tcPr>
          <w:p w14:paraId="25734ACF">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p>
        </w:tc>
        <w:tc>
          <w:tcPr>
            <w:tcW w:w="1256" w:type="dxa"/>
            <w:noWrap w:val="0"/>
            <w:vAlign w:val="center"/>
          </w:tcPr>
          <w:p w14:paraId="5C0939D2">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保洁员</w:t>
            </w:r>
          </w:p>
        </w:tc>
        <w:tc>
          <w:tcPr>
            <w:tcW w:w="1354" w:type="dxa"/>
            <w:noWrap w:val="0"/>
            <w:vAlign w:val="center"/>
          </w:tcPr>
          <w:p w14:paraId="08B86780">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1912" w:type="dxa"/>
            <w:noWrap w:val="0"/>
            <w:vAlign w:val="center"/>
          </w:tcPr>
          <w:p w14:paraId="3900E826">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3099" w:type="dxa"/>
            <w:noWrap w:val="0"/>
            <w:vAlign w:val="center"/>
          </w:tcPr>
          <w:p w14:paraId="280C0E8C">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kern w:val="2"/>
                <w:sz w:val="28"/>
                <w:szCs w:val="28"/>
                <w:highlight w:val="none"/>
                <w:lang w:val="en-US" w:eastAsia="zh-CN" w:bidi="ar-SA"/>
              </w:rPr>
            </w:pPr>
            <w:r>
              <w:rPr>
                <w:rFonts w:hint="eastAsia" w:ascii="宋体" w:hAnsi="宋体" w:eastAsia="宋体" w:cs="宋体"/>
                <w:i w:val="0"/>
                <w:iCs w:val="0"/>
                <w:color w:val="000000"/>
                <w:kern w:val="0"/>
                <w:sz w:val="28"/>
                <w:szCs w:val="28"/>
                <w:u w:val="none"/>
                <w:lang w:val="en-US" w:eastAsia="zh-CN" w:bidi="ar"/>
              </w:rPr>
              <w:t>负责日常保洁；55 周岁以下，身体健康持健康证、无传染病、品行端正、服从管理。8小时上班制，每日清扫至少2次、每月月中冲洗、全天巡回保洁，每日至少擦拭一次、常态化维护，</w:t>
            </w:r>
          </w:p>
        </w:tc>
      </w:tr>
      <w:tr w14:paraId="7C99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vMerge w:val="restart"/>
            <w:noWrap w:val="0"/>
            <w:vAlign w:val="center"/>
          </w:tcPr>
          <w:p w14:paraId="29664423">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保安服务</w:t>
            </w:r>
          </w:p>
        </w:tc>
        <w:tc>
          <w:tcPr>
            <w:tcW w:w="1256" w:type="dxa"/>
            <w:noWrap w:val="0"/>
            <w:vAlign w:val="center"/>
          </w:tcPr>
          <w:p w14:paraId="506FD23D">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安防班长</w:t>
            </w:r>
          </w:p>
        </w:tc>
        <w:tc>
          <w:tcPr>
            <w:tcW w:w="1354" w:type="dxa"/>
            <w:noWrap w:val="0"/>
            <w:vAlign w:val="center"/>
          </w:tcPr>
          <w:p w14:paraId="4DD801DA">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1912" w:type="dxa"/>
            <w:noWrap w:val="0"/>
            <w:vAlign w:val="center"/>
          </w:tcPr>
          <w:p w14:paraId="1BBC1CB9">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0</w:t>
            </w:r>
          </w:p>
        </w:tc>
        <w:tc>
          <w:tcPr>
            <w:tcW w:w="3099" w:type="dxa"/>
            <w:noWrap w:val="0"/>
            <w:vAlign w:val="center"/>
          </w:tcPr>
          <w:p w14:paraId="03946372">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统筹安保值守、应急处置、人员排班、消防管理；未经采购人同意不得擅自更换。持证保安证或退伍军人证、健康证</w:t>
            </w:r>
          </w:p>
        </w:tc>
      </w:tr>
      <w:tr w14:paraId="5B44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 w:type="dxa"/>
            <w:vMerge w:val="continue"/>
            <w:noWrap w:val="0"/>
            <w:vAlign w:val="center"/>
          </w:tcPr>
          <w:p w14:paraId="135EEFC5">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p>
        </w:tc>
        <w:tc>
          <w:tcPr>
            <w:tcW w:w="1256" w:type="dxa"/>
            <w:noWrap w:val="0"/>
            <w:vAlign w:val="center"/>
          </w:tcPr>
          <w:p w14:paraId="340DF5C7">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安防队员</w:t>
            </w:r>
          </w:p>
        </w:tc>
        <w:tc>
          <w:tcPr>
            <w:tcW w:w="1354" w:type="dxa"/>
            <w:noWrap w:val="0"/>
            <w:vAlign w:val="center"/>
          </w:tcPr>
          <w:p w14:paraId="4253DA39">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w:t>
            </w:r>
          </w:p>
        </w:tc>
        <w:tc>
          <w:tcPr>
            <w:tcW w:w="1912" w:type="dxa"/>
            <w:noWrap w:val="0"/>
            <w:vAlign w:val="center"/>
          </w:tcPr>
          <w:p w14:paraId="2CDDD453">
            <w:pPr>
              <w:pageBreakBefore w:val="0"/>
              <w:widowControl/>
              <w:kinsoku/>
              <w:wordWrap/>
              <w:overflowPunct/>
              <w:topLinePunct w:val="0"/>
              <w:bidi w:val="0"/>
              <w:snapToGrid w:val="0"/>
              <w:spacing w:line="300" w:lineRule="auto"/>
              <w:ind w:left="0"/>
              <w:jc w:val="center"/>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3</w:t>
            </w:r>
          </w:p>
        </w:tc>
        <w:tc>
          <w:tcPr>
            <w:tcW w:w="3099" w:type="dxa"/>
            <w:noWrap w:val="0"/>
            <w:vAlign w:val="center"/>
          </w:tcPr>
          <w:p w14:paraId="1C6D68ED">
            <w:pPr>
              <w:pageBreakBefore w:val="0"/>
              <w:widowControl/>
              <w:kinsoku/>
              <w:wordWrap/>
              <w:overflowPunct/>
              <w:topLinePunct w:val="0"/>
              <w:bidi w:val="0"/>
              <w:snapToGrid w:val="0"/>
              <w:spacing w:line="300" w:lineRule="auto"/>
              <w:ind w:left="0" w:leftChars="0"/>
              <w:jc w:val="both"/>
              <w:rPr>
                <w:rFonts w:hint="eastAsia" w:ascii="宋体" w:hAnsi="宋体" w:eastAsia="宋体" w:cs="宋体"/>
                <w:bCs/>
                <w:color w:val="auto"/>
                <w:sz w:val="28"/>
                <w:szCs w:val="28"/>
                <w:highlight w:val="none"/>
              </w:rPr>
            </w:pPr>
            <w:r>
              <w:rPr>
                <w:rFonts w:hint="eastAsia" w:ascii="宋体" w:hAnsi="宋体" w:eastAsia="宋体" w:cs="宋体"/>
                <w:i w:val="0"/>
                <w:iCs w:val="0"/>
                <w:color w:val="000000"/>
                <w:kern w:val="0"/>
                <w:sz w:val="28"/>
                <w:szCs w:val="28"/>
                <w:u w:val="none"/>
                <w:lang w:val="en-US" w:eastAsia="zh-CN" w:bidi="ar"/>
              </w:rPr>
              <w:t>门岗值守、全域巡查、消防设施日常检查；持保安证。初中及以上学历，形象端正、身体健康，55 周岁以下，有安保经验优先。每月一次技能培训、每季度一次消防应急演练；每 1.5 小时巡逻一次、每周至少全面排查一次；全天候不间断值守，节假日加密管控白班：08:00–16:00（8h）小夜班：16:00–24:00（8h），大夜班24:00-08:00三班倒。</w:t>
            </w:r>
          </w:p>
        </w:tc>
      </w:tr>
      <w:tr w14:paraId="46CFE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01" w:type="dxa"/>
            <w:noWrap w:val="0"/>
            <w:vAlign w:val="center"/>
          </w:tcPr>
          <w:p w14:paraId="0C843BEA">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合计</w:t>
            </w:r>
          </w:p>
        </w:tc>
        <w:tc>
          <w:tcPr>
            <w:tcW w:w="1256" w:type="dxa"/>
            <w:noWrap w:val="0"/>
            <w:vAlign w:val="center"/>
          </w:tcPr>
          <w:p w14:paraId="06D995E4">
            <w:pPr>
              <w:pageBreakBefore w:val="0"/>
              <w:widowControl/>
              <w:kinsoku/>
              <w:wordWrap/>
              <w:overflowPunct/>
              <w:topLinePunct w:val="0"/>
              <w:bidi w:val="0"/>
              <w:snapToGrid w:val="0"/>
              <w:spacing w:line="300" w:lineRule="auto"/>
              <w:ind w:left="0"/>
              <w:jc w:val="both"/>
              <w:rPr>
                <w:rFonts w:hint="eastAsia" w:ascii="宋体" w:hAnsi="宋体" w:eastAsia="宋体" w:cs="宋体"/>
                <w:bCs/>
                <w:color w:val="auto"/>
                <w:sz w:val="28"/>
                <w:szCs w:val="28"/>
                <w:highlight w:val="none"/>
                <w:lang w:val="en-US" w:eastAsia="zh-CN"/>
              </w:rPr>
            </w:pPr>
          </w:p>
        </w:tc>
        <w:tc>
          <w:tcPr>
            <w:tcW w:w="1354" w:type="dxa"/>
            <w:noWrap w:val="0"/>
            <w:vAlign w:val="center"/>
          </w:tcPr>
          <w:p w14:paraId="2BAF2300">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p>
        </w:tc>
        <w:tc>
          <w:tcPr>
            <w:tcW w:w="1912" w:type="dxa"/>
            <w:noWrap w:val="0"/>
            <w:vAlign w:val="center"/>
          </w:tcPr>
          <w:p w14:paraId="7B9BC698">
            <w:pPr>
              <w:pageBreakBefore w:val="0"/>
              <w:widowControl/>
              <w:kinsoku/>
              <w:wordWrap/>
              <w:overflowPunct/>
              <w:topLinePunct w:val="0"/>
              <w:bidi w:val="0"/>
              <w:snapToGrid w:val="0"/>
              <w:spacing w:line="300" w:lineRule="auto"/>
              <w:ind w:left="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4</w:t>
            </w:r>
          </w:p>
        </w:tc>
        <w:tc>
          <w:tcPr>
            <w:tcW w:w="3099" w:type="dxa"/>
            <w:noWrap w:val="0"/>
            <w:vAlign w:val="center"/>
          </w:tcPr>
          <w:p w14:paraId="2330E03B">
            <w:pPr>
              <w:pageBreakBefore w:val="0"/>
              <w:widowControl/>
              <w:kinsoku/>
              <w:wordWrap/>
              <w:overflowPunct/>
              <w:topLinePunct w:val="0"/>
              <w:bidi w:val="0"/>
              <w:snapToGrid w:val="0"/>
              <w:spacing w:line="300" w:lineRule="auto"/>
              <w:ind w:left="0"/>
              <w:jc w:val="both"/>
              <w:rPr>
                <w:rFonts w:hint="eastAsia" w:ascii="宋体" w:hAnsi="宋体" w:eastAsia="宋体" w:cs="宋体"/>
                <w:i w:val="0"/>
                <w:iCs w:val="0"/>
                <w:color w:val="000000"/>
                <w:kern w:val="0"/>
                <w:sz w:val="28"/>
                <w:szCs w:val="28"/>
                <w:u w:val="none"/>
                <w:lang w:val="en-US" w:eastAsia="zh-CN" w:bidi="ar"/>
              </w:rPr>
            </w:pPr>
          </w:p>
        </w:tc>
      </w:tr>
    </w:tbl>
    <w:p w14:paraId="58C018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560" w:firstLineChars="200"/>
        <w:jc w:val="left"/>
        <w:textAlignment w:val="auto"/>
        <w:rPr>
          <w:rFonts w:hint="eastAsia" w:ascii="宋体" w:hAnsi="宋体" w:eastAsia="宋体" w:cs="宋体"/>
          <w:color w:val="auto"/>
          <w:sz w:val="28"/>
          <w:szCs w:val="28"/>
          <w:highlight w:val="none"/>
          <w:u w:val="none"/>
          <w:lang w:val="en-US" w:eastAsia="zh-CN"/>
        </w:rPr>
      </w:pPr>
    </w:p>
    <w:p w14:paraId="7D0445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560" w:firstLineChars="200"/>
        <w:jc w:val="left"/>
        <w:textAlignment w:val="auto"/>
        <w:rPr>
          <w:rFonts w:hint="eastAsia" w:ascii="宋体" w:hAnsi="宋体" w:eastAsia="宋体" w:cs="宋体"/>
          <w:b w:val="0"/>
          <w:bCs/>
          <w:color w:val="auto"/>
          <w:sz w:val="28"/>
          <w:szCs w:val="28"/>
          <w:highlight w:val="none"/>
          <w:u w:val="none"/>
        </w:rPr>
      </w:pPr>
      <w:r>
        <w:rPr>
          <w:rFonts w:hint="eastAsia" w:ascii="宋体" w:hAnsi="宋体" w:eastAsia="宋体" w:cs="宋体"/>
          <w:color w:val="auto"/>
          <w:sz w:val="28"/>
          <w:szCs w:val="28"/>
          <w:highlight w:val="none"/>
          <w:u w:val="none"/>
          <w:lang w:val="en-US" w:eastAsia="zh-CN"/>
        </w:rPr>
        <w:t>注：</w:t>
      </w:r>
      <w:r>
        <w:rPr>
          <w:rFonts w:hint="eastAsia" w:ascii="宋体" w:hAnsi="宋体" w:eastAsia="宋体" w:cs="宋体"/>
          <w:b w:val="0"/>
          <w:bCs/>
          <w:color w:val="auto"/>
          <w:sz w:val="28"/>
          <w:szCs w:val="28"/>
          <w:highlight w:val="none"/>
          <w:u w:val="none"/>
          <w:lang w:val="en-US" w:eastAsia="zh-CN"/>
        </w:rPr>
        <w:t>供应商</w:t>
      </w:r>
      <w:r>
        <w:rPr>
          <w:rFonts w:hint="eastAsia" w:ascii="宋体" w:hAnsi="宋体" w:eastAsia="宋体" w:cs="宋体"/>
          <w:b w:val="0"/>
          <w:bCs/>
          <w:color w:val="auto"/>
          <w:sz w:val="28"/>
          <w:szCs w:val="28"/>
          <w:highlight w:val="none"/>
          <w:u w:val="none"/>
        </w:rPr>
        <w:t>应</w:t>
      </w:r>
      <w:r>
        <w:rPr>
          <w:rFonts w:hint="eastAsia" w:ascii="宋体" w:hAnsi="宋体" w:eastAsia="宋体" w:cs="宋体"/>
          <w:b w:val="0"/>
          <w:bCs/>
          <w:color w:val="auto"/>
          <w:sz w:val="28"/>
          <w:szCs w:val="28"/>
          <w:highlight w:val="none"/>
          <w:u w:val="none"/>
          <w:lang w:eastAsia="zh-CN"/>
        </w:rPr>
        <w:t>当按国家相关法律法规，合理确定服务人员工资标准、</w:t>
      </w:r>
      <w:r>
        <w:rPr>
          <w:rFonts w:hint="eastAsia" w:ascii="宋体" w:hAnsi="宋体" w:eastAsia="宋体" w:cs="宋体"/>
          <w:b w:val="0"/>
          <w:bCs/>
          <w:color w:val="auto"/>
          <w:sz w:val="28"/>
          <w:szCs w:val="28"/>
          <w:highlight w:val="none"/>
          <w:u w:val="none"/>
        </w:rPr>
        <w:t>工作时间</w:t>
      </w:r>
      <w:r>
        <w:rPr>
          <w:rFonts w:hint="eastAsia" w:ascii="宋体" w:hAnsi="宋体" w:eastAsia="宋体" w:cs="宋体"/>
          <w:b w:val="0"/>
          <w:bCs/>
          <w:color w:val="auto"/>
          <w:sz w:val="28"/>
          <w:szCs w:val="28"/>
          <w:highlight w:val="none"/>
          <w:u w:val="none"/>
          <w:lang w:eastAsia="zh-CN"/>
        </w:rPr>
        <w:t>等</w:t>
      </w:r>
      <w:r>
        <w:rPr>
          <w:rFonts w:hint="eastAsia" w:ascii="宋体" w:hAnsi="宋体" w:eastAsia="宋体" w:cs="宋体"/>
          <w:b w:val="0"/>
          <w:bCs/>
          <w:color w:val="auto"/>
          <w:sz w:val="28"/>
          <w:szCs w:val="28"/>
          <w:highlight w:val="none"/>
          <w:u w:val="none"/>
        </w:rPr>
        <w:t>。</w:t>
      </w:r>
    </w:p>
    <w:p w14:paraId="2B2707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560" w:firstLineChars="200"/>
        <w:jc w:val="left"/>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 w:val="0"/>
          <w:bCs/>
          <w:color w:val="auto"/>
          <w:kern w:val="0"/>
          <w:sz w:val="28"/>
          <w:szCs w:val="28"/>
          <w:highlight w:val="none"/>
          <w:lang w:val="en-US" w:eastAsia="zh-CN" w:bidi="ar-SA"/>
        </w:rPr>
        <w:t xml:space="preserve">    </w:t>
      </w:r>
      <w:r>
        <w:rPr>
          <w:rFonts w:hint="eastAsia" w:ascii="宋体" w:hAnsi="宋体" w:eastAsia="宋体" w:cs="宋体"/>
          <w:b w:val="0"/>
          <w:bCs/>
          <w:color w:val="auto"/>
          <w:sz w:val="28"/>
          <w:szCs w:val="28"/>
          <w:highlight w:val="none"/>
          <w:u w:val="none"/>
          <w:lang w:val="en-US" w:eastAsia="zh-CN"/>
        </w:rPr>
        <w:t>供应商</w:t>
      </w:r>
      <w:r>
        <w:rPr>
          <w:rFonts w:hint="eastAsia" w:ascii="宋体" w:hAnsi="宋体" w:eastAsia="宋体" w:cs="宋体"/>
          <w:bCs/>
          <w:i w:val="0"/>
          <w:iCs w:val="0"/>
          <w:color w:val="auto"/>
          <w:kern w:val="0"/>
          <w:sz w:val="28"/>
          <w:szCs w:val="28"/>
          <w:highlight w:val="none"/>
          <w:u w:val="none"/>
          <w:lang w:val="en-US" w:eastAsia="zh-CN" w:bidi="ar"/>
        </w:rPr>
        <w:t>应当自行为服务人员办理必需的保险</w:t>
      </w:r>
      <w:r>
        <w:rPr>
          <w:rFonts w:hint="eastAsia" w:ascii="宋体" w:hAnsi="宋体" w:eastAsia="宋体" w:cs="宋体"/>
          <w:b w:val="0"/>
          <w:bCs/>
          <w:color w:val="auto"/>
          <w:sz w:val="28"/>
          <w:szCs w:val="28"/>
          <w:highlight w:val="none"/>
          <w:u w:val="none"/>
        </w:rPr>
        <w:t>，有关人员伤亡及第三者责任险均</w:t>
      </w:r>
      <w:r>
        <w:rPr>
          <w:rFonts w:hint="eastAsia" w:ascii="宋体" w:hAnsi="宋体" w:eastAsia="宋体" w:cs="宋体"/>
          <w:b w:val="0"/>
          <w:bCs/>
          <w:color w:val="auto"/>
          <w:sz w:val="28"/>
          <w:szCs w:val="28"/>
          <w:highlight w:val="none"/>
          <w:u w:val="none"/>
          <w:lang w:val="en-US" w:eastAsia="zh-CN"/>
        </w:rPr>
        <w:t>应当</w:t>
      </w:r>
      <w:r>
        <w:rPr>
          <w:rFonts w:hint="eastAsia" w:ascii="宋体" w:hAnsi="宋体" w:eastAsia="宋体" w:cs="宋体"/>
          <w:b w:val="0"/>
          <w:bCs/>
          <w:color w:val="auto"/>
          <w:sz w:val="28"/>
          <w:szCs w:val="28"/>
          <w:highlight w:val="none"/>
          <w:u w:val="none"/>
        </w:rPr>
        <w:t>考虑在报价因素中</w:t>
      </w:r>
      <w:r>
        <w:rPr>
          <w:rFonts w:hint="eastAsia" w:ascii="宋体" w:hAnsi="宋体" w:eastAsia="宋体" w:cs="宋体"/>
          <w:b w:val="0"/>
          <w:bCs/>
          <w:color w:val="auto"/>
          <w:kern w:val="0"/>
          <w:sz w:val="28"/>
          <w:szCs w:val="28"/>
          <w:highlight w:val="none"/>
          <w:u w:val="none"/>
        </w:rPr>
        <w:t>。</w:t>
      </w:r>
    </w:p>
    <w:bookmarkEnd w:id="7"/>
    <w:bookmarkEnd w:id="8"/>
    <w:bookmarkEnd w:id="9"/>
    <w:p w14:paraId="67187E8A">
      <w:pPr>
        <w:bidi w:val="0"/>
        <w:rPr>
          <w:rFonts w:hint="eastAsia" w:ascii="宋体" w:hAnsi="宋体" w:eastAsia="宋体" w:cs="宋体"/>
          <w:sz w:val="28"/>
          <w:szCs w:val="28"/>
          <w:highlight w:val="none"/>
        </w:rPr>
      </w:pPr>
      <w:bookmarkStart w:id="10" w:name="_Toc20385"/>
      <w:bookmarkStart w:id="11" w:name="_Toc1962"/>
      <w:bookmarkStart w:id="12" w:name="_Toc21574"/>
    </w:p>
    <w:bookmarkEnd w:id="10"/>
    <w:bookmarkEnd w:id="11"/>
    <w:bookmarkEnd w:id="12"/>
    <w:p w14:paraId="7E9FF0A2">
      <w:pPr>
        <w:pStyle w:val="3"/>
        <w:pageBreakBefore w:val="0"/>
        <w:widowControl w:val="0"/>
        <w:kinsoku/>
        <w:wordWrap/>
        <w:overflowPunct/>
        <w:topLinePunct w:val="0"/>
        <w:autoSpaceDE/>
        <w:autoSpaceDN/>
        <w:bidi w:val="0"/>
        <w:adjustRightInd/>
        <w:snapToGrid w:val="0"/>
        <w:spacing w:line="360" w:lineRule="auto"/>
        <w:ind w:firstLine="562"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商务要求</w:t>
      </w:r>
    </w:p>
    <w:p w14:paraId="7BC4E700">
      <w:pPr>
        <w:pStyle w:val="3"/>
        <w:pageBreakBefore w:val="0"/>
        <w:widowControl w:val="0"/>
        <w:kinsoku/>
        <w:wordWrap/>
        <w:overflowPunct/>
        <w:topLinePunct w:val="0"/>
        <w:autoSpaceDE/>
        <w:autoSpaceDN/>
        <w:bidi w:val="0"/>
        <w:adjustRightInd/>
        <w:snapToGrid w:val="0"/>
        <w:spacing w:line="360" w:lineRule="auto"/>
        <w:ind w:left="0" w:leftChars="0" w:firstLine="562"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6.1实施期限</w:t>
      </w:r>
    </w:p>
    <w:p w14:paraId="3A6901B8">
      <w:pPr>
        <w:pStyle w:val="3"/>
        <w:keepNext/>
        <w:keepLines/>
        <w:pageBreakBefore w:val="0"/>
        <w:widowControl w:val="0"/>
        <w:kinsoku/>
        <w:wordWrap/>
        <w:overflowPunct/>
        <w:topLinePunct w:val="0"/>
        <w:autoSpaceDE/>
        <w:autoSpaceDN/>
        <w:bidi w:val="0"/>
        <w:adjustRightInd/>
        <w:snapToGrid w:val="0"/>
        <w:spacing w:line="300" w:lineRule="auto"/>
        <w:ind w:firstLine="566"/>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zh-CN" w:eastAsia="zh-CN"/>
        </w:rPr>
        <w:t>本项目服务期为一年（从合同签订之日起算）。服务期满后根据上年度服务期间完成采购人所要求服务标准情况，在财政资金保障前提下，保证服务要求、服务质量不变、价格变化幅度小的情况下可以续签，续签时间不超过两年。如政策规定发生变化，服务企业需相应执行或解除合同。</w:t>
      </w:r>
      <w:r>
        <w:rPr>
          <w:rFonts w:hint="eastAsia" w:ascii="宋体" w:hAnsi="宋体" w:eastAsia="宋体" w:cs="宋体"/>
          <w:b w:val="0"/>
          <w:bCs w:val="0"/>
          <w:sz w:val="28"/>
          <w:szCs w:val="28"/>
          <w:lang w:val="zh-CN"/>
        </w:rPr>
        <w:t xml:space="preserve"> </w:t>
      </w:r>
    </w:p>
    <w:p w14:paraId="3E74492B">
      <w:pPr>
        <w:pStyle w:val="3"/>
        <w:pageBreakBefore w:val="0"/>
        <w:widowControl w:val="0"/>
        <w:kinsoku/>
        <w:wordWrap/>
        <w:overflowPunct/>
        <w:topLinePunct w:val="0"/>
        <w:autoSpaceDE/>
        <w:autoSpaceDN/>
        <w:bidi w:val="0"/>
        <w:adjustRightInd/>
        <w:snapToGrid w:val="0"/>
        <w:spacing w:line="360" w:lineRule="auto"/>
        <w:ind w:left="0" w:leftChars="0" w:firstLine="562" w:firstLineChars="200"/>
        <w:jc w:val="both"/>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6.2付款方式</w:t>
      </w:r>
    </w:p>
    <w:p w14:paraId="1B5C38BF">
      <w:pPr>
        <w:pageBreakBefore w:val="0"/>
        <w:widowControl w:val="0"/>
        <w:kinsoku/>
        <w:wordWrap/>
        <w:overflowPunct/>
        <w:topLinePunct w:val="0"/>
        <w:autoSpaceDE/>
        <w:autoSpaceDN/>
        <w:bidi w:val="0"/>
        <w:adjustRightInd/>
        <w:snapToGrid w:val="0"/>
        <w:spacing w:line="360" w:lineRule="auto"/>
        <w:ind w:firstLine="481"/>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按季度结算。采购人在次月10日内对成交供应商进行考核，采购人收到成交供应商出具的正规税票后7日内支付服务费用（具体支付要求由采购人与成交供应商具体商定），不满足付款要求按无效标处理。</w:t>
      </w:r>
    </w:p>
    <w:p w14:paraId="3B213A8A">
      <w:pPr>
        <w:pageBreakBefore w:val="0"/>
        <w:widowControl w:val="0"/>
        <w:kinsoku/>
        <w:wordWrap/>
        <w:overflowPunct/>
        <w:topLinePunct w:val="0"/>
        <w:autoSpaceDE/>
        <w:autoSpaceDN/>
        <w:bidi w:val="0"/>
        <w:adjustRightInd/>
        <w:snapToGrid w:val="0"/>
        <w:spacing w:line="360" w:lineRule="auto"/>
        <w:ind w:firstLine="481"/>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6.3验收标准与要求</w:t>
      </w:r>
    </w:p>
    <w:p w14:paraId="04A31835">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保洁服务：各借阅室、书库、办公室、卫生间、茶水间等区域地面、墙面、玻璃、扶手等无垃圾、无积灰、无污渍、无手印。卫生间无异味、无积水、洁具光洁、物品摆放有序。室外公共区域（广场、道路、停车场、"门前三包"）干净无杂物、无淤泥。垃圾日产日清，分类规范，垃圾箱内外清洁无残留。定期开展消毒灭害，对地沟、明沟、垃圾房等喷洒药水。</w:t>
      </w:r>
    </w:p>
    <w:p w14:paraId="544892E8">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保安服务：严格执行门卫登记制度，禁止危险物品入馆。按规定路线和频次进行巡逻检查，重点区域有记录。车辆管理有序，非机动车定点停放，无易燃易爆物品堆放。制定并演练突发事件应急预案，每年至少组织1次应急演习。技防设施（监控、报警等）操作正常、定期检查。</w:t>
      </w:r>
    </w:p>
    <w:p w14:paraId="3B6F42C5">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综合维修服务：定期巡查给排水、供电系统，无跑冒滴漏现象。水电故障及时上报并处理，做好维修记录。空调系统定期清洁（每年至少两次）。电梯等特种设备运行正常，发生困人等事件能及时响应并通知专业维保单位。其他辅助服务配合馆内活动的协调与安保工作。</w:t>
      </w:r>
    </w:p>
    <w:p w14:paraId="3ACCF505">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b w:val="0"/>
          <w:bCs w:val="0"/>
          <w:color w:val="auto"/>
          <w:kern w:val="0"/>
          <w:sz w:val="28"/>
          <w:szCs w:val="28"/>
          <w:highlight w:val="none"/>
          <w:lang w:val="en-US" w:eastAsia="zh-CN"/>
        </w:rPr>
        <w:t>验收标准均按</w:t>
      </w:r>
      <w:r>
        <w:rPr>
          <w:rFonts w:hint="eastAsia" w:ascii="宋体" w:hAnsi="宋体" w:eastAsia="宋体" w:cs="宋体"/>
          <w:sz w:val="28"/>
          <w:szCs w:val="28"/>
        </w:rPr>
        <w:t>第四章  磋商内容及采购需求</w:t>
      </w:r>
      <w:r>
        <w:rPr>
          <w:rFonts w:hint="eastAsia" w:ascii="宋体" w:hAnsi="宋体" w:eastAsia="宋体" w:cs="宋体"/>
          <w:sz w:val="28"/>
          <w:szCs w:val="28"/>
          <w:lang w:val="en-US" w:eastAsia="zh-CN"/>
        </w:rPr>
        <w:t>中</w:t>
      </w:r>
      <w:r>
        <w:rPr>
          <w:rFonts w:hint="eastAsia" w:ascii="宋体" w:hAnsi="宋体" w:eastAsia="宋体" w:cs="宋体"/>
          <w:sz w:val="28"/>
          <w:szCs w:val="28"/>
          <w:highlight w:val="none"/>
          <w:lang w:val="en-US" w:eastAsia="zh-CN"/>
        </w:rPr>
        <w:t>3.物业管理服务内容及标准验收。</w:t>
      </w:r>
    </w:p>
    <w:p w14:paraId="4648A909">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成交供应商必须按服务标准中所规定的工作内容和具体要求来完成采购人所交给的工作，并提交相应的报告。</w:t>
      </w:r>
    </w:p>
    <w:p w14:paraId="73B476C3">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成交供应商每次完成工作后，采购人将立即进行验收，若发现成交供应商完成工作的情况不符合合同所规定的要求，采购人有权拒绝进行完工确认，并书面通知成交供应商进行整改，成交供应商应予以接受。</w:t>
      </w:r>
    </w:p>
    <w:p w14:paraId="6641B72E">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成交供应商必须保证服务质量能够完全符合采购人之合理要求, 否则采购人有权向成交供应商发送如下告知单1）通知；2）警告；3）最后警告及扣除相关费用。</w:t>
      </w:r>
    </w:p>
    <w:p w14:paraId="639EABAE">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采购人按照服务标准制定考评表，每季度对成交供应商的整体服务水平进行打分考评。如考核得分≥90 分，为优秀；考核得分为 80 -89 分的，为良好；考核得分为 70 -79 分的，为合格，采购人有权按约定进行警告并予以扣款；如考核得分低于60 分，为不合格，采购人有权单方面解除合约，成交供应商应积极配合。</w:t>
      </w:r>
    </w:p>
    <w:p w14:paraId="0DD0A6ED">
      <w:pPr>
        <w:pStyle w:val="3"/>
        <w:bidi w:val="0"/>
        <w:ind w:firstLine="562"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7.需要说明的其他事项</w:t>
      </w:r>
    </w:p>
    <w:p w14:paraId="4735073D">
      <w:pPr>
        <w:pStyle w:val="3"/>
        <w:bidi w:val="0"/>
        <w:ind w:firstLine="562"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7.1零星维修材料费用</w:t>
      </w:r>
    </w:p>
    <w:p w14:paraId="08BD3BF3">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涉及以下情形</w:t>
      </w:r>
      <w:r>
        <w:rPr>
          <w:rFonts w:hint="eastAsia" w:ascii="宋体" w:hAnsi="宋体" w:eastAsia="宋体" w:cs="宋体"/>
          <w:b/>
          <w:bCs/>
          <w:color w:val="auto"/>
          <w:kern w:val="0"/>
          <w:sz w:val="28"/>
          <w:szCs w:val="28"/>
          <w:highlight w:val="none"/>
          <w:u w:val="none"/>
          <w:lang w:val="en-US" w:eastAsia="zh-CN"/>
        </w:rPr>
        <w:t>的</w:t>
      </w:r>
      <w:r>
        <w:rPr>
          <w:rFonts w:hint="eastAsia" w:ascii="宋体" w:hAnsi="宋体" w:eastAsia="宋体" w:cs="宋体"/>
          <w:b w:val="0"/>
          <w:bCs w:val="0"/>
          <w:color w:val="auto"/>
          <w:kern w:val="0"/>
          <w:sz w:val="28"/>
          <w:szCs w:val="28"/>
          <w:highlight w:val="none"/>
          <w:u w:val="none"/>
          <w:lang w:val="en-US" w:eastAsia="zh-CN"/>
        </w:rPr>
        <w:t>，相关费用包含在物业管理服务采购合同金额之内，由供应商承担：</w:t>
      </w:r>
      <w:r>
        <w:rPr>
          <w:rFonts w:hint="eastAsia" w:ascii="宋体" w:hAnsi="宋体" w:eastAsia="宋体" w:cs="宋体"/>
          <w:b w:val="0"/>
          <w:bCs w:val="0"/>
          <w:color w:val="auto"/>
          <w:kern w:val="0"/>
          <w:sz w:val="28"/>
          <w:szCs w:val="28"/>
          <w:highlight w:val="none"/>
          <w:u w:val="single"/>
          <w:lang w:val="en-US" w:eastAsia="zh-CN"/>
        </w:rPr>
        <w:t>电池、门锁、窗户把手、锁芯、LED筒灯、LED平板灯、面盆水龙头、开关、插座、三角阀、球阀、止回阀、软连接器、小空开、接触器、玻璃门地弹簧、压力表、温度计、排气阀、感应冲水器、感应蹲便器、热水器加热管、热水器温控器、换气扇、风机皮带、干手器等维修所需材料单件单价在50元以内的费用</w:t>
      </w:r>
      <w:r>
        <w:rPr>
          <w:rFonts w:hint="eastAsia" w:ascii="宋体" w:hAnsi="宋体" w:eastAsia="宋体" w:cs="宋体"/>
          <w:b w:val="0"/>
          <w:bCs w:val="0"/>
          <w:color w:val="auto"/>
          <w:kern w:val="0"/>
          <w:sz w:val="28"/>
          <w:szCs w:val="28"/>
          <w:highlight w:val="none"/>
          <w:lang w:val="en-US" w:eastAsia="zh-CN"/>
        </w:rPr>
        <w:t>。</w:t>
      </w:r>
    </w:p>
    <w:p w14:paraId="79B02819">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宋体" w:hAnsi="宋体" w:eastAsia="宋体" w:cs="宋体"/>
          <w:b w:val="0"/>
          <w:bCs w:val="0"/>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涉及以下情形的</w:t>
      </w:r>
      <w:r>
        <w:rPr>
          <w:rFonts w:hint="eastAsia" w:ascii="宋体" w:hAnsi="宋体" w:eastAsia="宋体" w:cs="宋体"/>
          <w:b w:val="0"/>
          <w:bCs w:val="0"/>
          <w:color w:val="auto"/>
          <w:kern w:val="0"/>
          <w:sz w:val="28"/>
          <w:szCs w:val="28"/>
          <w:highlight w:val="none"/>
          <w:u w:val="none"/>
          <w:lang w:eastAsia="zh-CN"/>
        </w:rPr>
        <w:t>，</w:t>
      </w:r>
      <w:r>
        <w:rPr>
          <w:rFonts w:hint="eastAsia" w:ascii="宋体" w:hAnsi="宋体" w:eastAsia="宋体" w:cs="宋体"/>
          <w:b w:val="0"/>
          <w:bCs w:val="0"/>
          <w:color w:val="auto"/>
          <w:kern w:val="0"/>
          <w:sz w:val="28"/>
          <w:szCs w:val="28"/>
          <w:highlight w:val="none"/>
          <w:lang w:val="en-US" w:eastAsia="zh-CN"/>
        </w:rPr>
        <w:t>由采购人承担：</w:t>
      </w:r>
      <w:r>
        <w:rPr>
          <w:rFonts w:hint="eastAsia" w:ascii="宋体" w:hAnsi="宋体" w:eastAsia="宋体" w:cs="宋体"/>
          <w:b w:val="0"/>
          <w:bCs w:val="0"/>
          <w:color w:val="auto"/>
          <w:kern w:val="0"/>
          <w:sz w:val="28"/>
          <w:szCs w:val="28"/>
          <w:highlight w:val="none"/>
          <w:u w:val="single"/>
          <w:lang w:val="en-US" w:eastAsia="zh-CN"/>
        </w:rPr>
        <w:t>热水器、饮水机滤芯、宣传电子灯箱、LED显示屏、话筒、音响、功放、门禁、车库卷帘、供水泵、排污泵、热水泵、供暖循环泵、软起动、交流接触器、热继电器、风机电机、风机叶轮、大空开（100A以上）、风机盘管、电动门、道闸系统、卷帘门、监控探头、监控录像机、垃圾清运车、榨水车水桶、洗手液、大盘纸、擦手纸、防护橡胶手套、UPS电源、监控视频显示器、监控云台、钢化玻璃门、液位浮球控制器、主管道水表、空调滤网、滤袋等维修所需材料单件单价在50元（含50元）以上费用</w:t>
      </w:r>
      <w:r>
        <w:rPr>
          <w:rFonts w:hint="eastAsia" w:ascii="宋体" w:hAnsi="宋体" w:eastAsia="宋体" w:cs="宋体"/>
          <w:b w:val="0"/>
          <w:bCs w:val="0"/>
          <w:color w:val="auto"/>
          <w:kern w:val="0"/>
          <w:sz w:val="28"/>
          <w:szCs w:val="28"/>
          <w:highlight w:val="none"/>
          <w:u w:val="none"/>
          <w:lang w:val="en-US" w:eastAsia="zh-CN"/>
        </w:rPr>
        <w:t>。</w:t>
      </w:r>
    </w:p>
    <w:p w14:paraId="1AE8F18E">
      <w:pPr>
        <w:pStyle w:val="3"/>
        <w:bidi w:val="0"/>
        <w:ind w:firstLine="562"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7.2低值易耗品费用</w:t>
      </w:r>
    </w:p>
    <w:p w14:paraId="1F71D785">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b/>
          <w:bCs/>
          <w:color w:val="auto"/>
          <w:kern w:val="0"/>
          <w:sz w:val="28"/>
          <w:szCs w:val="28"/>
          <w:highlight w:val="none"/>
          <w:lang w:val="en-US" w:eastAsia="zh-CN"/>
        </w:rPr>
        <w:t>涉及以下情形的</w:t>
      </w:r>
      <w:r>
        <w:rPr>
          <w:rFonts w:hint="eastAsia" w:ascii="宋体" w:hAnsi="宋体" w:eastAsia="宋体" w:cs="宋体"/>
          <w:b w:val="0"/>
          <w:bCs w:val="0"/>
          <w:color w:val="auto"/>
          <w:kern w:val="0"/>
          <w:sz w:val="28"/>
          <w:szCs w:val="28"/>
          <w:highlight w:val="none"/>
          <w:lang w:val="en-US" w:eastAsia="zh-CN"/>
        </w:rPr>
        <w:t>，相关费用包含在物业管理服务采购合同金额之内，由供应商承担：</w:t>
      </w:r>
      <w:r>
        <w:rPr>
          <w:rFonts w:hint="eastAsia" w:ascii="宋体" w:hAnsi="宋体" w:eastAsia="宋体" w:cs="宋体"/>
          <w:b w:val="0"/>
          <w:bCs w:val="0"/>
          <w:color w:val="auto"/>
          <w:kern w:val="0"/>
          <w:sz w:val="28"/>
          <w:szCs w:val="28"/>
          <w:highlight w:val="none"/>
          <w:u w:val="single"/>
          <w:lang w:val="en-US" w:eastAsia="zh-CN"/>
        </w:rPr>
        <w:t>中性笔、记号笔、订书机、A4纸、墨粉、硒鼓、双面胶、玻璃胶、印泥、档案袋、档案盒、胶水、玻璃胶、标签纸、保洁服、保安服、拖把、垃圾桶、保洁车、尘推、毛巾、铲刀、钢丝球、垃圾夹、平板拖把、玻璃器、玻璃刮、脸盆、线手套，高粱扫帚，防风套扫，室外大扫把、灯泡、电线、轧带、生料带、胶布、螺丝、膨胀管、电工防水自粘带、水暖垫片、手电、反光贴、马桶刷、鹿皮巾、百洁布、鸡毛掸子、洗洁精、洗衣粉、空气清新剂、檀香、芳香球、84消毒液、洁厕剂、玻璃清洗剂、水垢清洗剂、瓷砖清洗剂、多功能清洗剂、不锈钢光亮剂、粘胶去除剂、尘推油、口罩、面罩、喷壶、酒精、垃圾袋、防护服</w:t>
      </w:r>
      <w:r>
        <w:rPr>
          <w:rFonts w:hint="eastAsia" w:ascii="宋体" w:hAnsi="宋体" w:eastAsia="宋体" w:cs="宋体"/>
          <w:b w:val="0"/>
          <w:bCs w:val="0"/>
          <w:color w:val="0000FF"/>
          <w:kern w:val="0"/>
          <w:sz w:val="28"/>
          <w:szCs w:val="28"/>
          <w:highlight w:val="none"/>
          <w:u w:val="single"/>
          <w:lang w:val="en-US" w:eastAsia="zh-CN"/>
        </w:rPr>
        <w:t>、</w:t>
      </w:r>
      <w:r>
        <w:rPr>
          <w:rFonts w:hint="eastAsia" w:ascii="宋体" w:hAnsi="宋体" w:eastAsia="宋体" w:cs="宋体"/>
          <w:b w:val="0"/>
          <w:bCs w:val="0"/>
          <w:color w:val="auto"/>
          <w:kern w:val="0"/>
          <w:sz w:val="28"/>
          <w:szCs w:val="28"/>
          <w:highlight w:val="none"/>
          <w:u w:val="single"/>
          <w:lang w:val="en-US" w:eastAsia="zh-CN"/>
        </w:rPr>
        <w:t>等低值易耗品</w:t>
      </w:r>
      <w:r>
        <w:rPr>
          <w:rFonts w:hint="eastAsia" w:ascii="宋体" w:hAnsi="宋体" w:eastAsia="宋体" w:cs="宋体"/>
          <w:b w:val="0"/>
          <w:bCs w:val="0"/>
          <w:color w:val="auto"/>
          <w:kern w:val="0"/>
          <w:sz w:val="28"/>
          <w:szCs w:val="28"/>
          <w:highlight w:val="none"/>
          <w:lang w:val="en-US" w:eastAsia="zh-CN"/>
        </w:rPr>
        <w:t>。</w:t>
      </w:r>
    </w:p>
    <w:p w14:paraId="725DA022">
      <w:pPr>
        <w:pStyle w:val="3"/>
        <w:ind w:firstLine="562" w:firstLineChars="200"/>
        <w:jc w:val="left"/>
        <w:rPr>
          <w:rFonts w:hint="eastAsia" w:ascii="仿宋" w:hAnsi="仿宋" w:eastAsia="仿宋" w:cs="仿宋"/>
          <w:b w:val="0"/>
          <w:bCs w:val="0"/>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涉及以下情形的</w:t>
      </w:r>
      <w:r>
        <w:rPr>
          <w:rFonts w:hint="eastAsia" w:ascii="宋体" w:hAnsi="宋体" w:eastAsia="宋体" w:cs="宋体"/>
          <w:b w:val="0"/>
          <w:bCs w:val="0"/>
          <w:color w:val="auto"/>
          <w:kern w:val="0"/>
          <w:sz w:val="28"/>
          <w:szCs w:val="28"/>
          <w:highlight w:val="none"/>
          <w:u w:val="none"/>
          <w:lang w:eastAsia="zh-CN"/>
        </w:rPr>
        <w:t>，</w:t>
      </w:r>
      <w:r>
        <w:rPr>
          <w:rFonts w:hint="eastAsia" w:ascii="宋体" w:hAnsi="宋体" w:eastAsia="宋体" w:cs="宋体"/>
          <w:b w:val="0"/>
          <w:bCs w:val="0"/>
          <w:color w:val="auto"/>
          <w:kern w:val="0"/>
          <w:sz w:val="28"/>
          <w:szCs w:val="28"/>
          <w:highlight w:val="none"/>
          <w:lang w:val="en-US" w:eastAsia="zh-CN"/>
        </w:rPr>
        <w:t>由采购人承担：</w:t>
      </w:r>
      <w:r>
        <w:rPr>
          <w:rFonts w:hint="eastAsia" w:ascii="宋体" w:hAnsi="宋体" w:eastAsia="宋体" w:cs="宋体"/>
          <w:b w:val="0"/>
          <w:bCs w:val="0"/>
          <w:color w:val="auto"/>
          <w:kern w:val="0"/>
          <w:sz w:val="28"/>
          <w:szCs w:val="28"/>
          <w:highlight w:val="none"/>
          <w:u w:val="single"/>
          <w:lang w:val="en-US" w:eastAsia="zh-CN"/>
        </w:rPr>
        <w:t>洗地车、扫地车、空调滤网、滤袋、插线板、饮水机、打包机、破碎机、打包绳、书车、U盘、茶叶、茶杯等会议接待及办公物资</w:t>
      </w:r>
      <w:r>
        <w:rPr>
          <w:rFonts w:hint="eastAsia" w:ascii="宋体" w:hAnsi="宋体" w:eastAsia="宋体" w:cs="宋体"/>
          <w:b w:val="0"/>
          <w:bCs w:val="0"/>
          <w:color w:val="auto"/>
          <w:kern w:val="0"/>
          <w:sz w:val="28"/>
          <w:szCs w:val="28"/>
          <w:highlight w:val="none"/>
          <w:lang w:val="en-US" w:eastAsia="zh-CN"/>
        </w:rPr>
        <w:t>。</w:t>
      </w:r>
    </w:p>
    <w:p w14:paraId="50FC468C">
      <w:pPr>
        <w:keepNext w:val="0"/>
        <w:keepLines w:val="0"/>
        <w:pageBreakBefore w:val="0"/>
        <w:numPr>
          <w:ilvl w:val="0"/>
          <w:numId w:val="0"/>
        </w:numPr>
        <w:kinsoku/>
        <w:wordWrap/>
        <w:overflowPunct/>
        <w:topLinePunct w:val="0"/>
        <w:autoSpaceDE/>
        <w:autoSpaceDN/>
        <w:bidi w:val="0"/>
        <w:adjustRightInd/>
        <w:snapToGrid w:val="0"/>
        <w:spacing w:line="300" w:lineRule="auto"/>
        <w:ind w:firstLine="562" w:firstLineChars="200"/>
        <w:jc w:val="both"/>
        <w:textAlignment w:val="auto"/>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8.综合要求</w:t>
      </w:r>
    </w:p>
    <w:p w14:paraId="7C81F6B2">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w:t>
      </w:r>
      <w:r>
        <w:rPr>
          <w:rFonts w:hint="eastAsia" w:ascii="Times New Roman" w:hAnsi="Times New Roman" w:eastAsia="仿宋" w:cs="Times New Roman"/>
          <w:b w:val="0"/>
          <w:bCs/>
          <w:color w:val="auto"/>
          <w:sz w:val="28"/>
          <w:szCs w:val="28"/>
          <w:lang w:val="en-US" w:eastAsia="zh-CN"/>
        </w:rPr>
        <w:t>磋商供应商</w:t>
      </w:r>
      <w:r>
        <w:rPr>
          <w:rFonts w:hint="eastAsia" w:ascii="仿宋" w:hAnsi="仿宋" w:eastAsia="仿宋" w:cs="仿宋"/>
          <w:b w:val="0"/>
          <w:bCs w:val="0"/>
          <w:color w:val="auto"/>
          <w:kern w:val="0"/>
          <w:sz w:val="28"/>
          <w:szCs w:val="28"/>
          <w:highlight w:val="none"/>
          <w:lang w:val="en-US" w:eastAsia="zh-CN"/>
        </w:rPr>
        <w:t xml:space="preserve">所提供的服务各项指标符合或优于本次采购要求、国家标准、行业标准及规范。 </w:t>
      </w:r>
    </w:p>
    <w:p w14:paraId="363DB900">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w:t>
      </w:r>
      <w:r>
        <w:rPr>
          <w:rFonts w:hint="eastAsia" w:ascii="Times New Roman" w:hAnsi="Times New Roman" w:eastAsia="仿宋" w:cs="Times New Roman"/>
          <w:b w:val="0"/>
          <w:bCs/>
          <w:color w:val="auto"/>
          <w:sz w:val="28"/>
          <w:szCs w:val="28"/>
          <w:lang w:val="en-US" w:eastAsia="zh-CN"/>
        </w:rPr>
        <w:t>磋商供应商</w:t>
      </w:r>
      <w:r>
        <w:rPr>
          <w:rFonts w:hint="eastAsia" w:ascii="仿宋" w:hAnsi="仿宋" w:eastAsia="仿宋" w:cs="仿宋"/>
          <w:b w:val="0"/>
          <w:bCs w:val="0"/>
          <w:color w:val="auto"/>
          <w:kern w:val="0"/>
          <w:sz w:val="28"/>
          <w:szCs w:val="28"/>
          <w:highlight w:val="none"/>
          <w:lang w:val="en-US" w:eastAsia="zh-CN"/>
        </w:rPr>
        <w:t>必须按磋商文件各章节条款的内容和顺序逐项作出实质性应答。无论磋商文件如何表述，磋商小组欢迎</w:t>
      </w:r>
      <w:r>
        <w:rPr>
          <w:rFonts w:hint="eastAsia" w:ascii="Times New Roman" w:hAnsi="Times New Roman" w:eastAsia="仿宋" w:cs="Times New Roman"/>
          <w:b w:val="0"/>
          <w:bCs/>
          <w:color w:val="auto"/>
          <w:sz w:val="28"/>
          <w:szCs w:val="28"/>
          <w:lang w:val="en-US" w:eastAsia="zh-CN"/>
        </w:rPr>
        <w:t>磋商供应商</w:t>
      </w:r>
      <w:r>
        <w:rPr>
          <w:rFonts w:hint="eastAsia" w:ascii="仿宋" w:hAnsi="仿宋" w:eastAsia="仿宋" w:cs="仿宋"/>
          <w:b w:val="0"/>
          <w:bCs w:val="0"/>
          <w:color w:val="auto"/>
          <w:kern w:val="0"/>
          <w:sz w:val="28"/>
          <w:szCs w:val="28"/>
          <w:highlight w:val="none"/>
          <w:lang w:val="en-US" w:eastAsia="zh-CN"/>
        </w:rPr>
        <w:t>尽可能用数据响应服务要求。所提供的服务要求与所规定要求的任何偏离都必须逐条列入磋商响应文件中的服务偏离表中，任何不按此要求的磋商响应文件将承担被拒绝接受的风险。成交后，成交供人在合同谈判中的任何偏离都不得超越此偏离表中已被采购人确认的条款。</w:t>
      </w:r>
    </w:p>
    <w:p w14:paraId="37E058BC">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3、磋商供应商应为本项目配备一支有能力的服务团队，人员要求应满足磋商文件中规定的各岗位人员最低要求。</w:t>
      </w:r>
    </w:p>
    <w:p w14:paraId="17685959">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4、磋商供应商需在磋商响应文件中提供本项目所需要的物料配备清单，内容包含但不限于：物业工具（设备）和办公设备、工装和劳保消耗品。</w:t>
      </w:r>
    </w:p>
    <w:p w14:paraId="0CF2257F">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5、磋商供应商需在磋商响应文件中制定针对本项目的相关服务文件、应急预案及相关保障措施等。</w:t>
      </w:r>
    </w:p>
    <w:p w14:paraId="240D883F">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9.实质性条款要求（</w:t>
      </w:r>
      <w:r>
        <w:rPr>
          <w:rFonts w:hint="eastAsia" w:ascii="仿宋" w:hAnsi="仿宋" w:eastAsia="仿宋" w:cs="仿宋"/>
          <w:b/>
          <w:bCs/>
          <w:color w:val="auto"/>
          <w:kern w:val="0"/>
          <w:sz w:val="28"/>
          <w:szCs w:val="28"/>
          <w:highlight w:val="none"/>
          <w:lang w:val="zh-CN" w:eastAsia="zh-CN"/>
        </w:rPr>
        <w:t>加“★”部分为实质性要求，必须满足，</w:t>
      </w:r>
      <w:r>
        <w:rPr>
          <w:rFonts w:hint="eastAsia" w:ascii="仿宋" w:hAnsi="仿宋" w:eastAsia="仿宋" w:cs="仿宋"/>
          <w:b/>
          <w:bCs/>
          <w:color w:val="auto"/>
          <w:kern w:val="0"/>
          <w:sz w:val="28"/>
          <w:szCs w:val="28"/>
          <w:highlight w:val="none"/>
          <w:lang w:val="en-US" w:eastAsia="zh-CN"/>
        </w:rPr>
        <w:t>以下条款须提供承诺函，未提供或缺漏项视为无效响应）</w:t>
      </w:r>
      <w:r>
        <w:rPr>
          <w:rFonts w:hint="eastAsia" w:ascii="仿宋" w:hAnsi="仿宋" w:eastAsia="仿宋" w:cs="仿宋"/>
          <w:b w:val="0"/>
          <w:bCs w:val="0"/>
          <w:color w:val="auto"/>
          <w:kern w:val="0"/>
          <w:sz w:val="28"/>
          <w:szCs w:val="28"/>
          <w:highlight w:val="none"/>
          <w:lang w:val="en-US" w:eastAsia="zh-CN"/>
        </w:rPr>
        <w:t xml:space="preserve"> </w:t>
      </w:r>
    </w:p>
    <w:p w14:paraId="269C4BF4">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★（一）供应商须承诺：拟派服务人员完全满足磋商文件人数（24人）要求。</w:t>
      </w:r>
    </w:p>
    <w:p w14:paraId="6A9AB696">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★（二）供应商须承诺：拟派项目经理不得同时兼任其他项目的管理岗位，且不得随意更换，如需更换则需经过采购人同意。</w:t>
      </w:r>
    </w:p>
    <w:p w14:paraId="327CF0D8">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★（三）供应商须承诺：拟派保安人员（安防队长、</w:t>
      </w:r>
      <w:r>
        <w:rPr>
          <w:rFonts w:hint="eastAsia" w:cs="Calibri"/>
          <w:bCs/>
          <w:color w:val="auto"/>
          <w:szCs w:val="21"/>
          <w:highlight w:val="none"/>
          <w:lang w:val="en-US" w:eastAsia="zh-CN"/>
        </w:rPr>
        <w:t>安防队员、</w:t>
      </w:r>
      <w:r>
        <w:rPr>
          <w:rFonts w:hint="eastAsia" w:ascii="仿宋" w:hAnsi="仿宋" w:eastAsia="仿宋" w:cs="仿宋"/>
          <w:b w:val="0"/>
          <w:bCs w:val="0"/>
          <w:color w:val="auto"/>
          <w:kern w:val="0"/>
          <w:sz w:val="28"/>
          <w:szCs w:val="28"/>
          <w:highlight w:val="none"/>
          <w:lang w:val="en-US" w:eastAsia="zh-CN"/>
        </w:rPr>
        <w:t>）均持有保安员证（共12人）并且承诺自承接本项目之日起 30 日内向采购人所在地设区的市级人民政府公安机关备案。</w:t>
      </w:r>
    </w:p>
    <w:p w14:paraId="6EAA7738">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★（四）供应商须承诺：水电工（1人）持有特种作业操作证（低压电工证）。</w:t>
      </w:r>
    </w:p>
    <w:p w14:paraId="5460CD46">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bCs/>
          <w:sz w:val="28"/>
          <w:szCs w:val="28"/>
          <w:lang w:eastAsia="zh-CN"/>
        </w:rPr>
      </w:pPr>
      <w:r>
        <w:rPr>
          <w:rFonts w:hint="eastAsia" w:ascii="仿宋" w:hAnsi="仿宋" w:eastAsia="仿宋" w:cs="仿宋"/>
          <w:b w:val="0"/>
          <w:bCs w:val="0"/>
          <w:color w:val="auto"/>
          <w:kern w:val="0"/>
          <w:sz w:val="28"/>
          <w:szCs w:val="28"/>
          <w:highlight w:val="none"/>
          <w:lang w:val="en-US" w:eastAsia="zh-CN"/>
        </w:rPr>
        <w:t>★（五）供应商须承诺：拟派所有人员均持有卫生部门颁发的健康证明或体检报告。</w:t>
      </w:r>
    </w:p>
    <w:p w14:paraId="46E1BC0C">
      <w:pPr>
        <w:widowControl w:val="0"/>
        <w:spacing w:line="360" w:lineRule="auto"/>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永兴街道便民服务中心</w:t>
      </w:r>
      <w:r>
        <w:rPr>
          <w:rFonts w:hint="eastAsia" w:ascii="仿宋" w:hAnsi="仿宋" w:eastAsia="仿宋" w:cs="仿宋"/>
          <w:b/>
          <w:bCs/>
          <w:sz w:val="28"/>
          <w:szCs w:val="28"/>
          <w:lang w:eastAsia="zh-CN"/>
        </w:rPr>
        <w:t>管理</w:t>
      </w:r>
      <w:r>
        <w:rPr>
          <w:rFonts w:hint="eastAsia" w:ascii="仿宋" w:hAnsi="仿宋" w:eastAsia="仿宋" w:cs="仿宋"/>
          <w:b/>
          <w:bCs/>
          <w:sz w:val="28"/>
          <w:szCs w:val="28"/>
        </w:rPr>
        <w:t>费用明细</w:t>
      </w:r>
      <w:r>
        <w:rPr>
          <w:rFonts w:hint="eastAsia" w:ascii="仿宋" w:hAnsi="仿宋" w:eastAsia="仿宋" w:cs="仿宋"/>
          <w:b/>
          <w:bCs/>
          <w:sz w:val="28"/>
          <w:szCs w:val="28"/>
          <w:lang w:val="en-US" w:eastAsia="zh-CN"/>
        </w:rPr>
        <w:t>表</w:t>
      </w:r>
    </w:p>
    <w:p w14:paraId="2A12EF3D">
      <w:pPr>
        <w:widowControl w:val="0"/>
        <w:spacing w:line="360" w:lineRule="auto"/>
        <w:jc w:val="both"/>
        <w:rPr>
          <w:rFonts w:hint="default" w:ascii="仿宋" w:hAnsi="仿宋" w:eastAsia="仿宋" w:cs="仿宋"/>
          <w:b/>
          <w:bCs/>
          <w:sz w:val="28"/>
          <w:szCs w:val="28"/>
          <w:lang w:val="en-US" w:eastAsia="zh-CN"/>
        </w:rPr>
      </w:pPr>
      <w:r>
        <w:rPr>
          <w:rFonts w:hint="eastAsia" w:ascii="仿宋" w:hAnsi="仿宋" w:eastAsia="仿宋" w:cs="仿宋"/>
          <w:color w:val="000000"/>
          <w:sz w:val="28"/>
          <w:szCs w:val="28"/>
          <w:lang w:val="en-US" w:eastAsia="zh-CN"/>
        </w:rPr>
        <w:t>1、永兴街道便民服务中心</w:t>
      </w:r>
    </w:p>
    <w:tbl>
      <w:tblPr>
        <w:tblStyle w:val="6"/>
        <w:tblW w:w="5005" w:type="pct"/>
        <w:tblInd w:w="0" w:type="dxa"/>
        <w:tblLayout w:type="fixed"/>
        <w:tblCellMar>
          <w:top w:w="0" w:type="dxa"/>
          <w:left w:w="108" w:type="dxa"/>
          <w:bottom w:w="0" w:type="dxa"/>
          <w:right w:w="108" w:type="dxa"/>
        </w:tblCellMar>
      </w:tblPr>
      <w:tblGrid>
        <w:gridCol w:w="531"/>
        <w:gridCol w:w="1461"/>
        <w:gridCol w:w="2083"/>
        <w:gridCol w:w="1086"/>
        <w:gridCol w:w="1502"/>
        <w:gridCol w:w="1070"/>
        <w:gridCol w:w="797"/>
      </w:tblGrid>
      <w:tr w14:paraId="32A21BE3">
        <w:tblPrEx>
          <w:tblCellMar>
            <w:top w:w="0" w:type="dxa"/>
            <w:left w:w="108" w:type="dxa"/>
            <w:bottom w:w="0" w:type="dxa"/>
            <w:right w:w="108" w:type="dxa"/>
          </w:tblCellMar>
        </w:tblPrEx>
        <w:trPr>
          <w:trHeight w:val="349" w:hRule="atLeast"/>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5D325973">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序号</w:t>
            </w:r>
          </w:p>
        </w:tc>
        <w:tc>
          <w:tcPr>
            <w:tcW w:w="2077" w:type="pct"/>
            <w:gridSpan w:val="2"/>
            <w:tcBorders>
              <w:top w:val="single" w:color="000000" w:sz="4" w:space="0"/>
              <w:left w:val="single" w:color="000000" w:sz="4" w:space="0"/>
              <w:bottom w:val="single" w:color="000000" w:sz="4" w:space="0"/>
              <w:right w:val="single" w:color="000000" w:sz="4" w:space="0"/>
            </w:tcBorders>
            <w:noWrap w:val="0"/>
            <w:vAlign w:val="center"/>
          </w:tcPr>
          <w:p w14:paraId="18027F49">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报价项目</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05E71053">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人数</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4E850311">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工资标准（含</w:t>
            </w:r>
            <w:r>
              <w:rPr>
                <w:rFonts w:hint="eastAsia" w:ascii="仿宋" w:hAnsi="仿宋" w:eastAsia="仿宋" w:cs="仿宋"/>
                <w:b/>
                <w:bCs/>
                <w:color w:val="000000"/>
                <w:kern w:val="0"/>
                <w:sz w:val="28"/>
                <w:szCs w:val="28"/>
                <w:lang w:val="en-US" w:eastAsia="zh-CN" w:bidi="ar"/>
              </w:rPr>
              <w:t>保</w:t>
            </w:r>
            <w:r>
              <w:rPr>
                <w:rFonts w:hint="eastAsia" w:ascii="仿宋" w:hAnsi="仿宋" w:eastAsia="仿宋" w:cs="仿宋"/>
                <w:b/>
                <w:bCs/>
                <w:color w:val="000000"/>
                <w:kern w:val="0"/>
                <w:sz w:val="28"/>
                <w:szCs w:val="28"/>
                <w:lang w:bidi="ar"/>
              </w:rPr>
              <w:t>险）</w:t>
            </w: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2069C3EB">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CA110E2">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备注</w:t>
            </w:r>
          </w:p>
        </w:tc>
      </w:tr>
      <w:tr w14:paraId="481DD449">
        <w:tblPrEx>
          <w:tblCellMar>
            <w:top w:w="0" w:type="dxa"/>
            <w:left w:w="108" w:type="dxa"/>
            <w:bottom w:w="0" w:type="dxa"/>
            <w:right w:w="108" w:type="dxa"/>
          </w:tblCellMar>
        </w:tblPrEx>
        <w:trPr>
          <w:trHeight w:val="269"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2EB842D3">
            <w:pPr>
              <w:widowControl/>
              <w:spacing w:line="240" w:lineRule="auto"/>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856" w:type="pct"/>
            <w:vMerge w:val="restart"/>
            <w:tcBorders>
              <w:top w:val="single" w:color="000000" w:sz="4" w:space="0"/>
              <w:left w:val="single" w:color="000000" w:sz="4" w:space="0"/>
              <w:right w:val="single" w:color="000000" w:sz="4" w:space="0"/>
            </w:tcBorders>
            <w:noWrap/>
            <w:vAlign w:val="center"/>
          </w:tcPr>
          <w:p w14:paraId="6DF0541E">
            <w:pPr>
              <w:widowControl w:val="0"/>
              <w:spacing w:line="360" w:lineRule="auto"/>
              <w:jc w:val="both"/>
              <w:rPr>
                <w:rFonts w:hint="default" w:ascii="仿宋" w:hAnsi="仿宋" w:eastAsia="仿宋" w:cs="仿宋"/>
                <w:b/>
                <w:bCs/>
                <w:sz w:val="28"/>
                <w:szCs w:val="28"/>
                <w:lang w:val="en-US" w:eastAsia="zh-CN"/>
              </w:rPr>
            </w:pPr>
            <w:r>
              <w:rPr>
                <w:rFonts w:hint="eastAsia" w:ascii="仿宋" w:hAnsi="仿宋" w:eastAsia="仿宋" w:cs="仿宋"/>
                <w:color w:val="000000"/>
                <w:sz w:val="28"/>
                <w:szCs w:val="28"/>
                <w:lang w:val="en-US" w:eastAsia="zh-CN"/>
              </w:rPr>
              <w:t>永兴街道便民服务中心</w:t>
            </w:r>
          </w:p>
          <w:p w14:paraId="4F8BE368">
            <w:pPr>
              <w:widowControl/>
              <w:spacing w:line="240" w:lineRule="auto"/>
              <w:jc w:val="center"/>
              <w:textAlignment w:val="center"/>
              <w:rPr>
                <w:rFonts w:hint="default" w:ascii="仿宋" w:hAnsi="仿宋" w:eastAsia="仿宋" w:cs="仿宋"/>
                <w:color w:val="000000"/>
                <w:sz w:val="28"/>
                <w:szCs w:val="28"/>
                <w:lang w:val="en-US" w:eastAsia="zh-CN"/>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19A3556E">
            <w:pPr>
              <w:pageBreakBefore w:val="0"/>
              <w:widowControl/>
              <w:kinsoku/>
              <w:wordWrap/>
              <w:overflowPunct/>
              <w:topLinePunct w:val="0"/>
              <w:bidi w:val="0"/>
              <w:snapToGrid w:val="0"/>
              <w:spacing w:line="300" w:lineRule="auto"/>
              <w:ind w:left="0" w:leftChars="0"/>
              <w:jc w:val="both"/>
              <w:rPr>
                <w:rFonts w:hint="eastAsia" w:ascii="仿宋" w:hAnsi="仿宋" w:eastAsia="仿宋" w:cs="仿宋"/>
                <w:color w:val="000000"/>
                <w:sz w:val="28"/>
                <w:szCs w:val="28"/>
                <w:lang w:eastAsia="zh-CN"/>
              </w:rPr>
            </w:pPr>
            <w:r>
              <w:rPr>
                <w:rFonts w:hint="eastAsia" w:ascii="仿宋" w:hAnsi="仿宋" w:eastAsia="仿宋" w:cs="仿宋"/>
                <w:bCs/>
                <w:color w:val="auto"/>
                <w:sz w:val="28"/>
                <w:szCs w:val="28"/>
                <w:highlight w:val="none"/>
              </w:rPr>
              <w:t>项目经理</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26E74D43">
            <w:pPr>
              <w:pageBreakBefore w:val="0"/>
              <w:widowControl/>
              <w:kinsoku/>
              <w:wordWrap/>
              <w:overflowPunct/>
              <w:topLinePunct w:val="0"/>
              <w:bidi w:val="0"/>
              <w:snapToGrid w:val="0"/>
              <w:spacing w:line="300" w:lineRule="auto"/>
              <w:ind w:left="0" w:leftChars="0"/>
              <w:jc w:val="center"/>
              <w:rPr>
                <w:rFonts w:hint="eastAsia" w:ascii="仿宋" w:hAnsi="仿宋" w:eastAsia="仿宋" w:cs="仿宋"/>
                <w:color w:val="000000"/>
                <w:sz w:val="28"/>
                <w:szCs w:val="28"/>
              </w:rPr>
            </w:pPr>
            <w:r>
              <w:rPr>
                <w:rFonts w:hint="eastAsia" w:ascii="仿宋" w:hAnsi="仿宋" w:eastAsia="仿宋" w:cs="仿宋"/>
                <w:bCs/>
                <w:color w:val="auto"/>
                <w:sz w:val="28"/>
                <w:szCs w:val="28"/>
                <w:highlight w:val="none"/>
              </w:rPr>
              <w:t>1</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0D759EAC">
            <w:pPr>
              <w:widowControl/>
              <w:spacing w:line="240" w:lineRule="auto"/>
              <w:jc w:val="center"/>
              <w:textAlignment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1AC52149">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3611C459">
            <w:pPr>
              <w:widowControl w:val="0"/>
              <w:spacing w:line="240" w:lineRule="auto"/>
              <w:jc w:val="center"/>
              <w:rPr>
                <w:rFonts w:hint="eastAsia" w:ascii="仿宋" w:hAnsi="仿宋" w:eastAsia="仿宋" w:cs="仿宋"/>
                <w:color w:val="000000"/>
                <w:sz w:val="28"/>
                <w:szCs w:val="28"/>
              </w:rPr>
            </w:pPr>
            <w:r>
              <w:rPr>
                <w:rFonts w:hint="eastAsia" w:ascii="楷体" w:hAnsi="楷体" w:eastAsia="楷体" w:cs="楷体"/>
                <w:bCs/>
                <w:color w:val="auto"/>
                <w:sz w:val="18"/>
                <w:szCs w:val="18"/>
                <w:highlight w:val="none"/>
                <w:lang w:val="en-US" w:eastAsia="zh-CN"/>
              </w:rPr>
              <w:t>两个独立服务点位共用一个项目经理</w:t>
            </w:r>
          </w:p>
        </w:tc>
      </w:tr>
      <w:tr w14:paraId="68B684B7">
        <w:tblPrEx>
          <w:tblCellMar>
            <w:top w:w="0" w:type="dxa"/>
            <w:left w:w="108" w:type="dxa"/>
            <w:bottom w:w="0" w:type="dxa"/>
            <w:right w:w="108" w:type="dxa"/>
          </w:tblCellMar>
        </w:tblPrEx>
        <w:trPr>
          <w:trHeight w:val="297"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65FE6E8B">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w:t>
            </w:r>
          </w:p>
        </w:tc>
        <w:tc>
          <w:tcPr>
            <w:tcW w:w="856" w:type="pct"/>
            <w:vMerge w:val="continue"/>
            <w:tcBorders>
              <w:left w:val="single" w:color="000000" w:sz="4" w:space="0"/>
              <w:right w:val="single" w:color="000000" w:sz="4" w:space="0"/>
            </w:tcBorders>
            <w:noWrap/>
            <w:vAlign w:val="center"/>
          </w:tcPr>
          <w:p w14:paraId="4FBA7A2C">
            <w:pPr>
              <w:widowControl w:val="0"/>
              <w:spacing w:line="240" w:lineRule="auto"/>
              <w:jc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2981E6F5">
            <w:pPr>
              <w:pageBreakBefore w:val="0"/>
              <w:widowControl/>
              <w:kinsoku/>
              <w:wordWrap/>
              <w:overflowPunct/>
              <w:topLinePunct w:val="0"/>
              <w:bidi w:val="0"/>
              <w:snapToGrid w:val="0"/>
              <w:spacing w:line="300" w:lineRule="auto"/>
              <w:ind w:left="0" w:leftChars="0"/>
              <w:jc w:val="both"/>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保洁主管</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516C275A">
            <w:pPr>
              <w:pageBreakBefore w:val="0"/>
              <w:widowControl/>
              <w:kinsoku/>
              <w:wordWrap/>
              <w:overflowPunct/>
              <w:topLinePunct w:val="0"/>
              <w:bidi w:val="0"/>
              <w:snapToGrid w:val="0"/>
              <w:spacing w:line="300" w:lineRule="auto"/>
              <w:ind w:left="0" w:leftChars="0"/>
              <w:jc w:val="center"/>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0</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307085D3">
            <w:pPr>
              <w:widowControl/>
              <w:spacing w:line="240" w:lineRule="auto"/>
              <w:jc w:val="center"/>
              <w:textAlignment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197ED973">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21BAC030">
            <w:pPr>
              <w:widowControl w:val="0"/>
              <w:spacing w:line="240" w:lineRule="auto"/>
              <w:jc w:val="center"/>
              <w:rPr>
                <w:rFonts w:hint="eastAsia" w:ascii="仿宋" w:hAnsi="仿宋" w:eastAsia="仿宋" w:cs="仿宋"/>
                <w:color w:val="000000"/>
                <w:sz w:val="28"/>
                <w:szCs w:val="28"/>
              </w:rPr>
            </w:pPr>
          </w:p>
        </w:tc>
      </w:tr>
      <w:tr w14:paraId="1CA95226">
        <w:tblPrEx>
          <w:tblCellMar>
            <w:top w:w="0" w:type="dxa"/>
            <w:left w:w="108" w:type="dxa"/>
            <w:bottom w:w="0" w:type="dxa"/>
            <w:right w:w="108" w:type="dxa"/>
          </w:tblCellMar>
        </w:tblPrEx>
        <w:trPr>
          <w:trHeight w:val="253"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1F3DF24B">
            <w:pPr>
              <w:widowControl/>
              <w:spacing w:line="240" w:lineRule="auto"/>
              <w:jc w:val="center"/>
              <w:textAlignment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3</w:t>
            </w:r>
          </w:p>
        </w:tc>
        <w:tc>
          <w:tcPr>
            <w:tcW w:w="856" w:type="pct"/>
            <w:vMerge w:val="continue"/>
            <w:tcBorders>
              <w:left w:val="single" w:color="000000" w:sz="4" w:space="0"/>
              <w:right w:val="single" w:color="000000" w:sz="4" w:space="0"/>
            </w:tcBorders>
            <w:noWrap/>
            <w:vAlign w:val="center"/>
          </w:tcPr>
          <w:p w14:paraId="3AB9CC05">
            <w:pPr>
              <w:widowControl w:val="0"/>
              <w:spacing w:line="240" w:lineRule="auto"/>
              <w:jc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48FF412D">
            <w:pPr>
              <w:pageBreakBefore w:val="0"/>
              <w:widowControl/>
              <w:kinsoku/>
              <w:wordWrap/>
              <w:overflowPunct/>
              <w:topLinePunct w:val="0"/>
              <w:bidi w:val="0"/>
              <w:snapToGrid w:val="0"/>
              <w:spacing w:line="300" w:lineRule="auto"/>
              <w:ind w:left="0" w:leftChars="0"/>
              <w:jc w:val="both"/>
              <w:rPr>
                <w:rFonts w:hint="eastAsia" w:ascii="仿宋" w:hAnsi="仿宋" w:eastAsia="仿宋" w:cs="仿宋"/>
                <w:color w:val="000000"/>
                <w:kern w:val="2"/>
                <w:sz w:val="28"/>
                <w:szCs w:val="28"/>
                <w:lang w:val="en-US" w:eastAsia="zh-CN" w:bidi="ar-SA"/>
              </w:rPr>
            </w:pPr>
            <w:r>
              <w:rPr>
                <w:rFonts w:hint="eastAsia" w:ascii="仿宋" w:hAnsi="仿宋" w:eastAsia="仿宋" w:cs="仿宋"/>
                <w:bCs/>
                <w:color w:val="auto"/>
                <w:sz w:val="28"/>
                <w:szCs w:val="28"/>
                <w:highlight w:val="none"/>
              </w:rPr>
              <w:t>保洁员</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5E2B7A02">
            <w:pPr>
              <w:pageBreakBefore w:val="0"/>
              <w:widowControl/>
              <w:kinsoku/>
              <w:wordWrap/>
              <w:overflowPunct/>
              <w:topLinePunct w:val="0"/>
              <w:bidi w:val="0"/>
              <w:snapToGrid w:val="0"/>
              <w:spacing w:line="300" w:lineRule="auto"/>
              <w:ind w:left="0" w:leftChars="0"/>
              <w:jc w:val="center"/>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7</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5C21D50B">
            <w:pPr>
              <w:widowControl/>
              <w:spacing w:line="240" w:lineRule="auto"/>
              <w:jc w:val="center"/>
              <w:textAlignment w:val="center"/>
              <w:rPr>
                <w:rFonts w:hint="eastAsia" w:ascii="仿宋" w:hAnsi="仿宋" w:eastAsia="仿宋" w:cs="仿宋"/>
                <w:color w:val="000000"/>
                <w:kern w:val="0"/>
                <w:sz w:val="28"/>
                <w:szCs w:val="28"/>
                <w:lang w:bidi="ar"/>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11092B77">
            <w:pPr>
              <w:widowControl/>
              <w:spacing w:line="240" w:lineRule="auto"/>
              <w:jc w:val="center"/>
              <w:textAlignment w:val="center"/>
              <w:rPr>
                <w:rFonts w:hint="eastAsia" w:ascii="仿宋" w:hAnsi="仿宋" w:eastAsia="仿宋" w:cs="仿宋"/>
                <w:color w:val="000000"/>
                <w:kern w:val="0"/>
                <w:sz w:val="28"/>
                <w:szCs w:val="28"/>
                <w:lang w:bidi="ar"/>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08071C49">
            <w:pPr>
              <w:widowControl w:val="0"/>
              <w:spacing w:line="240" w:lineRule="auto"/>
              <w:jc w:val="center"/>
              <w:rPr>
                <w:rFonts w:hint="default" w:ascii="仿宋" w:hAnsi="仿宋" w:eastAsia="仿宋" w:cs="仿宋"/>
                <w:color w:val="000000"/>
                <w:sz w:val="28"/>
                <w:szCs w:val="28"/>
                <w:lang w:val="en-US" w:eastAsia="zh-CN"/>
              </w:rPr>
            </w:pPr>
            <w:r>
              <w:rPr>
                <w:rFonts w:hint="eastAsia" w:ascii="仿宋" w:hAnsi="仿宋" w:eastAsia="仿宋" w:cs="仿宋"/>
                <w:color w:val="000000"/>
                <w:kern w:val="2"/>
                <w:sz w:val="18"/>
                <w:szCs w:val="18"/>
                <w:lang w:val="en-US" w:eastAsia="zh-CN" w:bidi="ar-SA"/>
              </w:rPr>
              <w:t>8小时上班制</w:t>
            </w:r>
          </w:p>
        </w:tc>
      </w:tr>
      <w:tr w14:paraId="4C749E61">
        <w:tblPrEx>
          <w:tblCellMar>
            <w:top w:w="0" w:type="dxa"/>
            <w:left w:w="108" w:type="dxa"/>
            <w:bottom w:w="0" w:type="dxa"/>
            <w:right w:w="108" w:type="dxa"/>
          </w:tblCellMar>
        </w:tblPrEx>
        <w:trPr>
          <w:trHeight w:val="245"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248BB269">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4</w:t>
            </w:r>
          </w:p>
        </w:tc>
        <w:tc>
          <w:tcPr>
            <w:tcW w:w="856" w:type="pct"/>
            <w:vMerge w:val="continue"/>
            <w:tcBorders>
              <w:left w:val="single" w:color="000000" w:sz="4" w:space="0"/>
              <w:right w:val="single" w:color="000000" w:sz="4" w:space="0"/>
            </w:tcBorders>
            <w:noWrap/>
            <w:vAlign w:val="center"/>
          </w:tcPr>
          <w:p w14:paraId="2AA83B71">
            <w:pPr>
              <w:widowControl w:val="0"/>
              <w:spacing w:line="240" w:lineRule="auto"/>
              <w:jc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2DF70524">
            <w:pPr>
              <w:pageBreakBefore w:val="0"/>
              <w:widowControl/>
              <w:kinsoku/>
              <w:wordWrap/>
              <w:overflowPunct/>
              <w:topLinePunct w:val="0"/>
              <w:bidi w:val="0"/>
              <w:snapToGrid w:val="0"/>
              <w:spacing w:line="300" w:lineRule="auto"/>
              <w:ind w:left="0" w:leftChars="0"/>
              <w:jc w:val="both"/>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监控员</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51B9F768">
            <w:pPr>
              <w:pageBreakBefore w:val="0"/>
              <w:widowControl/>
              <w:kinsoku/>
              <w:wordWrap/>
              <w:overflowPunct/>
              <w:topLinePunct w:val="0"/>
              <w:bidi w:val="0"/>
              <w:snapToGrid w:val="0"/>
              <w:spacing w:line="300" w:lineRule="auto"/>
              <w:ind w:left="0" w:leftChars="0"/>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bCs/>
                <w:color w:val="auto"/>
                <w:sz w:val="28"/>
                <w:szCs w:val="28"/>
                <w:highlight w:val="none"/>
                <w:lang w:val="en-US" w:eastAsia="zh-CN"/>
              </w:rPr>
              <w:t>0</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0E9CB8E1">
            <w:pPr>
              <w:keepNext w:val="0"/>
              <w:keepLines w:val="0"/>
              <w:widowControl/>
              <w:suppressLineNumbers w:val="0"/>
              <w:jc w:val="center"/>
              <w:textAlignment w:val="center"/>
              <w:rPr>
                <w:rFonts w:hint="eastAsia" w:ascii="仿宋" w:hAnsi="仿宋" w:eastAsia="仿宋" w:cs="仿宋"/>
                <w:color w:val="000000"/>
                <w:kern w:val="2"/>
                <w:sz w:val="28"/>
                <w:szCs w:val="28"/>
                <w:lang w:val="en-US" w:eastAsia="zh-CN" w:bidi="ar-SA"/>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2CE17343">
            <w:pPr>
              <w:keepNext w:val="0"/>
              <w:keepLines w:val="0"/>
              <w:widowControl/>
              <w:suppressLineNumbers w:val="0"/>
              <w:jc w:val="center"/>
              <w:textAlignment w:val="center"/>
              <w:rPr>
                <w:rFonts w:hint="eastAsia" w:ascii="仿宋" w:hAnsi="仿宋" w:eastAsia="仿宋" w:cs="仿宋"/>
                <w:color w:val="000000"/>
                <w:kern w:val="2"/>
                <w:sz w:val="28"/>
                <w:szCs w:val="28"/>
                <w:lang w:val="en-US" w:eastAsia="zh-CN" w:bidi="ar-SA"/>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25F19A4F">
            <w:pPr>
              <w:widowControl w:val="0"/>
              <w:spacing w:line="240" w:lineRule="auto"/>
              <w:jc w:val="center"/>
              <w:rPr>
                <w:rFonts w:hint="eastAsia" w:ascii="仿宋" w:hAnsi="仿宋" w:eastAsia="仿宋" w:cs="仿宋"/>
                <w:color w:val="000000"/>
                <w:sz w:val="28"/>
                <w:szCs w:val="28"/>
              </w:rPr>
            </w:pPr>
          </w:p>
        </w:tc>
      </w:tr>
      <w:tr w14:paraId="2CD92034">
        <w:tblPrEx>
          <w:tblCellMar>
            <w:top w:w="0" w:type="dxa"/>
            <w:left w:w="108" w:type="dxa"/>
            <w:bottom w:w="0" w:type="dxa"/>
            <w:right w:w="108" w:type="dxa"/>
          </w:tblCellMar>
        </w:tblPrEx>
        <w:trPr>
          <w:trHeight w:val="214"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070A825F">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5</w:t>
            </w:r>
          </w:p>
        </w:tc>
        <w:tc>
          <w:tcPr>
            <w:tcW w:w="856" w:type="pct"/>
            <w:vMerge w:val="continue"/>
            <w:tcBorders>
              <w:left w:val="single" w:color="000000" w:sz="4" w:space="0"/>
              <w:right w:val="single" w:color="000000" w:sz="4" w:space="0"/>
            </w:tcBorders>
            <w:noWrap/>
            <w:vAlign w:val="center"/>
          </w:tcPr>
          <w:p w14:paraId="59FC8336">
            <w:pPr>
              <w:widowControl w:val="0"/>
              <w:spacing w:line="240" w:lineRule="auto"/>
              <w:jc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44633348">
            <w:pPr>
              <w:pageBreakBefore w:val="0"/>
              <w:widowControl/>
              <w:kinsoku/>
              <w:wordWrap/>
              <w:overflowPunct/>
              <w:topLinePunct w:val="0"/>
              <w:bidi w:val="0"/>
              <w:snapToGrid w:val="0"/>
              <w:spacing w:line="300" w:lineRule="auto"/>
              <w:ind w:left="0" w:leftChars="0"/>
              <w:jc w:val="both"/>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安防队员</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7AD2431F">
            <w:pPr>
              <w:pageBreakBefore w:val="0"/>
              <w:widowControl/>
              <w:kinsoku/>
              <w:wordWrap/>
              <w:overflowPunct/>
              <w:topLinePunct w:val="0"/>
              <w:bidi w:val="0"/>
              <w:snapToGrid w:val="0"/>
              <w:spacing w:line="300" w:lineRule="auto"/>
              <w:ind w:left="0" w:leftChars="0"/>
              <w:jc w:val="center"/>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9</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201AF235">
            <w:pPr>
              <w:widowControl/>
              <w:spacing w:line="240" w:lineRule="auto"/>
              <w:jc w:val="center"/>
              <w:textAlignment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667BB3C2">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32E437D3">
            <w:pPr>
              <w:widowControl w:val="0"/>
              <w:spacing w:line="240" w:lineRule="auto"/>
              <w:jc w:val="center"/>
              <w:rPr>
                <w:rFonts w:hint="eastAsia" w:ascii="仿宋" w:hAnsi="仿宋" w:eastAsia="仿宋" w:cs="仿宋"/>
                <w:color w:val="000000"/>
                <w:sz w:val="28"/>
                <w:szCs w:val="28"/>
              </w:rPr>
            </w:pPr>
            <w:r>
              <w:rPr>
                <w:rFonts w:hint="eastAsia" w:ascii="仿宋" w:hAnsi="仿宋" w:eastAsia="仿宋" w:cs="仿宋"/>
                <w:color w:val="000000"/>
                <w:kern w:val="2"/>
                <w:sz w:val="18"/>
                <w:szCs w:val="18"/>
                <w:lang w:val="en-US" w:eastAsia="zh-CN" w:bidi="ar-SA"/>
              </w:rPr>
              <w:t>3人为1班，8小时三倒班</w:t>
            </w:r>
          </w:p>
        </w:tc>
      </w:tr>
      <w:tr w14:paraId="53CED8E2">
        <w:tblPrEx>
          <w:tblCellMar>
            <w:top w:w="0" w:type="dxa"/>
            <w:left w:w="108" w:type="dxa"/>
            <w:bottom w:w="0" w:type="dxa"/>
            <w:right w:w="108" w:type="dxa"/>
          </w:tblCellMar>
        </w:tblPrEx>
        <w:trPr>
          <w:trHeight w:val="283"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119CB41E">
            <w:pPr>
              <w:widowControl/>
              <w:spacing w:line="240" w:lineRule="auto"/>
              <w:jc w:val="center"/>
              <w:textAlignment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6</w:t>
            </w:r>
          </w:p>
        </w:tc>
        <w:tc>
          <w:tcPr>
            <w:tcW w:w="856" w:type="pct"/>
            <w:vMerge w:val="continue"/>
            <w:tcBorders>
              <w:left w:val="single" w:color="000000" w:sz="4" w:space="0"/>
              <w:right w:val="single" w:color="000000" w:sz="4" w:space="0"/>
            </w:tcBorders>
            <w:noWrap/>
            <w:vAlign w:val="center"/>
          </w:tcPr>
          <w:p w14:paraId="4F740DDC">
            <w:pPr>
              <w:widowControl/>
              <w:spacing w:line="240" w:lineRule="auto"/>
              <w:jc w:val="center"/>
              <w:textAlignment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56432D5F">
            <w:pPr>
              <w:pageBreakBefore w:val="0"/>
              <w:widowControl/>
              <w:kinsoku/>
              <w:wordWrap/>
              <w:overflowPunct/>
              <w:topLinePunct w:val="0"/>
              <w:bidi w:val="0"/>
              <w:snapToGrid w:val="0"/>
              <w:spacing w:line="300" w:lineRule="auto"/>
              <w:ind w:left="0" w:leftChars="0"/>
              <w:jc w:val="both"/>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会议服务</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7B9A96FE">
            <w:pPr>
              <w:pageBreakBefore w:val="0"/>
              <w:widowControl/>
              <w:kinsoku/>
              <w:wordWrap/>
              <w:overflowPunct/>
              <w:topLinePunct w:val="0"/>
              <w:bidi w:val="0"/>
              <w:snapToGrid w:val="0"/>
              <w:spacing w:line="300" w:lineRule="auto"/>
              <w:ind w:left="0" w:leftChars="0"/>
              <w:jc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6DF76A22">
            <w:pPr>
              <w:widowControl w:val="0"/>
              <w:spacing w:line="240" w:lineRule="auto"/>
              <w:jc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19897B8E">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12DCDF0A">
            <w:pPr>
              <w:widowControl w:val="0"/>
              <w:spacing w:line="240" w:lineRule="auto"/>
              <w:jc w:val="center"/>
              <w:rPr>
                <w:rFonts w:hint="eastAsia" w:ascii="仿宋" w:hAnsi="仿宋" w:eastAsia="仿宋" w:cs="仿宋"/>
                <w:color w:val="000000"/>
                <w:sz w:val="28"/>
                <w:szCs w:val="28"/>
              </w:rPr>
            </w:pPr>
          </w:p>
        </w:tc>
      </w:tr>
      <w:tr w14:paraId="79D283A6">
        <w:tblPrEx>
          <w:tblCellMar>
            <w:top w:w="0" w:type="dxa"/>
            <w:left w:w="108" w:type="dxa"/>
            <w:bottom w:w="0" w:type="dxa"/>
            <w:right w:w="108" w:type="dxa"/>
          </w:tblCellMar>
        </w:tblPrEx>
        <w:trPr>
          <w:trHeight w:val="283"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10FF6907">
            <w:pPr>
              <w:widowControl/>
              <w:spacing w:line="240" w:lineRule="auto"/>
              <w:jc w:val="center"/>
              <w:textAlignment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7</w:t>
            </w:r>
          </w:p>
        </w:tc>
        <w:tc>
          <w:tcPr>
            <w:tcW w:w="856" w:type="pct"/>
            <w:vMerge w:val="continue"/>
            <w:tcBorders>
              <w:left w:val="single" w:color="000000" w:sz="4" w:space="0"/>
              <w:right w:val="single" w:color="000000" w:sz="4" w:space="0"/>
            </w:tcBorders>
            <w:noWrap/>
            <w:vAlign w:val="center"/>
          </w:tcPr>
          <w:p w14:paraId="015B75E5">
            <w:pPr>
              <w:widowControl/>
              <w:spacing w:line="240" w:lineRule="auto"/>
              <w:jc w:val="center"/>
              <w:textAlignment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687505C0">
            <w:pPr>
              <w:pageBreakBefore w:val="0"/>
              <w:widowControl/>
              <w:kinsoku/>
              <w:wordWrap/>
              <w:overflowPunct/>
              <w:topLinePunct w:val="0"/>
              <w:bidi w:val="0"/>
              <w:snapToGrid w:val="0"/>
              <w:spacing w:line="300" w:lineRule="auto"/>
              <w:ind w:left="0" w:leftChars="0"/>
              <w:jc w:val="both"/>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水电工</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31E7AD65">
            <w:pPr>
              <w:pageBreakBefore w:val="0"/>
              <w:widowControl/>
              <w:kinsoku/>
              <w:wordWrap/>
              <w:overflowPunct/>
              <w:topLinePunct w:val="0"/>
              <w:bidi w:val="0"/>
              <w:snapToGrid w:val="0"/>
              <w:spacing w:line="300" w:lineRule="auto"/>
              <w:ind w:left="0" w:leftChars="0"/>
              <w:jc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Cs/>
                <w:color w:val="auto"/>
                <w:kern w:val="2"/>
                <w:sz w:val="28"/>
                <w:szCs w:val="28"/>
                <w:highlight w:val="none"/>
                <w:lang w:val="en-US" w:eastAsia="zh-CN" w:bidi="ar-SA"/>
              </w:rPr>
              <w:t>1</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5963AEDE">
            <w:pPr>
              <w:widowControl w:val="0"/>
              <w:spacing w:line="240" w:lineRule="auto"/>
              <w:jc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3796CE3C">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10011D44">
            <w:pPr>
              <w:widowControl w:val="0"/>
              <w:spacing w:line="240" w:lineRule="auto"/>
              <w:jc w:val="center"/>
              <w:rPr>
                <w:rFonts w:hint="eastAsia" w:ascii="仿宋" w:hAnsi="仿宋" w:eastAsia="仿宋" w:cs="仿宋"/>
                <w:color w:val="000000"/>
                <w:sz w:val="28"/>
                <w:szCs w:val="28"/>
              </w:rPr>
            </w:pPr>
            <w:r>
              <w:rPr>
                <w:rFonts w:hint="eastAsia" w:ascii="楷体" w:hAnsi="楷体" w:eastAsia="楷体" w:cs="楷体"/>
                <w:bCs/>
                <w:color w:val="auto"/>
                <w:sz w:val="18"/>
                <w:szCs w:val="18"/>
                <w:highlight w:val="none"/>
                <w:lang w:val="en-US" w:eastAsia="zh-CN"/>
              </w:rPr>
              <w:t>两个独立服务点位共用一个</w:t>
            </w:r>
          </w:p>
        </w:tc>
      </w:tr>
      <w:tr w14:paraId="76905482">
        <w:tblPrEx>
          <w:tblCellMar>
            <w:top w:w="0" w:type="dxa"/>
            <w:left w:w="108" w:type="dxa"/>
            <w:bottom w:w="0" w:type="dxa"/>
            <w:right w:w="108" w:type="dxa"/>
          </w:tblCellMar>
        </w:tblPrEx>
        <w:trPr>
          <w:trHeight w:val="397"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74F2FAB8">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8</w:t>
            </w:r>
          </w:p>
        </w:tc>
        <w:tc>
          <w:tcPr>
            <w:tcW w:w="856" w:type="pct"/>
            <w:tcBorders>
              <w:top w:val="single" w:color="000000" w:sz="4" w:space="0"/>
              <w:left w:val="single" w:color="000000" w:sz="4" w:space="0"/>
              <w:bottom w:val="single" w:color="000000" w:sz="4" w:space="0"/>
              <w:right w:val="single" w:color="000000" w:sz="4" w:space="0"/>
            </w:tcBorders>
            <w:noWrap/>
            <w:vAlign w:val="center"/>
          </w:tcPr>
          <w:p w14:paraId="5D78E5D5">
            <w:pPr>
              <w:widowControl/>
              <w:spacing w:line="240" w:lineRule="auto"/>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管理费</w:t>
            </w:r>
          </w:p>
        </w:tc>
        <w:tc>
          <w:tcPr>
            <w:tcW w:w="2737" w:type="pct"/>
            <w:gridSpan w:val="3"/>
            <w:tcBorders>
              <w:top w:val="single" w:color="000000" w:sz="4" w:space="0"/>
              <w:left w:val="single" w:color="000000" w:sz="4" w:space="0"/>
              <w:bottom w:val="single" w:color="000000" w:sz="4" w:space="0"/>
              <w:right w:val="single" w:color="000000" w:sz="4" w:space="0"/>
            </w:tcBorders>
            <w:noWrap/>
            <w:vAlign w:val="center"/>
          </w:tcPr>
          <w:p w14:paraId="4AA985E3">
            <w:pPr>
              <w:widowControl w:val="0"/>
              <w:spacing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含</w:t>
            </w:r>
            <w:r>
              <w:rPr>
                <w:rFonts w:hint="eastAsia" w:ascii="仿宋" w:hAnsi="仿宋" w:eastAsia="仿宋" w:cs="仿宋"/>
                <w:color w:val="000000"/>
                <w:sz w:val="28"/>
                <w:szCs w:val="28"/>
                <w:lang w:val="en-US" w:eastAsia="zh-CN"/>
              </w:rPr>
              <w:t>物业维修、</w:t>
            </w:r>
            <w:r>
              <w:rPr>
                <w:rFonts w:hint="eastAsia" w:ascii="仿宋" w:hAnsi="仿宋" w:eastAsia="仿宋" w:cs="仿宋"/>
                <w:color w:val="000000"/>
                <w:sz w:val="28"/>
                <w:szCs w:val="28"/>
              </w:rPr>
              <w:t>工会经费、培训、服装等福利</w:t>
            </w: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35CF66E8">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012C5D51">
            <w:pPr>
              <w:widowControl/>
              <w:spacing w:line="240" w:lineRule="auto"/>
              <w:jc w:val="center"/>
              <w:textAlignment w:val="center"/>
              <w:rPr>
                <w:rFonts w:hint="eastAsia" w:ascii="仿宋" w:hAnsi="仿宋" w:eastAsia="仿宋" w:cs="仿宋"/>
                <w:color w:val="000000"/>
                <w:sz w:val="28"/>
                <w:szCs w:val="28"/>
              </w:rPr>
            </w:pPr>
          </w:p>
        </w:tc>
      </w:tr>
      <w:tr w14:paraId="722B8055">
        <w:tblPrEx>
          <w:tblCellMar>
            <w:top w:w="0" w:type="dxa"/>
            <w:left w:w="108" w:type="dxa"/>
            <w:bottom w:w="0" w:type="dxa"/>
            <w:right w:w="108" w:type="dxa"/>
          </w:tblCellMar>
        </w:tblPrEx>
        <w:trPr>
          <w:trHeight w:val="256"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71725A9B">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9</w:t>
            </w:r>
          </w:p>
        </w:tc>
        <w:tc>
          <w:tcPr>
            <w:tcW w:w="856" w:type="pct"/>
            <w:tcBorders>
              <w:top w:val="single" w:color="000000" w:sz="4" w:space="0"/>
              <w:left w:val="single" w:color="000000" w:sz="4" w:space="0"/>
              <w:bottom w:val="single" w:color="000000" w:sz="4" w:space="0"/>
              <w:right w:val="single" w:color="000000" w:sz="4" w:space="0"/>
            </w:tcBorders>
            <w:noWrap/>
            <w:vAlign w:val="center"/>
          </w:tcPr>
          <w:p w14:paraId="09F12DBE">
            <w:pPr>
              <w:widowControl/>
              <w:spacing w:line="240" w:lineRule="auto"/>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税费</w:t>
            </w:r>
          </w:p>
        </w:tc>
        <w:tc>
          <w:tcPr>
            <w:tcW w:w="2737" w:type="pct"/>
            <w:gridSpan w:val="3"/>
            <w:tcBorders>
              <w:top w:val="single" w:color="000000" w:sz="4" w:space="0"/>
              <w:left w:val="single" w:color="000000" w:sz="4" w:space="0"/>
              <w:bottom w:val="single" w:color="000000" w:sz="4" w:space="0"/>
              <w:right w:val="single" w:color="000000" w:sz="4" w:space="0"/>
            </w:tcBorders>
            <w:noWrap/>
            <w:vAlign w:val="center"/>
          </w:tcPr>
          <w:p w14:paraId="14B971A6">
            <w:pPr>
              <w:widowControl w:val="0"/>
              <w:spacing w:line="240" w:lineRule="auto"/>
              <w:jc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6C54439D">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011F8B95">
            <w:pPr>
              <w:widowControl w:val="0"/>
              <w:spacing w:line="240" w:lineRule="auto"/>
              <w:jc w:val="center"/>
              <w:rPr>
                <w:rFonts w:hint="eastAsia" w:ascii="仿宋" w:hAnsi="仿宋" w:eastAsia="仿宋" w:cs="仿宋"/>
                <w:color w:val="000000"/>
                <w:sz w:val="28"/>
                <w:szCs w:val="28"/>
              </w:rPr>
            </w:pPr>
          </w:p>
        </w:tc>
      </w:tr>
      <w:tr w14:paraId="78C37E04">
        <w:tblPrEx>
          <w:tblCellMar>
            <w:top w:w="0" w:type="dxa"/>
            <w:left w:w="108" w:type="dxa"/>
            <w:bottom w:w="0" w:type="dxa"/>
            <w:right w:w="108" w:type="dxa"/>
          </w:tblCellMar>
        </w:tblPrEx>
        <w:trPr>
          <w:trHeight w:val="332"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759EBA4D">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kern w:val="0"/>
                <w:sz w:val="28"/>
                <w:szCs w:val="28"/>
                <w:lang w:val="en-US" w:eastAsia="zh-CN" w:bidi="ar"/>
              </w:rPr>
              <w:t>10</w:t>
            </w:r>
          </w:p>
        </w:tc>
        <w:tc>
          <w:tcPr>
            <w:tcW w:w="856" w:type="pct"/>
            <w:tcBorders>
              <w:top w:val="single" w:color="000000" w:sz="4" w:space="0"/>
              <w:left w:val="single" w:color="000000" w:sz="4" w:space="0"/>
              <w:bottom w:val="single" w:color="000000" w:sz="4" w:space="0"/>
              <w:right w:val="single" w:color="000000" w:sz="4" w:space="0"/>
            </w:tcBorders>
            <w:noWrap/>
            <w:vAlign w:val="center"/>
          </w:tcPr>
          <w:p w14:paraId="1CC9DED3">
            <w:pPr>
              <w:widowControl/>
              <w:spacing w:line="240" w:lineRule="auto"/>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合计</w:t>
            </w:r>
          </w:p>
        </w:tc>
        <w:tc>
          <w:tcPr>
            <w:tcW w:w="3365" w:type="pct"/>
            <w:gridSpan w:val="4"/>
            <w:tcBorders>
              <w:top w:val="single" w:color="000000" w:sz="4" w:space="0"/>
              <w:left w:val="single" w:color="000000" w:sz="4" w:space="0"/>
              <w:bottom w:val="single" w:color="000000" w:sz="4" w:space="0"/>
              <w:right w:val="single" w:color="000000" w:sz="4" w:space="0"/>
            </w:tcBorders>
            <w:noWrap/>
            <w:vAlign w:val="center"/>
          </w:tcPr>
          <w:p w14:paraId="6E417FD2">
            <w:pPr>
              <w:widowControl/>
              <w:spacing w:line="240" w:lineRule="auto"/>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01EB7FCD">
            <w:pPr>
              <w:widowControl w:val="0"/>
              <w:spacing w:line="240" w:lineRule="auto"/>
              <w:jc w:val="center"/>
              <w:rPr>
                <w:rFonts w:hint="eastAsia" w:ascii="仿宋" w:hAnsi="仿宋" w:eastAsia="仿宋" w:cs="仿宋"/>
                <w:color w:val="000000"/>
                <w:sz w:val="28"/>
                <w:szCs w:val="28"/>
              </w:rPr>
            </w:pPr>
          </w:p>
        </w:tc>
      </w:tr>
      <w:tr w14:paraId="17BD9C7B">
        <w:tblPrEx>
          <w:tblCellMar>
            <w:top w:w="0" w:type="dxa"/>
            <w:left w:w="108" w:type="dxa"/>
            <w:bottom w:w="0" w:type="dxa"/>
            <w:right w:w="108" w:type="dxa"/>
          </w:tblCellMar>
        </w:tblPrEx>
        <w:trPr>
          <w:trHeight w:val="336"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02763748">
            <w:pPr>
              <w:widowControl w:val="0"/>
              <w:spacing w:line="240" w:lineRule="auto"/>
              <w:jc w:val="left"/>
              <w:rPr>
                <w:rFonts w:hint="eastAsia" w:ascii="仿宋" w:hAnsi="仿宋" w:eastAsia="仿宋" w:cs="仿宋"/>
                <w:color w:val="000000"/>
                <w:sz w:val="28"/>
                <w:szCs w:val="28"/>
              </w:rPr>
            </w:pPr>
            <w:r>
              <w:rPr>
                <w:rFonts w:hint="eastAsia" w:ascii="仿宋" w:hAnsi="仿宋" w:eastAsia="仿宋" w:cs="仿宋"/>
                <w:b/>
                <w:bCs/>
                <w:color w:val="000000"/>
                <w:kern w:val="0"/>
                <w:sz w:val="24"/>
                <w:szCs w:val="24"/>
                <w:lang w:val="en-US" w:eastAsia="zh-CN" w:bidi="ar"/>
              </w:rPr>
              <w:t>根据实际情况可自行扩展</w:t>
            </w:r>
          </w:p>
        </w:tc>
      </w:tr>
    </w:tbl>
    <w:p w14:paraId="0C3B3B04">
      <w:pPr>
        <w:keepNext w:val="0"/>
        <w:keepLines w:val="0"/>
        <w:pageBreakBefore w:val="0"/>
        <w:kinsoku/>
        <w:overflowPunct/>
        <w:topLinePunct w:val="0"/>
        <w:bidi w:val="0"/>
        <w:spacing w:line="560" w:lineRule="exact"/>
        <w:rPr>
          <w:rFonts w:hint="default" w:ascii="仿宋" w:hAnsi="仿宋" w:eastAsia="仿宋" w:cs="仿宋"/>
          <w:b/>
          <w:bCs/>
          <w:sz w:val="28"/>
          <w:szCs w:val="28"/>
          <w:lang w:val="en-US"/>
        </w:rPr>
      </w:pPr>
      <w:r>
        <w:rPr>
          <w:rFonts w:hint="eastAsia" w:ascii="仿宋" w:hAnsi="仿宋" w:eastAsia="仿宋" w:cs="仿宋"/>
          <w:b/>
          <w:bCs/>
          <w:color w:val="auto"/>
          <w:sz w:val="28"/>
          <w:szCs w:val="28"/>
          <w:highlight w:val="none"/>
          <w:lang w:val="en-US" w:eastAsia="zh-CN"/>
        </w:rPr>
        <w:t>低值易耗品清单</w:t>
      </w:r>
      <w:r>
        <w:rPr>
          <w:rFonts w:hint="eastAsia" w:cs="Calibri"/>
          <w:bCs/>
          <w:color w:val="auto"/>
          <w:szCs w:val="21"/>
          <w:highlight w:val="none"/>
          <w:lang w:eastAsia="zh-CN"/>
        </w:rPr>
        <w:t>（</w:t>
      </w:r>
      <w:r>
        <w:rPr>
          <w:rFonts w:hint="eastAsia" w:ascii="楷体" w:hAnsi="楷体" w:eastAsia="楷体" w:cs="楷体"/>
          <w:bCs/>
          <w:color w:val="auto"/>
          <w:sz w:val="18"/>
          <w:szCs w:val="18"/>
          <w:highlight w:val="none"/>
          <w:lang w:val="en-US" w:eastAsia="zh-CN"/>
        </w:rPr>
        <w:t>两个独立服务点位共用一批低值易耗品）</w:t>
      </w:r>
    </w:p>
    <w:tbl>
      <w:tblPr>
        <w:tblStyle w:val="6"/>
        <w:tblW w:w="5043" w:type="pct"/>
        <w:tblInd w:w="0" w:type="dxa"/>
        <w:tblLayout w:type="fixed"/>
        <w:tblCellMar>
          <w:top w:w="0" w:type="dxa"/>
          <w:left w:w="108" w:type="dxa"/>
          <w:bottom w:w="0" w:type="dxa"/>
          <w:right w:w="108" w:type="dxa"/>
        </w:tblCellMar>
      </w:tblPr>
      <w:tblGrid>
        <w:gridCol w:w="773"/>
        <w:gridCol w:w="1942"/>
        <w:gridCol w:w="1040"/>
        <w:gridCol w:w="1431"/>
        <w:gridCol w:w="2607"/>
        <w:gridCol w:w="803"/>
      </w:tblGrid>
      <w:tr w14:paraId="72BAA33B">
        <w:tblPrEx>
          <w:tblCellMar>
            <w:top w:w="0" w:type="dxa"/>
            <w:left w:w="108" w:type="dxa"/>
            <w:bottom w:w="0" w:type="dxa"/>
            <w:right w:w="108" w:type="dxa"/>
          </w:tblCellMar>
        </w:tblPrEx>
        <w:trPr>
          <w:trHeight w:val="1486"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14050BED">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68F72B48">
            <w:pPr>
              <w:widowControl/>
              <w:spacing w:line="240" w:lineRule="auto"/>
              <w:jc w:val="center"/>
              <w:textAlignment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2A596E2">
            <w:pPr>
              <w:widowControl/>
              <w:spacing w:line="240" w:lineRule="auto"/>
              <w:jc w:val="center"/>
              <w:textAlignment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5918058">
            <w:pPr>
              <w:widowControl/>
              <w:spacing w:line="240" w:lineRule="auto"/>
              <w:jc w:val="center"/>
              <w:textAlignment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2A058AC9">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2B78B3B">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备注</w:t>
            </w:r>
          </w:p>
        </w:tc>
      </w:tr>
      <w:tr w14:paraId="20DAE7AC">
        <w:tblPrEx>
          <w:tblCellMar>
            <w:top w:w="0" w:type="dxa"/>
            <w:left w:w="108" w:type="dxa"/>
            <w:bottom w:w="0" w:type="dxa"/>
            <w:right w:w="108" w:type="dxa"/>
          </w:tblCellMar>
        </w:tblPrEx>
        <w:trPr>
          <w:trHeight w:val="749"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61D05705">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48A2B7D3">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5FFD8E9B">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1A44513">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421D7D26">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0182099E">
            <w:pPr>
              <w:widowControl/>
              <w:spacing w:line="240" w:lineRule="auto"/>
              <w:jc w:val="center"/>
              <w:textAlignment w:val="center"/>
              <w:rPr>
                <w:rFonts w:hint="eastAsia" w:ascii="仿宋" w:hAnsi="仿宋" w:eastAsia="仿宋" w:cs="仿宋"/>
                <w:b/>
                <w:bCs/>
                <w:color w:val="000000"/>
                <w:kern w:val="0"/>
                <w:sz w:val="28"/>
                <w:szCs w:val="28"/>
                <w:lang w:bidi="ar"/>
              </w:rPr>
            </w:pPr>
          </w:p>
        </w:tc>
      </w:tr>
      <w:tr w14:paraId="3C85B2CC">
        <w:tblPrEx>
          <w:tblCellMar>
            <w:top w:w="0" w:type="dxa"/>
            <w:left w:w="108" w:type="dxa"/>
            <w:bottom w:w="0" w:type="dxa"/>
            <w:right w:w="108" w:type="dxa"/>
          </w:tblCellMar>
        </w:tblPrEx>
        <w:trPr>
          <w:trHeight w:val="749"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1C7BFA82">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44F079F">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5BF6039B">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1F48400">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7FF21706">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2D90FF7">
            <w:pPr>
              <w:widowControl/>
              <w:spacing w:line="240" w:lineRule="auto"/>
              <w:jc w:val="center"/>
              <w:textAlignment w:val="center"/>
              <w:rPr>
                <w:rFonts w:hint="eastAsia" w:ascii="仿宋" w:hAnsi="仿宋" w:eastAsia="仿宋" w:cs="仿宋"/>
                <w:b/>
                <w:bCs/>
                <w:color w:val="000000"/>
                <w:kern w:val="0"/>
                <w:sz w:val="28"/>
                <w:szCs w:val="28"/>
                <w:lang w:bidi="ar"/>
              </w:rPr>
            </w:pPr>
          </w:p>
        </w:tc>
      </w:tr>
      <w:tr w14:paraId="235CA896">
        <w:tblPrEx>
          <w:tblCellMar>
            <w:top w:w="0" w:type="dxa"/>
            <w:left w:w="108" w:type="dxa"/>
            <w:bottom w:w="0" w:type="dxa"/>
            <w:right w:w="108" w:type="dxa"/>
          </w:tblCellMar>
        </w:tblPrEx>
        <w:trPr>
          <w:trHeight w:val="749"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243D0824">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480F41D8">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542B6096">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E1B28DC">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586DFC3A">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5BCDEBF">
            <w:pPr>
              <w:widowControl/>
              <w:spacing w:line="240" w:lineRule="auto"/>
              <w:jc w:val="center"/>
              <w:textAlignment w:val="center"/>
              <w:rPr>
                <w:rFonts w:hint="eastAsia" w:ascii="仿宋" w:hAnsi="仿宋" w:eastAsia="仿宋" w:cs="仿宋"/>
                <w:b/>
                <w:bCs/>
                <w:color w:val="000000"/>
                <w:kern w:val="0"/>
                <w:sz w:val="28"/>
                <w:szCs w:val="28"/>
                <w:lang w:bidi="ar"/>
              </w:rPr>
            </w:pPr>
          </w:p>
        </w:tc>
      </w:tr>
      <w:tr w14:paraId="6B906ADD">
        <w:tblPrEx>
          <w:tblCellMar>
            <w:top w:w="0" w:type="dxa"/>
            <w:left w:w="108" w:type="dxa"/>
            <w:bottom w:w="0" w:type="dxa"/>
            <w:right w:w="108" w:type="dxa"/>
          </w:tblCellMar>
        </w:tblPrEx>
        <w:trPr>
          <w:trHeight w:val="749"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42357F9F">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4</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73887E8C">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7F025881">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1C61D9C">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2E0B5660">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9CE45FD">
            <w:pPr>
              <w:widowControl/>
              <w:spacing w:line="240" w:lineRule="auto"/>
              <w:jc w:val="both"/>
              <w:textAlignment w:val="center"/>
              <w:rPr>
                <w:rFonts w:hint="eastAsia" w:ascii="仿宋" w:hAnsi="仿宋" w:eastAsia="仿宋" w:cs="仿宋"/>
                <w:b/>
                <w:bCs/>
                <w:color w:val="000000"/>
                <w:kern w:val="0"/>
                <w:sz w:val="28"/>
                <w:szCs w:val="28"/>
                <w:lang w:bidi="ar"/>
              </w:rPr>
            </w:pPr>
          </w:p>
        </w:tc>
      </w:tr>
      <w:tr w14:paraId="6099DDE3">
        <w:tblPrEx>
          <w:tblCellMar>
            <w:top w:w="0" w:type="dxa"/>
            <w:left w:w="108" w:type="dxa"/>
            <w:bottom w:w="0" w:type="dxa"/>
            <w:right w:w="108" w:type="dxa"/>
          </w:tblCellMar>
        </w:tblPrEx>
        <w:trPr>
          <w:trHeight w:val="385"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17C79B9F">
            <w:pPr>
              <w:widowControl/>
              <w:spacing w:line="240" w:lineRule="auto"/>
              <w:jc w:val="left"/>
              <w:textAlignment w:val="center"/>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4"/>
                <w:szCs w:val="24"/>
                <w:lang w:val="en-US" w:eastAsia="zh-CN" w:bidi="ar"/>
              </w:rPr>
              <w:t>根据实际情况可自行扩展</w:t>
            </w:r>
          </w:p>
        </w:tc>
      </w:tr>
      <w:tr w14:paraId="24A80138">
        <w:tblPrEx>
          <w:tblCellMar>
            <w:top w:w="0" w:type="dxa"/>
            <w:left w:w="108" w:type="dxa"/>
            <w:bottom w:w="0" w:type="dxa"/>
            <w:right w:w="108" w:type="dxa"/>
          </w:tblCellMar>
        </w:tblPrEx>
        <w:trPr>
          <w:trHeight w:val="392"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41BB56FB">
            <w:pPr>
              <w:widowControl/>
              <w:spacing w:line="240" w:lineRule="auto"/>
              <w:jc w:val="left"/>
              <w:textAlignment w:val="center"/>
              <w:rPr>
                <w:rFonts w:hint="eastAsia" w:ascii="仿宋" w:hAnsi="仿宋" w:eastAsia="仿宋" w:cs="仿宋"/>
                <w:b/>
                <w:bCs/>
                <w:color w:val="000000"/>
                <w:kern w:val="0"/>
                <w:sz w:val="24"/>
                <w:szCs w:val="24"/>
                <w:lang w:val="en-US" w:eastAsia="zh-CN" w:bidi="ar"/>
              </w:rPr>
            </w:pPr>
          </w:p>
        </w:tc>
      </w:tr>
    </w:tbl>
    <w:p w14:paraId="175FE1C0">
      <w:pPr>
        <w:keepNext w:val="0"/>
        <w:keepLines w:val="0"/>
        <w:pageBreakBefore w:val="0"/>
        <w:kinsoku/>
        <w:overflowPunct/>
        <w:topLinePunct w:val="0"/>
        <w:bidi w:val="0"/>
        <w:spacing w:line="560" w:lineRule="exact"/>
        <w:rPr>
          <w:rFonts w:hint="eastAsia" w:ascii="仿宋" w:hAnsi="仿宋" w:eastAsia="仿宋" w:cs="仿宋"/>
          <w:sz w:val="28"/>
          <w:szCs w:val="28"/>
          <w:highlight w:val="none"/>
          <w:lang w:val="en-US" w:eastAsia="zh-CN"/>
        </w:rPr>
      </w:pPr>
    </w:p>
    <w:p w14:paraId="399D3F8A">
      <w:pPr>
        <w:keepNext w:val="0"/>
        <w:keepLines w:val="0"/>
        <w:pageBreakBefore w:val="0"/>
        <w:kinsoku/>
        <w:overflowPunct/>
        <w:topLinePunct w:val="0"/>
        <w:bidi w:val="0"/>
        <w:spacing w:line="560" w:lineRule="exact"/>
        <w:rPr>
          <w:rFonts w:hint="eastAsia" w:ascii="仿宋" w:hAnsi="仿宋" w:eastAsia="仿宋" w:cs="仿宋"/>
          <w:sz w:val="28"/>
          <w:szCs w:val="28"/>
          <w:highlight w:val="none"/>
          <w:lang w:val="en-US" w:eastAsia="zh-CN"/>
        </w:rPr>
      </w:pPr>
    </w:p>
    <w:p w14:paraId="76BAE044">
      <w:pPr>
        <w:keepNext w:val="0"/>
        <w:keepLines w:val="0"/>
        <w:pageBreakBefore w:val="0"/>
        <w:kinsoku/>
        <w:overflowPunct/>
        <w:topLinePunct w:val="0"/>
        <w:bidi w:val="0"/>
        <w:spacing w:line="56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sz w:val="28"/>
          <w:szCs w:val="28"/>
          <w:highlight w:val="none"/>
          <w:lang w:val="en-US" w:eastAsia="zh-CN"/>
        </w:rPr>
        <w:t>2、永兴街道永兴社区</w:t>
      </w:r>
    </w:p>
    <w:tbl>
      <w:tblPr>
        <w:tblStyle w:val="6"/>
        <w:tblW w:w="5005" w:type="pct"/>
        <w:tblInd w:w="0" w:type="dxa"/>
        <w:tblLayout w:type="fixed"/>
        <w:tblCellMar>
          <w:top w:w="0" w:type="dxa"/>
          <w:left w:w="108" w:type="dxa"/>
          <w:bottom w:w="0" w:type="dxa"/>
          <w:right w:w="108" w:type="dxa"/>
        </w:tblCellMar>
      </w:tblPr>
      <w:tblGrid>
        <w:gridCol w:w="531"/>
        <w:gridCol w:w="1461"/>
        <w:gridCol w:w="2083"/>
        <w:gridCol w:w="1086"/>
        <w:gridCol w:w="1502"/>
        <w:gridCol w:w="1070"/>
        <w:gridCol w:w="797"/>
      </w:tblGrid>
      <w:tr w14:paraId="09A1C7A5">
        <w:tblPrEx>
          <w:tblCellMar>
            <w:top w:w="0" w:type="dxa"/>
            <w:left w:w="108" w:type="dxa"/>
            <w:bottom w:w="0" w:type="dxa"/>
            <w:right w:w="108" w:type="dxa"/>
          </w:tblCellMar>
        </w:tblPrEx>
        <w:trPr>
          <w:trHeight w:val="349" w:hRule="atLeast"/>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4123984">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序号</w:t>
            </w:r>
          </w:p>
        </w:tc>
        <w:tc>
          <w:tcPr>
            <w:tcW w:w="2077" w:type="pct"/>
            <w:gridSpan w:val="2"/>
            <w:tcBorders>
              <w:top w:val="single" w:color="000000" w:sz="4" w:space="0"/>
              <w:left w:val="single" w:color="000000" w:sz="4" w:space="0"/>
              <w:bottom w:val="single" w:color="000000" w:sz="4" w:space="0"/>
              <w:right w:val="single" w:color="000000" w:sz="4" w:space="0"/>
            </w:tcBorders>
            <w:noWrap w:val="0"/>
            <w:vAlign w:val="center"/>
          </w:tcPr>
          <w:p w14:paraId="203C1416">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报价项目</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5A653B98">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人数</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79EE84F0">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工资标准（含</w:t>
            </w:r>
            <w:r>
              <w:rPr>
                <w:rFonts w:hint="eastAsia" w:ascii="仿宋" w:hAnsi="仿宋" w:eastAsia="仿宋" w:cs="仿宋"/>
                <w:b/>
                <w:bCs/>
                <w:color w:val="000000"/>
                <w:kern w:val="0"/>
                <w:sz w:val="28"/>
                <w:szCs w:val="28"/>
                <w:lang w:val="en-US" w:eastAsia="zh-CN" w:bidi="ar"/>
              </w:rPr>
              <w:t>保</w:t>
            </w:r>
            <w:r>
              <w:rPr>
                <w:rFonts w:hint="eastAsia" w:ascii="仿宋" w:hAnsi="仿宋" w:eastAsia="仿宋" w:cs="仿宋"/>
                <w:b/>
                <w:bCs/>
                <w:color w:val="000000"/>
                <w:kern w:val="0"/>
                <w:sz w:val="28"/>
                <w:szCs w:val="28"/>
                <w:lang w:bidi="ar"/>
              </w:rPr>
              <w:t>险）</w:t>
            </w:r>
          </w:p>
        </w:tc>
        <w:tc>
          <w:tcPr>
            <w:tcW w:w="627" w:type="pct"/>
            <w:tcBorders>
              <w:top w:val="single" w:color="000000" w:sz="4" w:space="0"/>
              <w:left w:val="single" w:color="000000" w:sz="4" w:space="0"/>
              <w:bottom w:val="single" w:color="000000" w:sz="4" w:space="0"/>
              <w:right w:val="single" w:color="000000" w:sz="4" w:space="0"/>
            </w:tcBorders>
            <w:noWrap w:val="0"/>
            <w:vAlign w:val="center"/>
          </w:tcPr>
          <w:p w14:paraId="1130F623">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9F219E5">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备注</w:t>
            </w:r>
          </w:p>
        </w:tc>
      </w:tr>
      <w:tr w14:paraId="48F43071">
        <w:tblPrEx>
          <w:tblCellMar>
            <w:top w:w="0" w:type="dxa"/>
            <w:left w:w="108" w:type="dxa"/>
            <w:bottom w:w="0" w:type="dxa"/>
            <w:right w:w="108" w:type="dxa"/>
          </w:tblCellMar>
        </w:tblPrEx>
        <w:trPr>
          <w:trHeight w:val="269"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75BA9566">
            <w:pPr>
              <w:widowControl/>
              <w:spacing w:line="240" w:lineRule="auto"/>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856" w:type="pct"/>
            <w:vMerge w:val="restart"/>
            <w:tcBorders>
              <w:top w:val="single" w:color="000000" w:sz="4" w:space="0"/>
              <w:left w:val="single" w:color="000000" w:sz="4" w:space="0"/>
              <w:right w:val="single" w:color="000000" w:sz="4" w:space="0"/>
            </w:tcBorders>
            <w:noWrap/>
            <w:vAlign w:val="center"/>
          </w:tcPr>
          <w:p w14:paraId="4E07F6B8">
            <w:pPr>
              <w:widowControl/>
              <w:spacing w:line="240" w:lineRule="auto"/>
              <w:jc w:val="center"/>
              <w:textAlignment w:val="center"/>
              <w:rPr>
                <w:rFonts w:hint="default" w:ascii="仿宋" w:hAnsi="仿宋" w:eastAsia="仿宋" w:cs="仿宋"/>
                <w:color w:val="000000"/>
                <w:sz w:val="28"/>
                <w:szCs w:val="28"/>
                <w:lang w:val="en-US" w:eastAsia="zh-CN"/>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58C866E4">
            <w:pPr>
              <w:pageBreakBefore w:val="0"/>
              <w:widowControl/>
              <w:kinsoku/>
              <w:wordWrap/>
              <w:overflowPunct/>
              <w:topLinePunct w:val="0"/>
              <w:bidi w:val="0"/>
              <w:snapToGrid w:val="0"/>
              <w:spacing w:line="300" w:lineRule="auto"/>
              <w:ind w:left="0" w:leftChars="0"/>
              <w:jc w:val="both"/>
              <w:rPr>
                <w:rFonts w:hint="eastAsia" w:ascii="仿宋" w:hAnsi="仿宋" w:eastAsia="仿宋" w:cs="仿宋"/>
                <w:color w:val="000000"/>
                <w:sz w:val="28"/>
                <w:szCs w:val="28"/>
              </w:rPr>
            </w:pPr>
            <w:r>
              <w:rPr>
                <w:rFonts w:hint="eastAsia" w:ascii="仿宋" w:hAnsi="仿宋" w:eastAsia="仿宋" w:cs="仿宋"/>
                <w:bCs/>
                <w:color w:val="auto"/>
                <w:sz w:val="28"/>
                <w:szCs w:val="28"/>
                <w:highlight w:val="none"/>
              </w:rPr>
              <w:t>项目经理</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6040FB29">
            <w:pPr>
              <w:pageBreakBefore w:val="0"/>
              <w:widowControl/>
              <w:kinsoku/>
              <w:wordWrap/>
              <w:overflowPunct/>
              <w:topLinePunct w:val="0"/>
              <w:bidi w:val="0"/>
              <w:snapToGrid w:val="0"/>
              <w:spacing w:line="300" w:lineRule="auto"/>
              <w:ind w:left="0" w:leftChars="0"/>
              <w:jc w:val="center"/>
              <w:rPr>
                <w:rFonts w:hint="eastAsia" w:ascii="仿宋" w:hAnsi="仿宋" w:eastAsia="仿宋" w:cs="仿宋"/>
                <w:color w:val="000000"/>
                <w:sz w:val="28"/>
                <w:szCs w:val="28"/>
                <w:lang w:eastAsia="zh-CN"/>
              </w:rPr>
            </w:pPr>
            <w:r>
              <w:rPr>
                <w:rFonts w:hint="eastAsia" w:ascii="仿宋" w:hAnsi="仿宋" w:eastAsia="仿宋" w:cs="仿宋"/>
                <w:bCs/>
                <w:color w:val="auto"/>
                <w:sz w:val="28"/>
                <w:szCs w:val="28"/>
                <w:highlight w:val="none"/>
                <w:lang w:val="en-US" w:eastAsia="zh-CN"/>
              </w:rPr>
              <w:t>0</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227D1A46">
            <w:pPr>
              <w:widowControl/>
              <w:spacing w:line="240" w:lineRule="auto"/>
              <w:jc w:val="center"/>
              <w:textAlignment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3D8FAD0E">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4CE1E9CB">
            <w:pPr>
              <w:widowControl w:val="0"/>
              <w:spacing w:line="240" w:lineRule="auto"/>
              <w:jc w:val="center"/>
              <w:rPr>
                <w:rFonts w:hint="default" w:ascii="仿宋" w:hAnsi="仿宋" w:eastAsia="仿宋" w:cs="仿宋"/>
                <w:color w:val="000000"/>
                <w:sz w:val="28"/>
                <w:szCs w:val="28"/>
                <w:lang w:val="en-US" w:eastAsia="zh-CN"/>
              </w:rPr>
            </w:pPr>
            <w:r>
              <w:rPr>
                <w:rFonts w:hint="eastAsia" w:cs="Calibri"/>
                <w:bCs/>
                <w:color w:val="auto"/>
                <w:szCs w:val="21"/>
                <w:highlight w:val="none"/>
                <w:lang w:eastAsia="zh-CN"/>
              </w:rPr>
              <w:t>（</w:t>
            </w:r>
            <w:r>
              <w:rPr>
                <w:rFonts w:hint="eastAsia" w:ascii="楷体" w:hAnsi="楷体" w:eastAsia="楷体" w:cs="楷体"/>
                <w:bCs/>
                <w:color w:val="auto"/>
                <w:sz w:val="18"/>
                <w:szCs w:val="18"/>
                <w:highlight w:val="none"/>
                <w:lang w:val="en-US" w:eastAsia="zh-CN"/>
              </w:rPr>
              <w:t>两个独立服务点位共用一个项目经理）</w:t>
            </w:r>
          </w:p>
        </w:tc>
      </w:tr>
      <w:tr w14:paraId="10BB26EC">
        <w:tblPrEx>
          <w:tblCellMar>
            <w:top w:w="0" w:type="dxa"/>
            <w:left w:w="108" w:type="dxa"/>
            <w:bottom w:w="0" w:type="dxa"/>
            <w:right w:w="108" w:type="dxa"/>
          </w:tblCellMar>
        </w:tblPrEx>
        <w:trPr>
          <w:trHeight w:val="297"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258ECF36">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w:t>
            </w:r>
          </w:p>
        </w:tc>
        <w:tc>
          <w:tcPr>
            <w:tcW w:w="856" w:type="pct"/>
            <w:vMerge w:val="continue"/>
            <w:tcBorders>
              <w:left w:val="single" w:color="000000" w:sz="4" w:space="0"/>
              <w:right w:val="single" w:color="000000" w:sz="4" w:space="0"/>
            </w:tcBorders>
            <w:noWrap/>
            <w:vAlign w:val="center"/>
          </w:tcPr>
          <w:p w14:paraId="25D6177F">
            <w:pPr>
              <w:widowControl w:val="0"/>
              <w:spacing w:line="240" w:lineRule="auto"/>
              <w:jc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6621701F">
            <w:pPr>
              <w:pageBreakBefore w:val="0"/>
              <w:widowControl/>
              <w:kinsoku/>
              <w:wordWrap/>
              <w:overflowPunct/>
              <w:topLinePunct w:val="0"/>
              <w:bidi w:val="0"/>
              <w:snapToGrid w:val="0"/>
              <w:spacing w:line="300" w:lineRule="auto"/>
              <w:ind w:left="0" w:leftChars="0"/>
              <w:jc w:val="both"/>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保洁主管</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5634D73A">
            <w:pPr>
              <w:pageBreakBefore w:val="0"/>
              <w:widowControl/>
              <w:kinsoku/>
              <w:wordWrap/>
              <w:overflowPunct/>
              <w:topLinePunct w:val="0"/>
              <w:bidi w:val="0"/>
              <w:snapToGrid w:val="0"/>
              <w:spacing w:line="300" w:lineRule="auto"/>
              <w:ind w:left="0" w:leftChars="0"/>
              <w:jc w:val="center"/>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0</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49A3E014">
            <w:pPr>
              <w:widowControl/>
              <w:spacing w:line="240" w:lineRule="auto"/>
              <w:jc w:val="center"/>
              <w:textAlignment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27C3F2C9">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3AAF8EAC">
            <w:pPr>
              <w:widowControl w:val="0"/>
              <w:spacing w:line="240" w:lineRule="auto"/>
              <w:jc w:val="center"/>
              <w:rPr>
                <w:rFonts w:hint="eastAsia" w:ascii="仿宋" w:hAnsi="仿宋" w:eastAsia="仿宋" w:cs="仿宋"/>
                <w:color w:val="000000"/>
                <w:sz w:val="28"/>
                <w:szCs w:val="28"/>
              </w:rPr>
            </w:pPr>
          </w:p>
        </w:tc>
      </w:tr>
      <w:tr w14:paraId="23DD5F14">
        <w:tblPrEx>
          <w:tblCellMar>
            <w:top w:w="0" w:type="dxa"/>
            <w:left w:w="108" w:type="dxa"/>
            <w:bottom w:w="0" w:type="dxa"/>
            <w:right w:w="108" w:type="dxa"/>
          </w:tblCellMar>
        </w:tblPrEx>
        <w:trPr>
          <w:trHeight w:val="253"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5F1C8D16">
            <w:pPr>
              <w:widowControl/>
              <w:spacing w:line="240" w:lineRule="auto"/>
              <w:jc w:val="center"/>
              <w:textAlignment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3</w:t>
            </w:r>
          </w:p>
        </w:tc>
        <w:tc>
          <w:tcPr>
            <w:tcW w:w="856" w:type="pct"/>
            <w:vMerge w:val="continue"/>
            <w:tcBorders>
              <w:left w:val="single" w:color="000000" w:sz="4" w:space="0"/>
              <w:right w:val="single" w:color="000000" w:sz="4" w:space="0"/>
            </w:tcBorders>
            <w:noWrap/>
            <w:vAlign w:val="center"/>
          </w:tcPr>
          <w:p w14:paraId="3568D81B">
            <w:pPr>
              <w:widowControl w:val="0"/>
              <w:spacing w:line="240" w:lineRule="auto"/>
              <w:jc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4291E6F3">
            <w:pPr>
              <w:pageBreakBefore w:val="0"/>
              <w:widowControl/>
              <w:kinsoku/>
              <w:wordWrap/>
              <w:overflowPunct/>
              <w:topLinePunct w:val="0"/>
              <w:bidi w:val="0"/>
              <w:snapToGrid w:val="0"/>
              <w:spacing w:line="300" w:lineRule="auto"/>
              <w:ind w:left="0" w:leftChars="0"/>
              <w:jc w:val="both"/>
              <w:rPr>
                <w:rFonts w:hint="eastAsia" w:ascii="仿宋" w:hAnsi="仿宋" w:eastAsia="仿宋" w:cs="仿宋"/>
                <w:color w:val="000000"/>
                <w:kern w:val="2"/>
                <w:sz w:val="28"/>
                <w:szCs w:val="28"/>
                <w:lang w:val="en-US" w:eastAsia="zh-CN" w:bidi="ar-SA"/>
              </w:rPr>
            </w:pPr>
            <w:r>
              <w:rPr>
                <w:rFonts w:hint="eastAsia" w:ascii="仿宋" w:hAnsi="仿宋" w:eastAsia="仿宋" w:cs="仿宋"/>
                <w:bCs/>
                <w:color w:val="auto"/>
                <w:sz w:val="28"/>
                <w:szCs w:val="28"/>
                <w:highlight w:val="none"/>
              </w:rPr>
              <w:t>保洁员</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620BABC5">
            <w:pPr>
              <w:pageBreakBefore w:val="0"/>
              <w:widowControl/>
              <w:kinsoku/>
              <w:wordWrap/>
              <w:overflowPunct/>
              <w:topLinePunct w:val="0"/>
              <w:bidi w:val="0"/>
              <w:snapToGrid w:val="0"/>
              <w:spacing w:line="300" w:lineRule="auto"/>
              <w:ind w:left="0" w:leftChars="0"/>
              <w:jc w:val="center"/>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1</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4319507E">
            <w:pPr>
              <w:widowControl/>
              <w:spacing w:line="240" w:lineRule="auto"/>
              <w:jc w:val="center"/>
              <w:textAlignment w:val="center"/>
              <w:rPr>
                <w:rFonts w:hint="eastAsia" w:ascii="仿宋" w:hAnsi="仿宋" w:eastAsia="仿宋" w:cs="仿宋"/>
                <w:color w:val="000000"/>
                <w:kern w:val="0"/>
                <w:sz w:val="28"/>
                <w:szCs w:val="28"/>
                <w:lang w:bidi="ar"/>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402AEA61">
            <w:pPr>
              <w:widowControl/>
              <w:spacing w:line="240" w:lineRule="auto"/>
              <w:jc w:val="center"/>
              <w:textAlignment w:val="center"/>
              <w:rPr>
                <w:rFonts w:hint="eastAsia" w:ascii="仿宋" w:hAnsi="仿宋" w:eastAsia="仿宋" w:cs="仿宋"/>
                <w:color w:val="000000"/>
                <w:kern w:val="0"/>
                <w:sz w:val="28"/>
                <w:szCs w:val="28"/>
                <w:lang w:bidi="ar"/>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199EBC69">
            <w:pPr>
              <w:widowControl w:val="0"/>
              <w:spacing w:line="240" w:lineRule="auto"/>
              <w:jc w:val="center"/>
              <w:rPr>
                <w:rFonts w:hint="eastAsia" w:ascii="仿宋" w:hAnsi="仿宋" w:eastAsia="仿宋" w:cs="仿宋"/>
                <w:color w:val="000000"/>
                <w:sz w:val="28"/>
                <w:szCs w:val="28"/>
              </w:rPr>
            </w:pPr>
            <w:r>
              <w:rPr>
                <w:rFonts w:hint="eastAsia" w:ascii="仿宋" w:hAnsi="仿宋" w:eastAsia="仿宋" w:cs="仿宋"/>
                <w:color w:val="000000"/>
                <w:kern w:val="2"/>
                <w:sz w:val="18"/>
                <w:szCs w:val="18"/>
                <w:lang w:val="en-US" w:eastAsia="zh-CN" w:bidi="ar-SA"/>
              </w:rPr>
              <w:t>8小时上班制</w:t>
            </w:r>
          </w:p>
        </w:tc>
      </w:tr>
      <w:tr w14:paraId="7F3752A6">
        <w:tblPrEx>
          <w:tblCellMar>
            <w:top w:w="0" w:type="dxa"/>
            <w:left w:w="108" w:type="dxa"/>
            <w:bottom w:w="0" w:type="dxa"/>
            <w:right w:w="108" w:type="dxa"/>
          </w:tblCellMar>
        </w:tblPrEx>
        <w:trPr>
          <w:trHeight w:val="245"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431D0AFE">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4</w:t>
            </w:r>
          </w:p>
        </w:tc>
        <w:tc>
          <w:tcPr>
            <w:tcW w:w="856" w:type="pct"/>
            <w:vMerge w:val="continue"/>
            <w:tcBorders>
              <w:left w:val="single" w:color="000000" w:sz="4" w:space="0"/>
              <w:right w:val="single" w:color="000000" w:sz="4" w:space="0"/>
            </w:tcBorders>
            <w:noWrap/>
            <w:vAlign w:val="center"/>
          </w:tcPr>
          <w:p w14:paraId="6F4B2F98">
            <w:pPr>
              <w:widowControl w:val="0"/>
              <w:spacing w:line="240" w:lineRule="auto"/>
              <w:jc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24A24653">
            <w:pPr>
              <w:pageBreakBefore w:val="0"/>
              <w:widowControl/>
              <w:kinsoku/>
              <w:wordWrap/>
              <w:overflowPunct/>
              <w:topLinePunct w:val="0"/>
              <w:bidi w:val="0"/>
              <w:snapToGrid w:val="0"/>
              <w:spacing w:line="300" w:lineRule="auto"/>
              <w:ind w:left="0" w:leftChars="0"/>
              <w:jc w:val="both"/>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安防班长</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50E465AF">
            <w:pPr>
              <w:pageBreakBefore w:val="0"/>
              <w:widowControl/>
              <w:kinsoku/>
              <w:wordWrap/>
              <w:overflowPunct/>
              <w:topLinePunct w:val="0"/>
              <w:bidi w:val="0"/>
              <w:snapToGrid w:val="0"/>
              <w:spacing w:line="300" w:lineRule="auto"/>
              <w:ind w:left="0" w:leftChars="0"/>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bCs/>
                <w:color w:val="auto"/>
                <w:sz w:val="28"/>
                <w:szCs w:val="28"/>
                <w:highlight w:val="none"/>
                <w:lang w:val="en-US" w:eastAsia="zh-CN"/>
              </w:rPr>
              <w:t>0</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76A1B3DE">
            <w:pPr>
              <w:keepNext w:val="0"/>
              <w:keepLines w:val="0"/>
              <w:widowControl/>
              <w:suppressLineNumbers w:val="0"/>
              <w:jc w:val="center"/>
              <w:textAlignment w:val="center"/>
              <w:rPr>
                <w:rFonts w:hint="eastAsia" w:ascii="仿宋" w:hAnsi="仿宋" w:eastAsia="仿宋" w:cs="仿宋"/>
                <w:color w:val="000000"/>
                <w:kern w:val="2"/>
                <w:sz w:val="28"/>
                <w:szCs w:val="28"/>
                <w:lang w:val="en-US" w:eastAsia="zh-CN" w:bidi="ar-SA"/>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29A22521">
            <w:pPr>
              <w:keepNext w:val="0"/>
              <w:keepLines w:val="0"/>
              <w:widowControl/>
              <w:suppressLineNumbers w:val="0"/>
              <w:jc w:val="center"/>
              <w:textAlignment w:val="center"/>
              <w:rPr>
                <w:rFonts w:hint="eastAsia" w:ascii="仿宋" w:hAnsi="仿宋" w:eastAsia="仿宋" w:cs="仿宋"/>
                <w:color w:val="000000"/>
                <w:kern w:val="2"/>
                <w:sz w:val="28"/>
                <w:szCs w:val="28"/>
                <w:lang w:val="en-US" w:eastAsia="zh-CN" w:bidi="ar-SA"/>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02466A46">
            <w:pPr>
              <w:widowControl w:val="0"/>
              <w:spacing w:line="240" w:lineRule="auto"/>
              <w:jc w:val="center"/>
              <w:rPr>
                <w:rFonts w:hint="eastAsia" w:ascii="仿宋" w:hAnsi="仿宋" w:eastAsia="仿宋" w:cs="仿宋"/>
                <w:color w:val="000000"/>
                <w:sz w:val="28"/>
                <w:szCs w:val="28"/>
              </w:rPr>
            </w:pPr>
          </w:p>
        </w:tc>
      </w:tr>
      <w:tr w14:paraId="633DE605">
        <w:tblPrEx>
          <w:tblCellMar>
            <w:top w:w="0" w:type="dxa"/>
            <w:left w:w="108" w:type="dxa"/>
            <w:bottom w:w="0" w:type="dxa"/>
            <w:right w:w="108" w:type="dxa"/>
          </w:tblCellMar>
        </w:tblPrEx>
        <w:trPr>
          <w:trHeight w:val="214"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6B2674DC">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5</w:t>
            </w:r>
          </w:p>
        </w:tc>
        <w:tc>
          <w:tcPr>
            <w:tcW w:w="856" w:type="pct"/>
            <w:vMerge w:val="continue"/>
            <w:tcBorders>
              <w:left w:val="single" w:color="000000" w:sz="4" w:space="0"/>
              <w:right w:val="single" w:color="000000" w:sz="4" w:space="0"/>
            </w:tcBorders>
            <w:noWrap/>
            <w:vAlign w:val="center"/>
          </w:tcPr>
          <w:p w14:paraId="1FAB3211">
            <w:pPr>
              <w:widowControl w:val="0"/>
              <w:spacing w:line="240" w:lineRule="auto"/>
              <w:jc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7B8701FC">
            <w:pPr>
              <w:pageBreakBefore w:val="0"/>
              <w:widowControl/>
              <w:kinsoku/>
              <w:wordWrap/>
              <w:overflowPunct/>
              <w:topLinePunct w:val="0"/>
              <w:bidi w:val="0"/>
              <w:snapToGrid w:val="0"/>
              <w:spacing w:line="300" w:lineRule="auto"/>
              <w:ind w:left="0" w:leftChars="0"/>
              <w:jc w:val="both"/>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安防队员</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46B150CE">
            <w:pPr>
              <w:pageBreakBefore w:val="0"/>
              <w:widowControl/>
              <w:kinsoku/>
              <w:wordWrap/>
              <w:overflowPunct/>
              <w:topLinePunct w:val="0"/>
              <w:bidi w:val="0"/>
              <w:snapToGrid w:val="0"/>
              <w:spacing w:line="300" w:lineRule="auto"/>
              <w:ind w:left="0" w:leftChars="0"/>
              <w:jc w:val="center"/>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5DFAC51D">
            <w:pPr>
              <w:widowControl/>
              <w:spacing w:line="240" w:lineRule="auto"/>
              <w:jc w:val="center"/>
              <w:textAlignment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46970809">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117F4846">
            <w:pPr>
              <w:widowControl w:val="0"/>
              <w:spacing w:line="240" w:lineRule="auto"/>
              <w:jc w:val="center"/>
              <w:rPr>
                <w:rFonts w:hint="eastAsia" w:ascii="仿宋" w:hAnsi="仿宋" w:eastAsia="仿宋" w:cs="仿宋"/>
                <w:color w:val="000000"/>
                <w:sz w:val="28"/>
                <w:szCs w:val="28"/>
              </w:rPr>
            </w:pPr>
            <w:r>
              <w:rPr>
                <w:rFonts w:hint="eastAsia" w:ascii="仿宋" w:hAnsi="仿宋" w:eastAsia="仿宋" w:cs="仿宋"/>
                <w:color w:val="000000"/>
                <w:kern w:val="2"/>
                <w:sz w:val="18"/>
                <w:szCs w:val="18"/>
                <w:lang w:val="en-US" w:eastAsia="zh-CN" w:bidi="ar-SA"/>
              </w:rPr>
              <w:t>3人为1班，8小时三倒班</w:t>
            </w:r>
          </w:p>
        </w:tc>
      </w:tr>
      <w:tr w14:paraId="69AD9EDF">
        <w:tblPrEx>
          <w:tblCellMar>
            <w:top w:w="0" w:type="dxa"/>
            <w:left w:w="108" w:type="dxa"/>
            <w:bottom w:w="0" w:type="dxa"/>
            <w:right w:w="108" w:type="dxa"/>
          </w:tblCellMar>
        </w:tblPrEx>
        <w:trPr>
          <w:trHeight w:val="283"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27F381F6">
            <w:pPr>
              <w:widowControl/>
              <w:spacing w:line="240" w:lineRule="auto"/>
              <w:jc w:val="center"/>
              <w:textAlignment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6</w:t>
            </w:r>
          </w:p>
        </w:tc>
        <w:tc>
          <w:tcPr>
            <w:tcW w:w="856" w:type="pct"/>
            <w:vMerge w:val="continue"/>
            <w:tcBorders>
              <w:left w:val="single" w:color="000000" w:sz="4" w:space="0"/>
              <w:right w:val="single" w:color="000000" w:sz="4" w:space="0"/>
            </w:tcBorders>
            <w:noWrap/>
            <w:vAlign w:val="center"/>
          </w:tcPr>
          <w:p w14:paraId="1FF775E1">
            <w:pPr>
              <w:widowControl/>
              <w:spacing w:line="240" w:lineRule="auto"/>
              <w:jc w:val="center"/>
              <w:textAlignment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0278320B">
            <w:pPr>
              <w:pageBreakBefore w:val="0"/>
              <w:widowControl/>
              <w:kinsoku/>
              <w:wordWrap/>
              <w:overflowPunct/>
              <w:topLinePunct w:val="0"/>
              <w:bidi w:val="0"/>
              <w:snapToGrid w:val="0"/>
              <w:spacing w:line="300" w:lineRule="auto"/>
              <w:ind w:left="0" w:leftChars="0"/>
              <w:jc w:val="both"/>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绿化工</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0C0962E4">
            <w:pPr>
              <w:pageBreakBefore w:val="0"/>
              <w:widowControl/>
              <w:kinsoku/>
              <w:wordWrap/>
              <w:overflowPunct/>
              <w:topLinePunct w:val="0"/>
              <w:bidi w:val="0"/>
              <w:snapToGrid w:val="0"/>
              <w:spacing w:line="300" w:lineRule="auto"/>
              <w:ind w:left="0" w:leftChars="0"/>
              <w:jc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0</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52202878">
            <w:pPr>
              <w:widowControl w:val="0"/>
              <w:spacing w:line="240" w:lineRule="auto"/>
              <w:jc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2877D7B2">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69EEBABD">
            <w:pPr>
              <w:widowControl w:val="0"/>
              <w:spacing w:line="240" w:lineRule="auto"/>
              <w:jc w:val="center"/>
              <w:rPr>
                <w:rFonts w:hint="eastAsia" w:ascii="仿宋" w:hAnsi="仿宋" w:eastAsia="仿宋" w:cs="仿宋"/>
                <w:color w:val="000000"/>
                <w:sz w:val="28"/>
                <w:szCs w:val="28"/>
              </w:rPr>
            </w:pPr>
          </w:p>
        </w:tc>
      </w:tr>
      <w:tr w14:paraId="54CACC47">
        <w:tblPrEx>
          <w:tblCellMar>
            <w:top w:w="0" w:type="dxa"/>
            <w:left w:w="108" w:type="dxa"/>
            <w:bottom w:w="0" w:type="dxa"/>
            <w:right w:w="108" w:type="dxa"/>
          </w:tblCellMar>
        </w:tblPrEx>
        <w:trPr>
          <w:trHeight w:val="283"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605C258C">
            <w:pPr>
              <w:widowControl/>
              <w:spacing w:line="240" w:lineRule="auto"/>
              <w:jc w:val="center"/>
              <w:textAlignment w:val="center"/>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7</w:t>
            </w:r>
          </w:p>
        </w:tc>
        <w:tc>
          <w:tcPr>
            <w:tcW w:w="856" w:type="pct"/>
            <w:vMerge w:val="continue"/>
            <w:tcBorders>
              <w:left w:val="single" w:color="000000" w:sz="4" w:space="0"/>
              <w:right w:val="single" w:color="000000" w:sz="4" w:space="0"/>
            </w:tcBorders>
            <w:noWrap/>
            <w:vAlign w:val="center"/>
          </w:tcPr>
          <w:p w14:paraId="2DF7863F">
            <w:pPr>
              <w:widowControl/>
              <w:spacing w:line="240" w:lineRule="auto"/>
              <w:jc w:val="center"/>
              <w:textAlignment w:val="center"/>
              <w:rPr>
                <w:rFonts w:hint="eastAsia" w:ascii="仿宋" w:hAnsi="仿宋" w:eastAsia="仿宋" w:cs="仿宋"/>
                <w:color w:val="000000"/>
                <w:sz w:val="28"/>
                <w:szCs w:val="28"/>
              </w:rPr>
            </w:pPr>
          </w:p>
        </w:tc>
        <w:tc>
          <w:tcPr>
            <w:tcW w:w="1220" w:type="pct"/>
            <w:tcBorders>
              <w:top w:val="single" w:color="000000" w:sz="4" w:space="0"/>
              <w:left w:val="single" w:color="000000" w:sz="4" w:space="0"/>
              <w:bottom w:val="single" w:color="000000" w:sz="4" w:space="0"/>
              <w:right w:val="single" w:color="000000" w:sz="4" w:space="0"/>
            </w:tcBorders>
            <w:noWrap w:val="0"/>
            <w:vAlign w:val="center"/>
          </w:tcPr>
          <w:p w14:paraId="2F1D3D85">
            <w:pPr>
              <w:pageBreakBefore w:val="0"/>
              <w:widowControl/>
              <w:kinsoku/>
              <w:wordWrap/>
              <w:overflowPunct/>
              <w:topLinePunct w:val="0"/>
              <w:bidi w:val="0"/>
              <w:snapToGrid w:val="0"/>
              <w:spacing w:line="300" w:lineRule="auto"/>
              <w:ind w:left="0" w:leftChars="0"/>
              <w:jc w:val="both"/>
              <w:rPr>
                <w:rFonts w:hint="default"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水电工</w:t>
            </w:r>
          </w:p>
        </w:tc>
        <w:tc>
          <w:tcPr>
            <w:tcW w:w="636" w:type="pct"/>
            <w:tcBorders>
              <w:top w:val="single" w:color="000000" w:sz="4" w:space="0"/>
              <w:left w:val="single" w:color="000000" w:sz="4" w:space="0"/>
              <w:bottom w:val="single" w:color="000000" w:sz="4" w:space="0"/>
              <w:right w:val="single" w:color="000000" w:sz="4" w:space="0"/>
            </w:tcBorders>
            <w:noWrap w:val="0"/>
            <w:vAlign w:val="center"/>
          </w:tcPr>
          <w:p w14:paraId="2157730E">
            <w:pPr>
              <w:pageBreakBefore w:val="0"/>
              <w:widowControl/>
              <w:kinsoku/>
              <w:wordWrap/>
              <w:overflowPunct/>
              <w:topLinePunct w:val="0"/>
              <w:bidi w:val="0"/>
              <w:snapToGrid w:val="0"/>
              <w:spacing w:line="300" w:lineRule="auto"/>
              <w:ind w:left="0" w:leftChars="0"/>
              <w:jc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0</w:t>
            </w:r>
          </w:p>
        </w:tc>
        <w:tc>
          <w:tcPr>
            <w:tcW w:w="880" w:type="pct"/>
            <w:tcBorders>
              <w:top w:val="single" w:color="000000" w:sz="4" w:space="0"/>
              <w:left w:val="single" w:color="000000" w:sz="4" w:space="0"/>
              <w:bottom w:val="single" w:color="000000" w:sz="4" w:space="0"/>
              <w:right w:val="single" w:color="000000" w:sz="4" w:space="0"/>
            </w:tcBorders>
            <w:noWrap w:val="0"/>
            <w:vAlign w:val="center"/>
          </w:tcPr>
          <w:p w14:paraId="239F9E2B">
            <w:pPr>
              <w:widowControl w:val="0"/>
              <w:spacing w:line="240" w:lineRule="auto"/>
              <w:jc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2E7D0BCF">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1D6D5C67">
            <w:pPr>
              <w:widowControl w:val="0"/>
              <w:spacing w:line="240" w:lineRule="auto"/>
              <w:jc w:val="center"/>
              <w:rPr>
                <w:rFonts w:hint="eastAsia" w:ascii="仿宋" w:hAnsi="仿宋" w:eastAsia="仿宋" w:cs="仿宋"/>
                <w:color w:val="000000"/>
                <w:sz w:val="28"/>
                <w:szCs w:val="28"/>
              </w:rPr>
            </w:pPr>
          </w:p>
        </w:tc>
      </w:tr>
      <w:tr w14:paraId="6054D358">
        <w:tblPrEx>
          <w:tblCellMar>
            <w:top w:w="0" w:type="dxa"/>
            <w:left w:w="108" w:type="dxa"/>
            <w:bottom w:w="0" w:type="dxa"/>
            <w:right w:w="108" w:type="dxa"/>
          </w:tblCellMar>
        </w:tblPrEx>
        <w:trPr>
          <w:trHeight w:val="397"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4F5E22DF">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8</w:t>
            </w:r>
          </w:p>
        </w:tc>
        <w:tc>
          <w:tcPr>
            <w:tcW w:w="856" w:type="pct"/>
            <w:tcBorders>
              <w:top w:val="single" w:color="000000" w:sz="4" w:space="0"/>
              <w:left w:val="single" w:color="000000" w:sz="4" w:space="0"/>
              <w:bottom w:val="single" w:color="000000" w:sz="4" w:space="0"/>
              <w:right w:val="single" w:color="000000" w:sz="4" w:space="0"/>
            </w:tcBorders>
            <w:noWrap/>
            <w:vAlign w:val="center"/>
          </w:tcPr>
          <w:p w14:paraId="0EC1EDC0">
            <w:pPr>
              <w:widowControl/>
              <w:spacing w:line="240" w:lineRule="auto"/>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管理费</w:t>
            </w:r>
          </w:p>
        </w:tc>
        <w:tc>
          <w:tcPr>
            <w:tcW w:w="2737" w:type="pct"/>
            <w:gridSpan w:val="3"/>
            <w:tcBorders>
              <w:top w:val="single" w:color="000000" w:sz="4" w:space="0"/>
              <w:left w:val="single" w:color="000000" w:sz="4" w:space="0"/>
              <w:bottom w:val="single" w:color="000000" w:sz="4" w:space="0"/>
              <w:right w:val="single" w:color="000000" w:sz="4" w:space="0"/>
            </w:tcBorders>
            <w:noWrap/>
            <w:vAlign w:val="center"/>
          </w:tcPr>
          <w:p w14:paraId="14FD5D1E">
            <w:pPr>
              <w:widowControl w:val="0"/>
              <w:spacing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含</w:t>
            </w:r>
            <w:r>
              <w:rPr>
                <w:rFonts w:hint="eastAsia" w:ascii="仿宋" w:hAnsi="仿宋" w:eastAsia="仿宋" w:cs="仿宋"/>
                <w:color w:val="000000"/>
                <w:sz w:val="28"/>
                <w:szCs w:val="28"/>
                <w:lang w:val="en-US" w:eastAsia="zh-CN"/>
              </w:rPr>
              <w:t>物业维修、</w:t>
            </w:r>
            <w:r>
              <w:rPr>
                <w:rFonts w:hint="eastAsia" w:ascii="仿宋" w:hAnsi="仿宋" w:eastAsia="仿宋" w:cs="仿宋"/>
                <w:color w:val="000000"/>
                <w:sz w:val="28"/>
                <w:szCs w:val="28"/>
              </w:rPr>
              <w:t>工会经费、培训、服装等福利</w:t>
            </w: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7E22AF31">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16585C61">
            <w:pPr>
              <w:widowControl/>
              <w:spacing w:line="240" w:lineRule="auto"/>
              <w:jc w:val="center"/>
              <w:textAlignment w:val="center"/>
              <w:rPr>
                <w:rFonts w:hint="eastAsia" w:ascii="仿宋" w:hAnsi="仿宋" w:eastAsia="仿宋" w:cs="仿宋"/>
                <w:color w:val="000000"/>
                <w:sz w:val="28"/>
                <w:szCs w:val="28"/>
              </w:rPr>
            </w:pPr>
          </w:p>
        </w:tc>
      </w:tr>
      <w:tr w14:paraId="39741C60">
        <w:tblPrEx>
          <w:tblCellMar>
            <w:top w:w="0" w:type="dxa"/>
            <w:left w:w="108" w:type="dxa"/>
            <w:bottom w:w="0" w:type="dxa"/>
            <w:right w:w="108" w:type="dxa"/>
          </w:tblCellMar>
        </w:tblPrEx>
        <w:trPr>
          <w:trHeight w:val="256"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25382F45">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9</w:t>
            </w:r>
          </w:p>
        </w:tc>
        <w:tc>
          <w:tcPr>
            <w:tcW w:w="856" w:type="pct"/>
            <w:tcBorders>
              <w:top w:val="single" w:color="000000" w:sz="4" w:space="0"/>
              <w:left w:val="single" w:color="000000" w:sz="4" w:space="0"/>
              <w:bottom w:val="single" w:color="000000" w:sz="4" w:space="0"/>
              <w:right w:val="single" w:color="000000" w:sz="4" w:space="0"/>
            </w:tcBorders>
            <w:noWrap/>
            <w:vAlign w:val="center"/>
          </w:tcPr>
          <w:p w14:paraId="24712569">
            <w:pPr>
              <w:widowControl/>
              <w:spacing w:line="240" w:lineRule="auto"/>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税费</w:t>
            </w:r>
          </w:p>
        </w:tc>
        <w:tc>
          <w:tcPr>
            <w:tcW w:w="2737" w:type="pct"/>
            <w:gridSpan w:val="3"/>
            <w:tcBorders>
              <w:top w:val="single" w:color="000000" w:sz="4" w:space="0"/>
              <w:left w:val="single" w:color="000000" w:sz="4" w:space="0"/>
              <w:bottom w:val="single" w:color="000000" w:sz="4" w:space="0"/>
              <w:right w:val="single" w:color="000000" w:sz="4" w:space="0"/>
            </w:tcBorders>
            <w:noWrap/>
            <w:vAlign w:val="center"/>
          </w:tcPr>
          <w:p w14:paraId="3CEBCCB3">
            <w:pPr>
              <w:widowControl w:val="0"/>
              <w:spacing w:line="240" w:lineRule="auto"/>
              <w:jc w:val="center"/>
              <w:rPr>
                <w:rFonts w:hint="eastAsia" w:ascii="仿宋" w:hAnsi="仿宋" w:eastAsia="仿宋" w:cs="仿宋"/>
                <w:color w:val="000000"/>
                <w:sz w:val="28"/>
                <w:szCs w:val="28"/>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20602790">
            <w:pPr>
              <w:widowControl/>
              <w:spacing w:line="240" w:lineRule="auto"/>
              <w:jc w:val="center"/>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5F059200">
            <w:pPr>
              <w:widowControl w:val="0"/>
              <w:spacing w:line="240" w:lineRule="auto"/>
              <w:jc w:val="center"/>
              <w:rPr>
                <w:rFonts w:hint="eastAsia" w:ascii="仿宋" w:hAnsi="仿宋" w:eastAsia="仿宋" w:cs="仿宋"/>
                <w:color w:val="000000"/>
                <w:sz w:val="28"/>
                <w:szCs w:val="28"/>
              </w:rPr>
            </w:pPr>
          </w:p>
        </w:tc>
      </w:tr>
      <w:tr w14:paraId="6108A328">
        <w:tblPrEx>
          <w:tblCellMar>
            <w:top w:w="0" w:type="dxa"/>
            <w:left w:w="108" w:type="dxa"/>
            <w:bottom w:w="0" w:type="dxa"/>
            <w:right w:w="108" w:type="dxa"/>
          </w:tblCellMar>
        </w:tblPrEx>
        <w:trPr>
          <w:trHeight w:val="332" w:hRule="atLeast"/>
        </w:trPr>
        <w:tc>
          <w:tcPr>
            <w:tcW w:w="311" w:type="pct"/>
            <w:tcBorders>
              <w:top w:val="single" w:color="000000" w:sz="4" w:space="0"/>
              <w:left w:val="single" w:color="000000" w:sz="4" w:space="0"/>
              <w:bottom w:val="single" w:color="000000" w:sz="4" w:space="0"/>
              <w:right w:val="single" w:color="000000" w:sz="4" w:space="0"/>
            </w:tcBorders>
            <w:noWrap/>
            <w:vAlign w:val="center"/>
          </w:tcPr>
          <w:p w14:paraId="5B90B495">
            <w:pPr>
              <w:widowControl/>
              <w:spacing w:line="240" w:lineRule="auto"/>
              <w:jc w:val="center"/>
              <w:textAlignment w:val="center"/>
              <w:rPr>
                <w:rFonts w:hint="default" w:ascii="仿宋" w:hAnsi="仿宋" w:eastAsia="仿宋" w:cs="仿宋"/>
                <w:color w:val="000000"/>
                <w:sz w:val="28"/>
                <w:szCs w:val="28"/>
                <w:lang w:val="en-US" w:eastAsia="zh-CN"/>
              </w:rPr>
            </w:pPr>
            <w:r>
              <w:rPr>
                <w:rFonts w:hint="eastAsia" w:ascii="仿宋" w:hAnsi="仿宋" w:eastAsia="仿宋" w:cs="仿宋"/>
                <w:color w:val="000000"/>
                <w:kern w:val="0"/>
                <w:sz w:val="28"/>
                <w:szCs w:val="28"/>
                <w:lang w:val="en-US" w:eastAsia="zh-CN" w:bidi="ar"/>
              </w:rPr>
              <w:t>10</w:t>
            </w:r>
          </w:p>
        </w:tc>
        <w:tc>
          <w:tcPr>
            <w:tcW w:w="856" w:type="pct"/>
            <w:tcBorders>
              <w:top w:val="single" w:color="000000" w:sz="4" w:space="0"/>
              <w:left w:val="single" w:color="000000" w:sz="4" w:space="0"/>
              <w:bottom w:val="single" w:color="000000" w:sz="4" w:space="0"/>
              <w:right w:val="single" w:color="000000" w:sz="4" w:space="0"/>
            </w:tcBorders>
            <w:noWrap/>
            <w:vAlign w:val="center"/>
          </w:tcPr>
          <w:p w14:paraId="4A830B77">
            <w:pPr>
              <w:widowControl/>
              <w:spacing w:line="240" w:lineRule="auto"/>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合计</w:t>
            </w:r>
          </w:p>
        </w:tc>
        <w:tc>
          <w:tcPr>
            <w:tcW w:w="3365" w:type="pct"/>
            <w:gridSpan w:val="4"/>
            <w:tcBorders>
              <w:top w:val="single" w:color="000000" w:sz="4" w:space="0"/>
              <w:left w:val="single" w:color="000000" w:sz="4" w:space="0"/>
              <w:bottom w:val="single" w:color="000000" w:sz="4" w:space="0"/>
              <w:right w:val="single" w:color="000000" w:sz="4" w:space="0"/>
            </w:tcBorders>
            <w:noWrap/>
            <w:vAlign w:val="center"/>
          </w:tcPr>
          <w:p w14:paraId="4EDC9DC5">
            <w:pPr>
              <w:widowControl/>
              <w:spacing w:line="240" w:lineRule="auto"/>
              <w:textAlignment w:val="center"/>
              <w:rPr>
                <w:rFonts w:hint="eastAsia" w:ascii="仿宋" w:hAnsi="仿宋" w:eastAsia="仿宋" w:cs="仿宋"/>
                <w:color w:val="000000"/>
                <w:sz w:val="28"/>
                <w:szCs w:val="28"/>
              </w:rPr>
            </w:pPr>
          </w:p>
        </w:tc>
        <w:tc>
          <w:tcPr>
            <w:tcW w:w="467" w:type="pct"/>
            <w:tcBorders>
              <w:top w:val="single" w:color="000000" w:sz="4" w:space="0"/>
              <w:left w:val="single" w:color="000000" w:sz="4" w:space="0"/>
              <w:bottom w:val="single" w:color="000000" w:sz="4" w:space="0"/>
              <w:right w:val="single" w:color="000000" w:sz="4" w:space="0"/>
            </w:tcBorders>
            <w:noWrap/>
            <w:vAlign w:val="center"/>
          </w:tcPr>
          <w:p w14:paraId="578FC950">
            <w:pPr>
              <w:widowControl w:val="0"/>
              <w:spacing w:line="240" w:lineRule="auto"/>
              <w:jc w:val="center"/>
              <w:rPr>
                <w:rFonts w:hint="eastAsia" w:ascii="仿宋" w:hAnsi="仿宋" w:eastAsia="仿宋" w:cs="仿宋"/>
                <w:color w:val="000000"/>
                <w:sz w:val="28"/>
                <w:szCs w:val="28"/>
              </w:rPr>
            </w:pPr>
          </w:p>
        </w:tc>
      </w:tr>
      <w:tr w14:paraId="4F957133">
        <w:tblPrEx>
          <w:tblCellMar>
            <w:top w:w="0" w:type="dxa"/>
            <w:left w:w="108" w:type="dxa"/>
            <w:bottom w:w="0" w:type="dxa"/>
            <w:right w:w="108" w:type="dxa"/>
          </w:tblCellMar>
        </w:tblPrEx>
        <w:trPr>
          <w:trHeight w:val="336"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4D8B99B3">
            <w:pPr>
              <w:widowControl w:val="0"/>
              <w:spacing w:line="240" w:lineRule="auto"/>
              <w:jc w:val="left"/>
              <w:rPr>
                <w:rFonts w:hint="eastAsia" w:ascii="仿宋" w:hAnsi="仿宋" w:eastAsia="仿宋" w:cs="仿宋"/>
                <w:color w:val="000000"/>
                <w:sz w:val="28"/>
                <w:szCs w:val="28"/>
              </w:rPr>
            </w:pPr>
            <w:r>
              <w:rPr>
                <w:rFonts w:hint="eastAsia" w:ascii="仿宋" w:hAnsi="仿宋" w:eastAsia="仿宋" w:cs="仿宋"/>
                <w:b/>
                <w:bCs/>
                <w:color w:val="000000"/>
                <w:kern w:val="0"/>
                <w:sz w:val="24"/>
                <w:szCs w:val="24"/>
                <w:lang w:val="en-US" w:eastAsia="zh-CN" w:bidi="ar"/>
              </w:rPr>
              <w:t>根据实际情况可自行扩展</w:t>
            </w:r>
          </w:p>
        </w:tc>
      </w:tr>
    </w:tbl>
    <w:p w14:paraId="7EB17F58">
      <w:pPr>
        <w:keepNext w:val="0"/>
        <w:keepLines w:val="0"/>
        <w:pageBreakBefore w:val="0"/>
        <w:kinsoku/>
        <w:overflowPunct/>
        <w:topLinePunct w:val="0"/>
        <w:bidi w:val="0"/>
        <w:spacing w:line="560" w:lineRule="exact"/>
        <w:rPr>
          <w:rFonts w:hint="default" w:ascii="仿宋" w:hAnsi="仿宋" w:eastAsia="仿宋" w:cs="仿宋"/>
          <w:b/>
          <w:bCs/>
          <w:sz w:val="28"/>
          <w:szCs w:val="28"/>
          <w:lang w:val="en-US"/>
        </w:rPr>
      </w:pPr>
      <w:r>
        <w:rPr>
          <w:rFonts w:hint="eastAsia" w:ascii="仿宋" w:hAnsi="仿宋" w:eastAsia="仿宋" w:cs="仿宋"/>
          <w:b/>
          <w:bCs/>
          <w:color w:val="auto"/>
          <w:sz w:val="28"/>
          <w:szCs w:val="28"/>
          <w:highlight w:val="none"/>
          <w:lang w:val="en-US" w:eastAsia="zh-CN"/>
        </w:rPr>
        <w:t>低值易耗品清单</w:t>
      </w:r>
      <w:r>
        <w:rPr>
          <w:rFonts w:hint="eastAsia" w:cs="Calibri"/>
          <w:bCs/>
          <w:color w:val="auto"/>
          <w:szCs w:val="21"/>
          <w:highlight w:val="none"/>
          <w:lang w:eastAsia="zh-CN"/>
        </w:rPr>
        <w:t>（</w:t>
      </w:r>
      <w:r>
        <w:rPr>
          <w:rFonts w:hint="eastAsia" w:ascii="楷体" w:hAnsi="楷体" w:eastAsia="楷体" w:cs="楷体"/>
          <w:bCs/>
          <w:color w:val="auto"/>
          <w:sz w:val="18"/>
          <w:szCs w:val="18"/>
          <w:highlight w:val="none"/>
          <w:lang w:val="en-US" w:eastAsia="zh-CN"/>
        </w:rPr>
        <w:t>两个独立服务点位共用一批低值易耗品）</w:t>
      </w:r>
    </w:p>
    <w:tbl>
      <w:tblPr>
        <w:tblStyle w:val="6"/>
        <w:tblW w:w="5043" w:type="pct"/>
        <w:tblInd w:w="0" w:type="dxa"/>
        <w:tblLayout w:type="fixed"/>
        <w:tblCellMar>
          <w:top w:w="0" w:type="dxa"/>
          <w:left w:w="108" w:type="dxa"/>
          <w:bottom w:w="0" w:type="dxa"/>
          <w:right w:w="108" w:type="dxa"/>
        </w:tblCellMar>
      </w:tblPr>
      <w:tblGrid>
        <w:gridCol w:w="773"/>
        <w:gridCol w:w="1942"/>
        <w:gridCol w:w="1040"/>
        <w:gridCol w:w="1431"/>
        <w:gridCol w:w="2607"/>
        <w:gridCol w:w="803"/>
      </w:tblGrid>
      <w:tr w14:paraId="27A97E3A">
        <w:tblPrEx>
          <w:tblCellMar>
            <w:top w:w="0" w:type="dxa"/>
            <w:left w:w="108" w:type="dxa"/>
            <w:bottom w:w="0" w:type="dxa"/>
            <w:right w:w="108" w:type="dxa"/>
          </w:tblCellMar>
        </w:tblPrEx>
        <w:trPr>
          <w:trHeight w:val="1486"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12460D93">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70E374C1">
            <w:pPr>
              <w:widowControl/>
              <w:spacing w:line="240" w:lineRule="auto"/>
              <w:jc w:val="center"/>
              <w:textAlignment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7E4D50F5">
            <w:pPr>
              <w:widowControl/>
              <w:spacing w:line="240" w:lineRule="auto"/>
              <w:jc w:val="center"/>
              <w:textAlignment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B45DB02">
            <w:pPr>
              <w:widowControl/>
              <w:spacing w:line="240" w:lineRule="auto"/>
              <w:jc w:val="center"/>
              <w:textAlignment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22193C41">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249DD04">
            <w:pPr>
              <w:widowControl/>
              <w:spacing w:line="240" w:lineRule="auto"/>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备注</w:t>
            </w:r>
          </w:p>
        </w:tc>
      </w:tr>
      <w:tr w14:paraId="1B6446DE">
        <w:tblPrEx>
          <w:tblCellMar>
            <w:top w:w="0" w:type="dxa"/>
            <w:left w:w="108" w:type="dxa"/>
            <w:bottom w:w="0" w:type="dxa"/>
            <w:right w:w="108" w:type="dxa"/>
          </w:tblCellMar>
        </w:tblPrEx>
        <w:trPr>
          <w:trHeight w:val="749"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FDD27B8">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3249227">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66DB6330">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F5DEC30">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C6F182C">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2B185CC">
            <w:pPr>
              <w:widowControl/>
              <w:spacing w:line="240" w:lineRule="auto"/>
              <w:jc w:val="center"/>
              <w:textAlignment w:val="center"/>
              <w:rPr>
                <w:rFonts w:hint="eastAsia" w:ascii="仿宋" w:hAnsi="仿宋" w:eastAsia="仿宋" w:cs="仿宋"/>
                <w:b/>
                <w:bCs/>
                <w:color w:val="000000"/>
                <w:kern w:val="0"/>
                <w:sz w:val="28"/>
                <w:szCs w:val="28"/>
                <w:lang w:bidi="ar"/>
              </w:rPr>
            </w:pPr>
          </w:p>
        </w:tc>
      </w:tr>
      <w:tr w14:paraId="7D7FD41E">
        <w:tblPrEx>
          <w:tblCellMar>
            <w:top w:w="0" w:type="dxa"/>
            <w:left w:w="108" w:type="dxa"/>
            <w:bottom w:w="0" w:type="dxa"/>
            <w:right w:w="108" w:type="dxa"/>
          </w:tblCellMar>
        </w:tblPrEx>
        <w:trPr>
          <w:trHeight w:val="749"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751BD478">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4D4C35BA">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7D2EBDD1">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05CE45A">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6DA3324">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4F59A77">
            <w:pPr>
              <w:widowControl/>
              <w:spacing w:line="240" w:lineRule="auto"/>
              <w:jc w:val="center"/>
              <w:textAlignment w:val="center"/>
              <w:rPr>
                <w:rFonts w:hint="eastAsia" w:ascii="仿宋" w:hAnsi="仿宋" w:eastAsia="仿宋" w:cs="仿宋"/>
                <w:b/>
                <w:bCs/>
                <w:color w:val="000000"/>
                <w:kern w:val="0"/>
                <w:sz w:val="28"/>
                <w:szCs w:val="28"/>
                <w:lang w:bidi="ar"/>
              </w:rPr>
            </w:pPr>
          </w:p>
        </w:tc>
      </w:tr>
      <w:tr w14:paraId="2304025A">
        <w:tblPrEx>
          <w:tblCellMar>
            <w:top w:w="0" w:type="dxa"/>
            <w:left w:w="108" w:type="dxa"/>
            <w:bottom w:w="0" w:type="dxa"/>
            <w:right w:w="108" w:type="dxa"/>
          </w:tblCellMar>
        </w:tblPrEx>
        <w:trPr>
          <w:trHeight w:val="749"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234B1B6F">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01D6F7EE">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48977394">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E0371C7">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BF44E1E">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D5A850D">
            <w:pPr>
              <w:widowControl/>
              <w:spacing w:line="240" w:lineRule="auto"/>
              <w:jc w:val="center"/>
              <w:textAlignment w:val="center"/>
              <w:rPr>
                <w:rFonts w:hint="eastAsia" w:ascii="仿宋" w:hAnsi="仿宋" w:eastAsia="仿宋" w:cs="仿宋"/>
                <w:b/>
                <w:bCs/>
                <w:color w:val="000000"/>
                <w:kern w:val="0"/>
                <w:sz w:val="28"/>
                <w:szCs w:val="28"/>
                <w:lang w:bidi="ar"/>
              </w:rPr>
            </w:pPr>
          </w:p>
        </w:tc>
      </w:tr>
      <w:tr w14:paraId="5989889D">
        <w:tblPrEx>
          <w:tblCellMar>
            <w:top w:w="0" w:type="dxa"/>
            <w:left w:w="108" w:type="dxa"/>
            <w:bottom w:w="0" w:type="dxa"/>
            <w:right w:w="108" w:type="dxa"/>
          </w:tblCellMar>
        </w:tblPrEx>
        <w:trPr>
          <w:trHeight w:val="749"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4087EC0">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4</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6EAC1058">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33B5D527">
            <w:pPr>
              <w:widowControl/>
              <w:spacing w:line="240" w:lineRule="auto"/>
              <w:jc w:val="center"/>
              <w:textAlignment w:val="center"/>
              <w:rPr>
                <w:rFonts w:hint="eastAsia" w:ascii="仿宋" w:hAnsi="仿宋" w:eastAsia="仿宋" w:cs="仿宋"/>
                <w:b/>
                <w:bCs/>
                <w:color w:val="000000"/>
                <w:kern w:val="0"/>
                <w:sz w:val="28"/>
                <w:szCs w:val="28"/>
                <w:lang w:val="en-US" w:eastAsia="zh-CN"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C1E4C25">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982B3F2">
            <w:pPr>
              <w:widowControl/>
              <w:spacing w:line="240" w:lineRule="auto"/>
              <w:jc w:val="center"/>
              <w:textAlignment w:val="center"/>
              <w:rPr>
                <w:rFonts w:hint="default" w:ascii="仿宋" w:hAnsi="仿宋" w:eastAsia="仿宋" w:cs="仿宋"/>
                <w:b/>
                <w:bCs/>
                <w:color w:val="000000"/>
                <w:kern w:val="0"/>
                <w:sz w:val="28"/>
                <w:szCs w:val="28"/>
                <w:lang w:val="en-US" w:eastAsia="zh-CN"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006290E">
            <w:pPr>
              <w:widowControl/>
              <w:spacing w:line="240" w:lineRule="auto"/>
              <w:jc w:val="both"/>
              <w:textAlignment w:val="center"/>
              <w:rPr>
                <w:rFonts w:hint="eastAsia" w:ascii="仿宋" w:hAnsi="仿宋" w:eastAsia="仿宋" w:cs="仿宋"/>
                <w:b/>
                <w:bCs/>
                <w:color w:val="000000"/>
                <w:kern w:val="0"/>
                <w:sz w:val="28"/>
                <w:szCs w:val="28"/>
                <w:lang w:bidi="ar"/>
              </w:rPr>
            </w:pPr>
          </w:p>
        </w:tc>
      </w:tr>
      <w:tr w14:paraId="689FA5F3">
        <w:tblPrEx>
          <w:tblCellMar>
            <w:top w:w="0" w:type="dxa"/>
            <w:left w:w="108" w:type="dxa"/>
            <w:bottom w:w="0" w:type="dxa"/>
            <w:right w:w="108" w:type="dxa"/>
          </w:tblCellMar>
        </w:tblPrEx>
        <w:trPr>
          <w:trHeight w:val="385"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02FABECD">
            <w:pPr>
              <w:widowControl/>
              <w:spacing w:line="240" w:lineRule="auto"/>
              <w:jc w:val="left"/>
              <w:textAlignment w:val="center"/>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4"/>
                <w:szCs w:val="24"/>
                <w:lang w:val="en-US" w:eastAsia="zh-CN" w:bidi="ar"/>
              </w:rPr>
              <w:t>根据实际情况可自行扩展</w:t>
            </w:r>
          </w:p>
        </w:tc>
      </w:tr>
      <w:tr w14:paraId="00BDECC1">
        <w:tblPrEx>
          <w:tblCellMar>
            <w:top w:w="0" w:type="dxa"/>
            <w:left w:w="108" w:type="dxa"/>
            <w:bottom w:w="0" w:type="dxa"/>
            <w:right w:w="108" w:type="dxa"/>
          </w:tblCellMar>
        </w:tblPrEx>
        <w:trPr>
          <w:trHeight w:val="392"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4DC3CBA7">
            <w:pPr>
              <w:widowControl/>
              <w:spacing w:line="240" w:lineRule="auto"/>
              <w:jc w:val="left"/>
              <w:textAlignment w:val="center"/>
              <w:rPr>
                <w:rFonts w:hint="eastAsia" w:ascii="仿宋" w:hAnsi="仿宋" w:eastAsia="仿宋" w:cs="仿宋"/>
                <w:b/>
                <w:bCs/>
                <w:color w:val="000000"/>
                <w:kern w:val="0"/>
                <w:sz w:val="24"/>
                <w:szCs w:val="24"/>
                <w:lang w:val="en-US" w:eastAsia="zh-CN" w:bidi="ar"/>
              </w:rPr>
            </w:pPr>
          </w:p>
        </w:tc>
      </w:tr>
    </w:tbl>
    <w:p w14:paraId="23E7F195">
      <w:pPr>
        <w:pStyle w:val="5"/>
        <w:ind w:firstLine="560" w:firstLineChars="200"/>
        <w:rPr>
          <w:rFonts w:hint="default" w:ascii="Calibri" w:hAnsi="Calibri" w:eastAsia="宋体" w:cs="Calibri"/>
          <w:color w:val="auto"/>
          <w:szCs w:val="21"/>
          <w:highlight w:val="none"/>
          <w:u w:val="none"/>
          <w:lang w:val="en-US" w:eastAsia="zh-CN"/>
        </w:rPr>
      </w:pPr>
    </w:p>
    <w:p w14:paraId="22E26DC5"/>
    <w:p w14:paraId="35F4EC65">
      <w:r>
        <w:rPr>
          <w:rFonts w:hint="eastAsia"/>
        </w:rPr>
        <w:br w:type="page"/>
      </w:r>
      <w:bookmarkStart w:id="13" w:name="_GoBack"/>
      <w:bookmarkEnd w:id="1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Segoe UI Semilight">
    <w:panose1 w:val="020B0402040204020203"/>
    <w:charset w:val="00"/>
    <w:family w:val="auto"/>
    <w:pitch w:val="default"/>
    <w:sig w:usb0="E4002EFF" w:usb1="C000E47F" w:usb2="00000009" w:usb3="00000000" w:csb0="200001FF" w:csb1="00000000"/>
  </w:font>
  <w:font w:name="Kingsoft UE">
    <w:panose1 w:val="02000100010000000000"/>
    <w:charset w:val="00"/>
    <w:family w:val="auto"/>
    <w:pitch w:val="default"/>
    <w:sig w:usb0="00000001" w:usb1="00004000" w:usb2="00000000" w:usb3="00000000" w:csb0="00000001" w:csb1="00000000"/>
  </w:font>
  <w:font w:name="KSOF4FB7C026">
    <w:panose1 w:val="020B0402040204020203"/>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6659C1"/>
    <w:multiLevelType w:val="singleLevel"/>
    <w:tmpl w:val="926659C1"/>
    <w:lvl w:ilvl="0" w:tentative="0">
      <w:start w:val="2"/>
      <w:numFmt w:val="decimal"/>
      <w:suff w:val="nothing"/>
      <w:lvlText w:val="（%1）"/>
      <w:lvlJc w:val="left"/>
    </w:lvl>
  </w:abstractNum>
  <w:abstractNum w:abstractNumId="1">
    <w:nsid w:val="FBF48E9E"/>
    <w:multiLevelType w:val="singleLevel"/>
    <w:tmpl w:val="FBF48E9E"/>
    <w:lvl w:ilvl="0" w:tentative="0">
      <w:start w:val="5"/>
      <w:numFmt w:val="decimal"/>
      <w:lvlText w:val="%1."/>
      <w:lvlJc w:val="left"/>
      <w:pPr>
        <w:tabs>
          <w:tab w:val="left" w:pos="312"/>
        </w:tabs>
      </w:pPr>
    </w:lvl>
  </w:abstractNum>
  <w:abstractNum w:abstractNumId="2">
    <w:nsid w:val="64E2DE32"/>
    <w:multiLevelType w:val="singleLevel"/>
    <w:tmpl w:val="64E2DE32"/>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7F032C"/>
    <w:rsid w:val="777F03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paragraph" w:styleId="3">
    <w:name w:val="heading 2"/>
    <w:basedOn w:val="1"/>
    <w:next w:val="1"/>
    <w:qFormat/>
    <w:uiPriority w:val="9"/>
    <w:pPr>
      <w:keepNext/>
      <w:keepLines/>
      <w:spacing w:line="500" w:lineRule="exact"/>
      <w:jc w:val="center"/>
      <w:outlineLvl w:val="1"/>
    </w:pPr>
    <w:rPr>
      <w:rFonts w:ascii="Calibri" w:hAnsi="Calibri" w:eastAsia="仿宋" w:cs="Times New Roman"/>
      <w:b/>
      <w:bCs/>
      <w:sz w:val="32"/>
      <w:szCs w:val="32"/>
    </w:rPr>
  </w:style>
  <w:style w:type="paragraph" w:styleId="4">
    <w:name w:val="heading 3"/>
    <w:basedOn w:val="1"/>
    <w:next w:val="1"/>
    <w:qFormat/>
    <w:uiPriority w:val="9"/>
    <w:pPr>
      <w:keepNext/>
      <w:keepLines/>
      <w:spacing w:line="400" w:lineRule="atLeast"/>
      <w:jc w:val="center"/>
      <w:outlineLvl w:val="2"/>
    </w:pPr>
    <w:rPr>
      <w:b/>
      <w:bCs/>
      <w:sz w:val="32"/>
      <w:szCs w:val="32"/>
      <w:u w:val="double"/>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annotation text"/>
    <w:basedOn w:val="1"/>
    <w:unhideWhenUsed/>
    <w:qFormat/>
    <w:uiPriority w:val="99"/>
    <w:pPr>
      <w:jc w:val="left"/>
    </w:p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2026-10-09T01:12:00Z</dcterms:created>
  <dc:creator>肆伍</dc:creator>
  <cp:lastModifiedBy>肆伍</cp:lastModifiedBy>
  <dcterms:modified xsi:type="dcterms:W3CDTF">2026-10-09T01:12:17Z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D024E34004284B72A1D419C7B020E35C_11</vt:lpwstr>
  </property>
  <property fmtid="{D5CDD505-2E9C-101B-9397-08002B2CF9AE}" pid="4" name="KSOTemplateDocerSaveRecord">
    <vt:lpwstr>eyJoZGlkIjoiMDQ3ZjFhY2Y2MWU5M2I3NDNiYjM5ZDM2NTE3MGYyYWMiLCJ1c2VySWQiOiIzNzE0MTY3NzEifQ==</vt:lpwstr>
  </property>
</Properties>
</file>