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版本号：SXWZ2026ZB-GCDX-07920260517001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科技成果转化服务项目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SXWZ2026ZB-GCDX-079</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科技成果转化服务项目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SXWZ2026ZB-GCDX-079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科技成果转化服务项目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科技成果转化服务项目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采购包1（科技成果转化服务项目）：属于专门面向中小企业采购。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或2025年度经审计完整的财务审计报告（成立时间至提交投标文件截止时间不足一年的可提供成立后任意时段的资产负债表），或其开标前六个月内基本开户银行银行出具的资信证明（附基本开户行开户证明资料）</w:t>
      </w:r>
    </w:p>
    <w:p>
      <w:pPr>
        <w:pStyle w:val="null3"/>
      </w:pPr>
      <w:r>
        <w:rPr>
          <w:rFonts w:ascii="仿宋_GB2312" w:hAnsi="仿宋_GB2312" w:cs="仿宋_GB2312" w:eastAsia="仿宋_GB2312"/>
        </w:rPr>
        <w:t>3、税收缴纳证明：提供2025年5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4、社会保障资金缴纳证明：提供2025年5月以来任意一个月的社会保障资金缴存单据或社保机构开具的社会保险参保缴费情况证明。依法不需要缴纳社会保障资金的供应商应提供相关文件证明；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7、本项目不接受联合体磋商：非联合体磋商声明</w:t>
      </w:r>
    </w:p>
    <w:p>
      <w:pPr>
        <w:pStyle w:val="null3"/>
      </w:pPr>
      <w:r>
        <w:rPr>
          <w:rFonts w:ascii="仿宋_GB2312" w:hAnsi="仿宋_GB2312" w:cs="仿宋_GB2312" w:eastAsia="仿宋_GB2312"/>
        </w:rPr>
        <w:t>8、中小企业申明函：提供中小企业声明函（本项目为专门面向中小微企业采购）。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崔方明 陈晓航 许芳芳 宋正昊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说明：（1）供应商成交后凭成交通知书向采购人缴纳合同金额的5%作为履约保证金； （2）履约保证金应使用人民币，可选择使用银行转账、支票、汇票、本票或者金融机构、担保机构出具的保函等非现金形式缴纳或提交； （3）采购人验收合格后，成交供应商提出书面申请，采购人将履约保证金（无息）退还成交供应商。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代理服务费收费标准：参照国家计委关于印发《招标代理服务收费管理暂行办法》的通知（计价格[2002]1980号）和发改办价格[2003]857号规定收取。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西安工程大学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联系人：陕西万泽招标有限公司</w:t>
      </w:r>
    </w:p>
    <w:p>
      <w:pPr>
        <w:pStyle w:val="null3"/>
      </w:pPr>
      <w:r>
        <w:rPr>
          <w:rFonts w:ascii="仿宋_GB2312" w:hAnsi="仿宋_GB2312" w:cs="仿宋_GB2312" w:eastAsia="仿宋_GB2312"/>
        </w:rPr>
        <w:t>联系电话：029-88319689-8004</w:t>
      </w:r>
    </w:p>
    <w:p>
      <w:pPr>
        <w:pStyle w:val="null3"/>
      </w:pPr>
      <w:r>
        <w:rPr>
          <w:rFonts w:ascii="仿宋_GB2312" w:hAnsi="仿宋_GB2312" w:cs="仿宋_GB2312" w:eastAsia="仿宋_GB2312"/>
        </w:rPr>
        <w:t>地址：西安市高新区唐延路35号旺座现代城C座2502室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西安工程大学科技成果转化服务项目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科技成果转化服务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标的名称：科技成果转化服务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商务要求：</w:t>
            </w:r>
          </w:p>
          <w:p>
            <w:pPr>
              <w:pStyle w:val="null3"/>
              <w:jc w:val="both"/>
            </w:pPr>
            <w:r>
              <w:rPr>
                <w:rFonts w:ascii="仿宋_GB2312" w:hAnsi="仿宋_GB2312" w:cs="仿宋_GB2312" w:eastAsia="仿宋_GB2312"/>
                <w:sz w:val="21"/>
              </w:rPr>
              <w:t>（1）服务期：自合同签订之日起25日历日内完成本项目服务。</w:t>
            </w:r>
          </w:p>
          <w:p>
            <w:pPr>
              <w:pStyle w:val="null3"/>
              <w:jc w:val="both"/>
            </w:pPr>
            <w:r>
              <w:rPr>
                <w:rFonts w:ascii="仿宋_GB2312" w:hAnsi="仿宋_GB2312" w:cs="仿宋_GB2312" w:eastAsia="仿宋_GB2312"/>
                <w:sz w:val="21"/>
              </w:rPr>
              <w:t>（2）付款方式：合同签订后，成交供应商向采购人提供预付款等额的银行、保险公司等金融机构出具的预付款保函或其他担保措施，采购人向成交供应商支付合同总价的40%作为预付款；待所有服务完成并经验收合格，30天内支付合同总价的60%。采购人向成交供应商付款前，成交供应商应向采购人开具符合采购人要求的发票，若因成交供应商未开具或逾期开具合法有效的发票，采购人有权顺延付款期限且不承担逾期付款责任。</w:t>
            </w:r>
          </w:p>
          <w:p>
            <w:pPr>
              <w:pStyle w:val="null3"/>
              <w:jc w:val="both"/>
            </w:pPr>
            <w:r>
              <w:rPr>
                <w:rFonts w:ascii="仿宋_GB2312" w:hAnsi="仿宋_GB2312" w:cs="仿宋_GB2312" w:eastAsia="仿宋_GB2312"/>
                <w:sz w:val="21"/>
              </w:rPr>
              <w:t>（3）服务地点：西安工程大学指定地点。</w:t>
            </w:r>
          </w:p>
          <w:p>
            <w:pPr>
              <w:pStyle w:val="null3"/>
            </w:pPr>
            <w:r>
              <w:rPr>
                <w:rFonts w:ascii="仿宋_GB2312" w:hAnsi="仿宋_GB2312" w:cs="仿宋_GB2312" w:eastAsia="仿宋_GB2312"/>
                <w:sz w:val="21"/>
              </w:rPr>
              <w:t>（4）其他商务条款：详见合同条款。</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总体要求</w:t>
            </w:r>
          </w:p>
          <w:p>
            <w:pPr>
              <w:pStyle w:val="null3"/>
              <w:ind w:firstLine="560"/>
              <w:jc w:val="left"/>
            </w:pPr>
            <w:r>
              <w:rPr>
                <w:rFonts w:ascii="仿宋_GB2312" w:hAnsi="仿宋_GB2312" w:cs="仿宋_GB2312" w:eastAsia="仿宋_GB2312"/>
                <w:sz w:val="21"/>
              </w:rPr>
              <w:t>供应商须围绕西安工程大学科技成果转移转化全流程需求，提供专业化、系统化、可落地的成果转化服务，服务范围覆盖人才培育、成果盘点、平台建设、成果推广等全链条服务。</w:t>
            </w:r>
          </w:p>
          <w:p>
            <w:pPr>
              <w:pStyle w:val="null3"/>
              <w:ind w:firstLine="560"/>
              <w:jc w:val="left"/>
            </w:pPr>
            <w:r>
              <w:rPr>
                <w:rFonts w:ascii="仿宋_GB2312" w:hAnsi="仿宋_GB2312" w:cs="仿宋_GB2312" w:eastAsia="仿宋_GB2312"/>
                <w:sz w:val="21"/>
              </w:rPr>
              <w:t>供应商应充分结合高校科研管理现状、学科特色、成果储备及区域产业需求，合理制定实施方案，确保服务贴合实际、可量化、可考核、可追溯。</w:t>
            </w:r>
          </w:p>
          <w:p>
            <w:pPr>
              <w:pStyle w:val="null3"/>
              <w:ind w:firstLine="560"/>
              <w:jc w:val="left"/>
            </w:pPr>
            <w:r>
              <w:rPr>
                <w:rFonts w:ascii="仿宋_GB2312" w:hAnsi="仿宋_GB2312" w:cs="仿宋_GB2312" w:eastAsia="仿宋_GB2312"/>
                <w:sz w:val="21"/>
              </w:rPr>
              <w:t>供应商须配备稳定、专业的服务团队，具备科技成果转移转化、知识产权运营、技术经纪、项目孵化等相关服务经验，保障项目高效有序实施。</w:t>
            </w:r>
          </w:p>
          <w:p>
            <w:pPr>
              <w:pStyle w:val="null3"/>
              <w:jc w:val="left"/>
            </w:pPr>
            <w:r>
              <w:rPr>
                <w:rFonts w:ascii="仿宋_GB2312" w:hAnsi="仿宋_GB2312" w:cs="仿宋_GB2312" w:eastAsia="仿宋_GB2312"/>
                <w:sz w:val="21"/>
                <w:b/>
              </w:rPr>
              <w:t>（二</w:t>
            </w:r>
            <w:r>
              <w:rPr>
                <w:rFonts w:ascii="仿宋_GB2312" w:hAnsi="仿宋_GB2312" w:cs="仿宋_GB2312" w:eastAsia="仿宋_GB2312"/>
                <w:sz w:val="21"/>
                <w:b/>
              </w:rPr>
              <w:t>）</w:t>
            </w:r>
            <w:r>
              <w:rPr>
                <w:rFonts w:ascii="仿宋_GB2312" w:hAnsi="仿宋_GB2312" w:cs="仿宋_GB2312" w:eastAsia="仿宋_GB2312"/>
                <w:sz w:val="21"/>
                <w:b/>
              </w:rPr>
              <w:t>服务标准</w:t>
            </w:r>
          </w:p>
          <w:p>
            <w:pPr>
              <w:pStyle w:val="null3"/>
              <w:jc w:val="left"/>
            </w:pPr>
            <w:r>
              <w:rPr>
                <w:rFonts w:ascii="仿宋_GB2312" w:hAnsi="仿宋_GB2312" w:cs="仿宋_GB2312" w:eastAsia="仿宋_GB2312"/>
                <w:sz w:val="21"/>
              </w:rPr>
              <w:t>1.服务内容</w:t>
            </w:r>
          </w:p>
          <w:p>
            <w:pPr>
              <w:pStyle w:val="null3"/>
              <w:ind w:firstLine="560"/>
              <w:jc w:val="left"/>
            </w:pPr>
            <w:r>
              <w:rPr>
                <w:rFonts w:ascii="仿宋_GB2312" w:hAnsi="仿宋_GB2312" w:cs="仿宋_GB2312" w:eastAsia="仿宋_GB2312"/>
                <w:sz w:val="21"/>
              </w:rPr>
              <w:t>为西安工程大学提供科技成果转化全流程服务，包括外部兼职技术经理人引进、技术经理人培训、重点学科领域成果盘点、科技成果挖掘梳理、成果转化小程序开发与运维、学科级成果转化微纪录片制作、成果推广短视频制作等专业服务。</w:t>
            </w:r>
          </w:p>
          <w:p>
            <w:pPr>
              <w:pStyle w:val="null3"/>
              <w:jc w:val="left"/>
            </w:pPr>
            <w:r>
              <w:rPr>
                <w:rFonts w:ascii="仿宋_GB2312" w:hAnsi="仿宋_GB2312" w:cs="仿宋_GB2312" w:eastAsia="仿宋_GB2312"/>
                <w:sz w:val="21"/>
              </w:rPr>
              <w:t>2.服务标准</w:t>
            </w:r>
          </w:p>
          <w:p>
            <w:pPr>
              <w:pStyle w:val="null3"/>
              <w:ind w:firstLine="560"/>
              <w:jc w:val="left"/>
            </w:pPr>
            <w:r>
              <w:rPr>
                <w:rFonts w:ascii="仿宋_GB2312" w:hAnsi="仿宋_GB2312" w:cs="仿宋_GB2312" w:eastAsia="仿宋_GB2312"/>
                <w:sz w:val="21"/>
              </w:rPr>
              <w:t>供应商须严格按照以下服务事项完成全部工作内容，各项指标须达到约定数量与质量标准：</w:t>
            </w:r>
          </w:p>
          <w:p>
            <w:pPr>
              <w:pStyle w:val="null3"/>
              <w:jc w:val="left"/>
            </w:pPr>
            <w:r>
              <w:rPr>
                <w:rFonts w:ascii="仿宋_GB2312" w:hAnsi="仿宋_GB2312" w:cs="仿宋_GB2312" w:eastAsia="仿宋_GB2312"/>
                <w:sz w:val="21"/>
              </w:rPr>
              <w:t>（1）吸纳外部兼职技术经理人：引进具有与本次成果转化相关学科背景的技术经理人，协助开展成果挖掘、成果评估、市场对接、商业谈判，服务期不少于36个月。</w:t>
            </w:r>
          </w:p>
          <w:p>
            <w:pPr>
              <w:pStyle w:val="null3"/>
              <w:jc w:val="left"/>
            </w:pPr>
            <w:r>
              <w:rPr>
                <w:rFonts w:ascii="仿宋_GB2312" w:hAnsi="仿宋_GB2312" w:cs="仿宋_GB2312" w:eastAsia="仿宋_GB2312"/>
                <w:sz w:val="21"/>
              </w:rPr>
              <w:t>（2）技术经理人培训：组织不少于2场专题培训，内容涵盖科技成果估值、知识产权运营、技术合同撰写、投融资对接等，参训人员覆盖校内科研管理骨干。</w:t>
            </w:r>
          </w:p>
          <w:p>
            <w:pPr>
              <w:pStyle w:val="null3"/>
              <w:jc w:val="left"/>
            </w:pPr>
            <w:r>
              <w:rPr>
                <w:rFonts w:ascii="仿宋_GB2312" w:hAnsi="仿宋_GB2312" w:cs="仿宋_GB2312" w:eastAsia="仿宋_GB2312"/>
                <w:sz w:val="21"/>
              </w:rPr>
              <w:t>（3）重点学科领域成果盘点：针对纺织材料及纺织复合材料、新一代信息技术、智能制造装备及技术、电气工程及自动化4个学科领域成果，系统梳理近五年的相关成果，包括专利成果、论文成果、项目成果等，形成分类清单与盘点报告。</w:t>
            </w:r>
          </w:p>
          <w:p>
            <w:pPr>
              <w:pStyle w:val="null3"/>
              <w:jc w:val="left"/>
            </w:pPr>
            <w:r>
              <w:rPr>
                <w:rFonts w:ascii="仿宋_GB2312" w:hAnsi="仿宋_GB2312" w:cs="仿宋_GB2312" w:eastAsia="仿宋_GB2312"/>
                <w:sz w:val="21"/>
              </w:rPr>
              <w:t>（4）科技成果挖掘梳理：通过专利分析、文献比对、市场需求调研等方式，主动挖掘具备转化潜力的科研成果不少于90项，提出转化路径建议（许可、转让、作价入股）。</w:t>
            </w:r>
          </w:p>
          <w:p>
            <w:pPr>
              <w:pStyle w:val="null3"/>
              <w:jc w:val="left"/>
            </w:pPr>
            <w:r>
              <w:rPr>
                <w:rFonts w:ascii="仿宋_GB2312" w:hAnsi="仿宋_GB2312" w:cs="仿宋_GB2312" w:eastAsia="仿宋_GB2312"/>
                <w:sz w:val="21"/>
              </w:rPr>
              <w:t>（5）成果转化小程序：基础核心能力。平台搭建成果、需求、专家、专利、政策五大核心要素库。成果库：展示校内优质科技成果，支持发布、预览与检索。需求库：统一管理企业技术需求，精准对接校内技术供给。专家库：整合校内专家资源，为校企合作提供技术支撑与对接入口。专利库：分类管理学校专利，提供知识产权信息。政策库：归集转化相关政策，提供查询解读服务。同时平台具备用户认证、线上洽谈、沟通留言、多级审核、数据统计功能。AI智能赋能。平台融入AI技术，为成果提供智能评价，从多维度评估成果创新度、成熟度等，提炼亮点并给出转化建议。依托AI精准匹配企业技术需求，快速对接校内成果、技术与专家，提升响应与匹配效率。构建多维度专家智能画像，清晰展示专家核心信息。</w:t>
            </w:r>
          </w:p>
          <w:p>
            <w:pPr>
              <w:pStyle w:val="null3"/>
              <w:jc w:val="left"/>
            </w:pPr>
            <w:r>
              <w:rPr>
                <w:rFonts w:ascii="仿宋_GB2312" w:hAnsi="仿宋_GB2312" w:cs="仿宋_GB2312" w:eastAsia="仿宋_GB2312"/>
                <w:sz w:val="21"/>
              </w:rPr>
              <w:t>（6）学科级成果转化“微纪录片”：制作不少于3部5—7分钟成果转化微纪录片，突出科学家事迹、实验场景、技术攻关及产业应用。</w:t>
            </w:r>
          </w:p>
          <w:p>
            <w:pPr>
              <w:pStyle w:val="null3"/>
              <w:jc w:val="left"/>
            </w:pPr>
            <w:r>
              <w:rPr>
                <w:rFonts w:ascii="仿宋_GB2312" w:hAnsi="仿宋_GB2312" w:cs="仿宋_GB2312" w:eastAsia="仿宋_GB2312"/>
                <w:sz w:val="21"/>
              </w:rPr>
              <w:t>（7）成果推广短视频：制作不少于20条1.5-2分钟的短视频，用于抖音、微信视频号等平台传播，内容涵盖成果亮点、应用场景、合作方式等。</w:t>
            </w:r>
          </w:p>
          <w:p>
            <w:pPr>
              <w:pStyle w:val="null3"/>
              <w:jc w:val="left"/>
            </w:pPr>
            <w:r>
              <w:rPr>
                <w:rFonts w:ascii="仿宋_GB2312" w:hAnsi="仿宋_GB2312" w:cs="仿宋_GB2312" w:eastAsia="仿宋_GB2312"/>
                <w:sz w:val="21"/>
              </w:rPr>
              <w:t>3.技术保障措施</w:t>
            </w:r>
          </w:p>
          <w:p>
            <w:pPr>
              <w:pStyle w:val="null3"/>
              <w:jc w:val="left"/>
            </w:pPr>
            <w:r>
              <w:rPr>
                <w:rFonts w:ascii="仿宋_GB2312" w:hAnsi="仿宋_GB2312" w:cs="仿宋_GB2312" w:eastAsia="仿宋_GB2312"/>
                <w:sz w:val="21"/>
              </w:rPr>
              <w:t>（1）供应商应建立项目专人负责制，明确项目负责人、技术负责人、执行人员岗位职责，确保服务过程规范、高效。</w:t>
            </w:r>
          </w:p>
          <w:p>
            <w:pPr>
              <w:pStyle w:val="null3"/>
              <w:jc w:val="left"/>
            </w:pPr>
            <w:r>
              <w:rPr>
                <w:rFonts w:ascii="仿宋_GB2312" w:hAnsi="仿宋_GB2312" w:cs="仿宋_GB2312" w:eastAsia="仿宋_GB2312"/>
                <w:sz w:val="21"/>
              </w:rPr>
              <w:t>（2）建立成果信息安全与数据备份机制，对科研数据、专利信息、教师信息、企业信息等严格保密，防止数据泄露、丢失或滥用。</w:t>
            </w:r>
          </w:p>
          <w:p>
            <w:pPr>
              <w:pStyle w:val="null3"/>
              <w:jc w:val="left"/>
            </w:pPr>
            <w:r>
              <w:rPr>
                <w:rFonts w:ascii="仿宋_GB2312" w:hAnsi="仿宋_GB2312" w:cs="仿宋_GB2312" w:eastAsia="仿宋_GB2312"/>
                <w:sz w:val="21"/>
              </w:rPr>
              <w:t>（3）具备成熟的成果转化服务流程、知识产权风控体系及项目管理工具，保障服务质量稳定可控。</w:t>
            </w:r>
          </w:p>
          <w:p>
            <w:pPr>
              <w:pStyle w:val="null3"/>
              <w:jc w:val="left"/>
            </w:pPr>
            <w:r>
              <w:rPr>
                <w:rFonts w:ascii="仿宋_GB2312" w:hAnsi="仿宋_GB2312" w:cs="仿宋_GB2312" w:eastAsia="仿宋_GB2312"/>
                <w:sz w:val="21"/>
              </w:rPr>
              <w:t>（4）针对平台开发、视频制作、报告编制等成果输出，提供相应技术支撑、修改完善及验收配合服务，直至达到采购方使用要求。</w:t>
            </w:r>
          </w:p>
          <w:p>
            <w:pPr>
              <w:pStyle w:val="null3"/>
              <w:jc w:val="left"/>
            </w:pPr>
            <w:r>
              <w:rPr>
                <w:rFonts w:ascii="仿宋_GB2312" w:hAnsi="仿宋_GB2312" w:cs="仿宋_GB2312" w:eastAsia="仿宋_GB2312"/>
                <w:sz w:val="21"/>
              </w:rPr>
              <w:t>4.人员安排</w:t>
            </w:r>
          </w:p>
          <w:p>
            <w:pPr>
              <w:pStyle w:val="null3"/>
              <w:ind w:firstLine="560"/>
              <w:jc w:val="left"/>
            </w:pPr>
            <w:r>
              <w:rPr>
                <w:rFonts w:ascii="仿宋_GB2312" w:hAnsi="仿宋_GB2312" w:cs="仿宋_GB2312" w:eastAsia="仿宋_GB2312"/>
                <w:sz w:val="21"/>
              </w:rPr>
              <w:t>供应商须组建固定服务团队，团队成员应具备技术转移、知识产权、项目管理、新媒体运营、软件开发等相关专业能力或从业经验，不得随意更换核心人员；如需调整，须提前征得采购方同意。</w:t>
            </w:r>
          </w:p>
          <w:p>
            <w:pPr>
              <w:pStyle w:val="null3"/>
              <w:jc w:val="left"/>
            </w:pPr>
            <w:r>
              <w:rPr>
                <w:rFonts w:ascii="仿宋_GB2312" w:hAnsi="仿宋_GB2312" w:cs="仿宋_GB2312" w:eastAsia="仿宋_GB2312"/>
                <w:sz w:val="21"/>
              </w:rPr>
              <w:t>项目负责人：1名。</w:t>
            </w:r>
          </w:p>
          <w:p>
            <w:pPr>
              <w:pStyle w:val="null3"/>
              <w:jc w:val="left"/>
            </w:pPr>
            <w:r>
              <w:rPr>
                <w:rFonts w:ascii="仿宋_GB2312" w:hAnsi="仿宋_GB2312" w:cs="仿宋_GB2312" w:eastAsia="仿宋_GB2312"/>
                <w:sz w:val="21"/>
              </w:rPr>
              <w:t>合规专员：1名。</w:t>
            </w:r>
          </w:p>
          <w:p>
            <w:pPr>
              <w:pStyle w:val="null3"/>
              <w:jc w:val="left"/>
            </w:pPr>
            <w:r>
              <w:rPr>
                <w:rFonts w:ascii="仿宋_GB2312" w:hAnsi="仿宋_GB2312" w:cs="仿宋_GB2312" w:eastAsia="仿宋_GB2312"/>
                <w:sz w:val="21"/>
              </w:rPr>
              <w:t>政策咨询组：≥2名，负责政策制度解读等工作。</w:t>
            </w:r>
          </w:p>
          <w:p>
            <w:pPr>
              <w:pStyle w:val="null3"/>
              <w:jc w:val="left"/>
            </w:pPr>
            <w:r>
              <w:rPr>
                <w:rFonts w:ascii="仿宋_GB2312" w:hAnsi="仿宋_GB2312" w:cs="仿宋_GB2312" w:eastAsia="仿宋_GB2312"/>
                <w:sz w:val="21"/>
              </w:rPr>
              <w:t>成果运营组：≥2名，负责成果盘点挖掘等工作。</w:t>
            </w:r>
          </w:p>
          <w:p>
            <w:pPr>
              <w:pStyle w:val="null3"/>
              <w:jc w:val="left"/>
            </w:pPr>
            <w:r>
              <w:rPr>
                <w:rFonts w:ascii="仿宋_GB2312" w:hAnsi="仿宋_GB2312" w:cs="仿宋_GB2312" w:eastAsia="仿宋_GB2312"/>
                <w:sz w:val="21"/>
              </w:rPr>
              <w:t>数字化与宣传组：≥2名，至少包括1名软件开发工程师、1名新媒体运营人员，负责成果转化小程序开发运维、微纪录片与短视频制作。</w:t>
            </w:r>
          </w:p>
          <w:p>
            <w:pPr>
              <w:pStyle w:val="null3"/>
              <w:jc w:val="left"/>
            </w:pPr>
            <w:r>
              <w:rPr>
                <w:rFonts w:ascii="仿宋_GB2312" w:hAnsi="仿宋_GB2312" w:cs="仿宋_GB2312" w:eastAsia="仿宋_GB2312"/>
                <w:sz w:val="21"/>
              </w:rPr>
              <w:t>培训与辅导组：≥2名，负责技术经理人培训。</w:t>
            </w:r>
          </w:p>
          <w:p>
            <w:pPr>
              <w:pStyle w:val="null3"/>
              <w:jc w:val="left"/>
            </w:pPr>
            <w:r>
              <w:rPr>
                <w:rFonts w:ascii="仿宋_GB2312" w:hAnsi="仿宋_GB2312" w:cs="仿宋_GB2312" w:eastAsia="仿宋_GB2312"/>
                <w:sz w:val="21"/>
              </w:rPr>
              <w:t>5.工作量与进度要求</w:t>
            </w:r>
          </w:p>
          <w:p>
            <w:pPr>
              <w:pStyle w:val="null3"/>
              <w:ind w:firstLine="560"/>
              <w:jc w:val="left"/>
            </w:pPr>
            <w:r>
              <w:rPr>
                <w:rFonts w:ascii="仿宋_GB2312" w:hAnsi="仿宋_GB2312" w:cs="仿宋_GB2312" w:eastAsia="仿宋_GB2312"/>
                <w:sz w:val="21"/>
              </w:rPr>
              <w:t>供应商应制定详细工作计划与时间节点，按期完成各项服务内容，确保各阶段成果按时交付；所有服务须在合同约定期限内全面完成，不得无故拖延。</w:t>
            </w:r>
          </w:p>
          <w:p>
            <w:pPr>
              <w:pStyle w:val="null3"/>
              <w:jc w:val="left"/>
            </w:pPr>
            <w:r>
              <w:rPr>
                <w:rFonts w:ascii="仿宋_GB2312" w:hAnsi="仿宋_GB2312" w:cs="仿宋_GB2312" w:eastAsia="仿宋_GB2312"/>
                <w:sz w:val="21"/>
              </w:rPr>
              <w:t>6.考核标准</w:t>
            </w:r>
          </w:p>
          <w:p>
            <w:pPr>
              <w:pStyle w:val="null3"/>
              <w:ind w:firstLine="560"/>
              <w:jc w:val="left"/>
            </w:pPr>
            <w:r>
              <w:rPr>
                <w:rFonts w:ascii="仿宋_GB2312" w:hAnsi="仿宋_GB2312" w:cs="仿宋_GB2312" w:eastAsia="仿宋_GB2312"/>
                <w:sz w:val="21"/>
              </w:rPr>
              <w:t>采购方将以交付成果完整性、数量达标率、资料规范性、服务满意度、成果转化实际成效等作为核心考核依据，对各项服务逐项验收。未达到约定标准的，供应商须在规定时限内整改完善。</w:t>
            </w:r>
          </w:p>
          <w:p>
            <w:pPr>
              <w:pStyle w:val="null3"/>
              <w:jc w:val="left"/>
            </w:pPr>
            <w:r>
              <w:rPr>
                <w:rFonts w:ascii="仿宋_GB2312" w:hAnsi="仿宋_GB2312" w:cs="仿宋_GB2312" w:eastAsia="仿宋_GB2312"/>
                <w:sz w:val="21"/>
              </w:rPr>
              <w:t>7.奖惩措施</w:t>
            </w:r>
          </w:p>
          <w:p>
            <w:pPr>
              <w:pStyle w:val="null3"/>
              <w:ind w:firstLine="560"/>
              <w:jc w:val="left"/>
            </w:pPr>
            <w:r>
              <w:rPr>
                <w:rFonts w:ascii="仿宋_GB2312" w:hAnsi="仿宋_GB2312" w:cs="仿宋_GB2312" w:eastAsia="仿宋_GB2312"/>
                <w:sz w:val="21"/>
              </w:rPr>
              <w:t>服务全部按期保质完成并通过验收的，按合同约定支付费用；未达到量化指标、逾期交付或成果不符合要求的，采购方有权按合同约定扣减相应费用；因供应商原因造成重大失误、信息泄露或严重影响项目推进的，采购方有权追究相应责任。</w:t>
            </w:r>
          </w:p>
          <w:p>
            <w:pPr>
              <w:pStyle w:val="null3"/>
              <w:jc w:val="left"/>
            </w:pP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组织实施、应急措施、知识产权及保密要求</w:t>
            </w:r>
          </w:p>
          <w:p>
            <w:pPr>
              <w:pStyle w:val="null3"/>
              <w:jc w:val="left"/>
            </w:pPr>
            <w:r>
              <w:rPr>
                <w:rFonts w:ascii="仿宋_GB2312" w:hAnsi="仿宋_GB2312" w:cs="仿宋_GB2312" w:eastAsia="仿宋_GB2312"/>
                <w:sz w:val="21"/>
              </w:rPr>
              <w:t>1.组织实施</w:t>
            </w:r>
          </w:p>
          <w:p>
            <w:pPr>
              <w:pStyle w:val="null3"/>
              <w:ind w:firstLine="560"/>
              <w:jc w:val="left"/>
            </w:pPr>
            <w:r>
              <w:rPr>
                <w:rFonts w:ascii="仿宋_GB2312" w:hAnsi="仿宋_GB2312" w:cs="仿宋_GB2312" w:eastAsia="仿宋_GB2312"/>
                <w:sz w:val="21"/>
              </w:rPr>
              <w:t>供应商须在项目启动后提交详细实施方案，含工作步骤、进度计划、人员配置、交付成果清单及验收标准。</w:t>
            </w:r>
          </w:p>
          <w:p>
            <w:pPr>
              <w:pStyle w:val="null3"/>
              <w:ind w:firstLine="560"/>
              <w:jc w:val="left"/>
            </w:pPr>
            <w:r>
              <w:rPr>
                <w:rFonts w:ascii="仿宋_GB2312" w:hAnsi="仿宋_GB2312" w:cs="仿宋_GB2312" w:eastAsia="仿宋_GB2312"/>
                <w:sz w:val="21"/>
              </w:rPr>
              <w:t>建立定期沟通机制，及时向采购方汇报工作进展，配合开展阶段性检查与验收。</w:t>
            </w:r>
          </w:p>
          <w:p>
            <w:pPr>
              <w:pStyle w:val="null3"/>
              <w:ind w:firstLine="560"/>
              <w:jc w:val="left"/>
            </w:pPr>
            <w:r>
              <w:rPr>
                <w:rFonts w:ascii="仿宋_GB2312" w:hAnsi="仿宋_GB2312" w:cs="仿宋_GB2312" w:eastAsia="仿宋_GB2312"/>
                <w:sz w:val="21"/>
              </w:rPr>
              <w:t>严格遵守采购方管理制度，尊重学校科研工作安排，有序开展访谈、调研、资料收集等工作。</w:t>
            </w:r>
          </w:p>
          <w:p>
            <w:pPr>
              <w:pStyle w:val="null3"/>
              <w:jc w:val="left"/>
            </w:pPr>
            <w:r>
              <w:rPr>
                <w:rFonts w:ascii="仿宋_GB2312" w:hAnsi="仿宋_GB2312" w:cs="仿宋_GB2312" w:eastAsia="仿宋_GB2312"/>
                <w:sz w:val="21"/>
              </w:rPr>
              <w:t>2.应急措施</w:t>
            </w:r>
          </w:p>
          <w:p>
            <w:pPr>
              <w:pStyle w:val="null3"/>
              <w:ind w:firstLine="560"/>
              <w:jc w:val="left"/>
            </w:pPr>
            <w:r>
              <w:rPr>
                <w:rFonts w:ascii="仿宋_GB2312" w:hAnsi="仿宋_GB2312" w:cs="仿宋_GB2312" w:eastAsia="仿宋_GB2312"/>
                <w:sz w:val="21"/>
              </w:rPr>
              <w:t>针对数据安全风险、平台运行故障、成果交付延误、校企对接纠纷等情形，制定应急预案并具备快速处置能力。</w:t>
            </w:r>
          </w:p>
          <w:p>
            <w:pPr>
              <w:pStyle w:val="null3"/>
              <w:ind w:firstLine="560"/>
              <w:jc w:val="left"/>
            </w:pPr>
            <w:r>
              <w:rPr>
                <w:rFonts w:ascii="仿宋_GB2312" w:hAnsi="仿宋_GB2312" w:cs="仿宋_GB2312" w:eastAsia="仿宋_GB2312"/>
                <w:sz w:val="21"/>
              </w:rPr>
              <w:t>遇重大问题应第一时间通报采购方，共同协商解决方案，最大限度降低影响。</w:t>
            </w:r>
          </w:p>
          <w:p>
            <w:pPr>
              <w:pStyle w:val="null3"/>
              <w:jc w:val="left"/>
            </w:pPr>
            <w:r>
              <w:rPr>
                <w:rFonts w:ascii="仿宋_GB2312" w:hAnsi="仿宋_GB2312" w:cs="仿宋_GB2312" w:eastAsia="仿宋_GB2312"/>
                <w:sz w:val="21"/>
              </w:rPr>
              <w:t>3.知识产权保护</w:t>
            </w:r>
          </w:p>
          <w:p>
            <w:pPr>
              <w:pStyle w:val="null3"/>
              <w:ind w:firstLine="560"/>
              <w:jc w:val="left"/>
            </w:pPr>
            <w:r>
              <w:rPr>
                <w:rFonts w:ascii="仿宋_GB2312" w:hAnsi="仿宋_GB2312" w:cs="仿宋_GB2312" w:eastAsia="仿宋_GB2312"/>
                <w:sz w:val="21"/>
              </w:rPr>
              <w:t>服务过程中形成的报告、视频、小程序、成果册、制度文本等本项目全部服务内容，其知识产权归采购方所有。</w:t>
            </w:r>
          </w:p>
          <w:p>
            <w:pPr>
              <w:pStyle w:val="null3"/>
              <w:ind w:firstLine="560"/>
              <w:jc w:val="left"/>
            </w:pPr>
            <w:r>
              <w:rPr>
                <w:rFonts w:ascii="仿宋_GB2312" w:hAnsi="仿宋_GB2312" w:cs="仿宋_GB2312" w:eastAsia="仿宋_GB2312"/>
                <w:sz w:val="21"/>
              </w:rPr>
              <w:t>供应商保证所提供的技术、素材、软件模块、服务方案等不侵犯任何第三方知识产权，否则由此引发的法律责任及损失由供应商承担。</w:t>
            </w:r>
          </w:p>
          <w:p>
            <w:pPr>
              <w:pStyle w:val="null3"/>
              <w:jc w:val="left"/>
            </w:pPr>
            <w:r>
              <w:rPr>
                <w:rFonts w:ascii="仿宋_GB2312" w:hAnsi="仿宋_GB2312" w:cs="仿宋_GB2312" w:eastAsia="仿宋_GB2312"/>
                <w:sz w:val="21"/>
              </w:rPr>
              <w:t>4.保密义务</w:t>
            </w:r>
          </w:p>
          <w:p>
            <w:pPr>
              <w:pStyle w:val="null3"/>
              <w:ind w:firstLine="560"/>
              <w:jc w:val="left"/>
            </w:pPr>
            <w:r>
              <w:rPr>
                <w:rFonts w:ascii="仿宋_GB2312" w:hAnsi="仿宋_GB2312" w:cs="仿宋_GB2312" w:eastAsia="仿宋_GB2312"/>
                <w:sz w:val="21"/>
              </w:rPr>
              <w:t>供应商对在服务过程中知悉的学校科研数据、专利技术、人员信息、企业信息、内部制度等涉密信息承担保密义务。</w:t>
            </w:r>
          </w:p>
          <w:p>
            <w:pPr>
              <w:pStyle w:val="null3"/>
              <w:ind w:firstLine="560"/>
              <w:jc w:val="left"/>
            </w:pPr>
            <w:r>
              <w:rPr>
                <w:rFonts w:ascii="仿宋_GB2312" w:hAnsi="仿宋_GB2312" w:cs="仿宋_GB2312" w:eastAsia="仿宋_GB2312"/>
                <w:sz w:val="21"/>
              </w:rPr>
              <w:t>未经采购方书面许可，不得向任何第三方泄露、不得擅自使用或对外发表。</w:t>
            </w:r>
          </w:p>
          <w:p>
            <w:pPr>
              <w:pStyle w:val="null3"/>
              <w:jc w:val="left"/>
            </w:pPr>
            <w:r>
              <w:rPr>
                <w:rFonts w:ascii="仿宋_GB2312" w:hAnsi="仿宋_GB2312" w:cs="仿宋_GB2312" w:eastAsia="仿宋_GB2312"/>
                <w:sz w:val="21"/>
              </w:rPr>
              <w:t>5.其他要求</w:t>
            </w:r>
          </w:p>
          <w:p>
            <w:pPr>
              <w:pStyle w:val="null3"/>
              <w:jc w:val="left"/>
            </w:pPr>
            <w:r>
              <w:rPr>
                <w:rFonts w:ascii="仿宋_GB2312" w:hAnsi="仿宋_GB2312" w:cs="仿宋_GB2312" w:eastAsia="仿宋_GB2312"/>
                <w:sz w:val="21"/>
              </w:rPr>
              <w:t>（1）供应商应配合采购方完成项目验收、资料归档、绩效评价等相关工作。</w:t>
            </w:r>
          </w:p>
          <w:p>
            <w:pPr>
              <w:pStyle w:val="null3"/>
            </w:pPr>
            <w:r>
              <w:rPr>
                <w:rFonts w:ascii="仿宋_GB2312" w:hAnsi="仿宋_GB2312" w:cs="仿宋_GB2312" w:eastAsia="仿宋_GB2312"/>
                <w:sz w:val="21"/>
              </w:rPr>
              <w:t>（2）在服务期内根据采购方需求提供必要的后续支撑、咨询及优化完善服务。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供应商须组建固定服务团队，团队成员应具备技术转移、知识产权、项目管理、新媒体运营、软件开发等相关专业能力或从业经验，不得随意更换核心人员；如需调整，须提前征得采购方同意。 供应商须组建固定服务团队，团队成员应具备技术转移、知识产权、项目管理、新媒体运营、软件开发等相关专业能力或从业经验，不得随意更换核心人员；如需调整，须提前征得采购方同意。 项目负责人：1名。 合规专员：1名。 政策咨询组：≥2名，负责政策制度解读等工作。 成果运营组：≥2名，负责成果盘点挖掘等工作。 数字化与宣传组：≥2名，至少包括1名软件开发工程师、1名新媒体运营人员，负责成果转化小程序开发运维、微纪录片与短视频制作。 培训与辅导组：≥2名，负责技术经理人培训。</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自合同签订之日起25日历日内完成本项目服务。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合同签订后，成交供应商向采购人提供预付款等额的银行、保险公司等金融机构出具的预付款保函或其他担保措施，30天内采购人向成交供应商支付合同总价的40%作为预付款</w:t>
      </w:r>
      <w:r>
        <w:rPr>
          <w:rFonts w:ascii="仿宋_GB2312" w:hAnsi="仿宋_GB2312" w:cs="仿宋_GB2312" w:eastAsia="仿宋_GB2312"/>
        </w:rPr>
        <w:t xml:space="preserve"> ， </w:t>
      </w:r>
      <w:r>
        <w:rPr>
          <w:rFonts w:ascii="仿宋_GB2312" w:hAnsi="仿宋_GB2312" w:cs="仿宋_GB2312" w:eastAsia="仿宋_GB2312"/>
        </w:rPr>
        <w:t>30</w:t>
      </w:r>
      <w:r>
        <w:rPr>
          <w:rFonts w:ascii="仿宋_GB2312" w:hAnsi="仿宋_GB2312" w:cs="仿宋_GB2312" w:eastAsia="仿宋_GB2312"/>
        </w:rPr>
        <w:t xml:space="preserve"> ，支付合同总金额的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所有服务完成并经验收合格，30天内支付合同总价的60%。采购人向成交供应商付款前，成交供应商应向采购人开具符合采购人要求的发票，若因成交供应商未开具或逾期开具合法有效的发票，采购人有权顺延付款期限且不承担逾期付款责任</w:t>
      </w:r>
      <w:r>
        <w:rPr>
          <w:rFonts w:ascii="仿宋_GB2312" w:hAnsi="仿宋_GB2312" w:cs="仿宋_GB2312" w:eastAsia="仿宋_GB2312"/>
        </w:rPr>
        <w:t xml:space="preserve"> ， </w:t>
      </w:r>
      <w:r>
        <w:rPr>
          <w:rFonts w:ascii="仿宋_GB2312" w:hAnsi="仿宋_GB2312" w:cs="仿宋_GB2312" w:eastAsia="仿宋_GB2312"/>
        </w:rPr>
        <w:t>30</w:t>
      </w:r>
      <w:r>
        <w:rPr>
          <w:rFonts w:ascii="仿宋_GB2312" w:hAnsi="仿宋_GB2312" w:cs="仿宋_GB2312" w:eastAsia="仿宋_GB2312"/>
        </w:rPr>
        <w:t xml:space="preserve"> ，支付合同总金额的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1.供应商需要在线提交所有通过电子化交易平台实施的政府采购项目的投标文件，同时，线下提交投标文件正本壹份、副本贰份。若电子投标文件与纸质投标文件不一致的，以线上提交的电子投标文件为准。 线下提交投标文件时间：同线上递交截止时间（北京时间）线下提交投标文件地点：西安市雁塔区唐延路35号旺座现代城C座2502室；联系电话：029-88319689转8004；邮箱：sxwzzb123@163.com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或2025年度经审计完整的财务审计报告（成立时间至提交投标文件截止时间不足一年的可提供成立后任意时段的资产负债表），或其开标前六个月内基本开户银行银行出具的资信证明（附基本开户行开户证明资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非联合体磋商声明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中小企业申明函</w:t>
            </w:r>
          </w:p>
        </w:tc>
        <w:tc>
          <w:tcPr>
            <w:tcW w:type="dxa" w:w="3322"/>
          </w:tcPr>
          <w:p>
            <w:pPr>
              <w:pStyle w:val="null3"/>
            </w:pPr>
            <w:r>
              <w:rPr>
                <w:rFonts w:ascii="仿宋_GB2312" w:hAnsi="仿宋_GB2312" w:cs="仿宋_GB2312" w:eastAsia="仿宋_GB2312"/>
              </w:rPr>
              <w:t>提供中小企业声明函（本项目为专门面向中小微企业采购）。</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 磋商一览表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报价是否超过采购预算或最高限价</w:t>
            </w:r>
          </w:p>
        </w:tc>
        <w:tc>
          <w:tcPr>
            <w:tcW w:type="dxa" w:w="1661"/>
          </w:tcPr>
          <w:p>
            <w:pPr>
              <w:pStyle w:val="null3"/>
            </w:pPr>
            <w:r>
              <w:rPr>
                <w:rFonts w:ascii="仿宋_GB2312" w:hAnsi="仿宋_GB2312" w:cs="仿宋_GB2312" w:eastAsia="仿宋_GB2312"/>
              </w:rPr>
              <w:t>标的清单 磋商一览表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商务应答表 磋商一览表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文件的签署、盖章</w:t>
            </w:r>
          </w:p>
        </w:tc>
        <w:tc>
          <w:tcPr>
            <w:tcW w:type="dxa" w:w="3322"/>
          </w:tcPr>
          <w:p>
            <w:pPr>
              <w:pStyle w:val="null3"/>
            </w:pPr>
            <w:r>
              <w:rPr>
                <w:rFonts w:ascii="仿宋_GB2312" w:hAnsi="仿宋_GB2312" w:cs="仿宋_GB2312" w:eastAsia="仿宋_GB2312"/>
              </w:rPr>
              <w:t>文件的签署、盖章满足磋商文件要求</w:t>
            </w:r>
          </w:p>
        </w:tc>
        <w:tc>
          <w:tcPr>
            <w:tcW w:type="dxa" w:w="1661"/>
          </w:tcPr>
          <w:p>
            <w:pPr>
              <w:pStyle w:val="null3"/>
            </w:pPr>
            <w:r>
              <w:rPr>
                <w:rFonts w:ascii="仿宋_GB2312" w:hAnsi="仿宋_GB2312" w:cs="仿宋_GB2312" w:eastAsia="仿宋_GB2312"/>
              </w:rPr>
              <w:t>管理方案 商务应答表 供应商认为有必要说明的其他问题 服务内容及服务要求应答表 应急响应方案 质量保障措施 磋商一览表 业绩一览表 项目负责人相关资质 售后服务 整体服务方案 进度计划保证措施 陕西省政府采购供应商拒绝政府采购领域商业贿赂承诺书 标的清单 监狱企业的证明文件 项目团队配置 磋商保证金 中小企业声明函 资源保障与硬件平台 供应商应提交的相关资格证明材料 保密措施 响应文件封面 残疾人福利性单位声明函 响应函 实施方案</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是否按规定缴纳磋商保证金</w:t>
            </w:r>
          </w:p>
        </w:tc>
        <w:tc>
          <w:tcPr>
            <w:tcW w:type="dxa" w:w="1661"/>
          </w:tcPr>
          <w:p>
            <w:pPr>
              <w:pStyle w:val="null3"/>
            </w:pPr>
            <w:r>
              <w:rPr>
                <w:rFonts w:ascii="仿宋_GB2312" w:hAnsi="仿宋_GB2312" w:cs="仿宋_GB2312" w:eastAsia="仿宋_GB2312"/>
              </w:rPr>
              <w:t>磋商保证金</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是否有采购人不能接受的附加条件</w:t>
            </w:r>
          </w:p>
        </w:tc>
        <w:tc>
          <w:tcPr>
            <w:tcW w:type="dxa" w:w="1661"/>
          </w:tcPr>
          <w:p>
            <w:pPr>
              <w:pStyle w:val="null3"/>
            </w:pPr>
            <w:r>
              <w:rPr>
                <w:rFonts w:ascii="仿宋_GB2312" w:hAnsi="仿宋_GB2312" w:cs="仿宋_GB2312" w:eastAsia="仿宋_GB2312"/>
              </w:rPr>
              <w:t>供应商认为有必要说明的其他问题</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是否有存在法律、法规和招标文件规定的其他无效情形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提供服务方案应全面响应学校科技成果转化需求，贴合学校学科特色等针对①项目需求的理解和分析、②服务工作流程方案、服务目标及实施思路的清晰度和合理性③组织协调方案④质量管控方案、重难点分析。完全满足采购需求并符合本项目实施特点的得8分；以上方面中每缺少一方面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应商提供实施方案包括但不限于：①实施路径②风险防控与合规的保障③成果交付目标。完全满足采购需求并符合本项目实施特点的得9分；以上方面中每缺少一方面内容扣3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管理方案</w:t>
            </w:r>
          </w:p>
        </w:tc>
        <w:tc>
          <w:tcPr>
            <w:tcW w:type="dxa" w:w="2492"/>
          </w:tcPr>
          <w:p>
            <w:pPr>
              <w:pStyle w:val="null3"/>
            </w:pPr>
            <w:r>
              <w:rPr>
                <w:rFonts w:ascii="仿宋_GB2312" w:hAnsi="仿宋_GB2312" w:cs="仿宋_GB2312" w:eastAsia="仿宋_GB2312"/>
              </w:rPr>
              <w:t>供应商提供①具有完善的组织架构②内部绩效考核、奖惩机制等管理制度。完全满足采购需求并符合本项目实施特点的得4分；以上方面中每缺少一方面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管理方案</w:t>
            </w:r>
          </w:p>
        </w:tc>
      </w:tr>
      <w:tr>
        <w:tc>
          <w:tcPr>
            <w:tcW w:type="dxa" w:w="831"/>
            <w:vMerge/>
          </w:tcPr>
          <w:p/>
        </w:tc>
        <w:tc>
          <w:tcPr>
            <w:tcW w:type="dxa" w:w="1661"/>
          </w:tcPr>
          <w:p>
            <w:pPr>
              <w:pStyle w:val="null3"/>
            </w:pPr>
            <w:r>
              <w:rPr>
                <w:rFonts w:ascii="仿宋_GB2312" w:hAnsi="仿宋_GB2312" w:cs="仿宋_GB2312" w:eastAsia="仿宋_GB2312"/>
              </w:rPr>
              <w:t>资源保障与硬件平台</w:t>
            </w:r>
          </w:p>
        </w:tc>
        <w:tc>
          <w:tcPr>
            <w:tcW w:type="dxa" w:w="2492"/>
          </w:tcPr>
          <w:p>
            <w:pPr>
              <w:pStyle w:val="null3"/>
            </w:pPr>
            <w:r>
              <w:rPr>
                <w:rFonts w:ascii="仿宋_GB2312" w:hAnsi="仿宋_GB2312" w:cs="仿宋_GB2312" w:eastAsia="仿宋_GB2312"/>
              </w:rPr>
              <w:t>1、供应商提供拥有科技成果转化服务平台、成果转化数据库等硬件支撑，得3分，未提供不得分； 2、与产业园区、投资机构、行业企业、科研平台等建立长期合作资源网络，具备成果转化对接渠道优势，得3分；渠道单一、资源不足得1分，未提供不得分。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资源保障与硬件平台</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1、拟投入的团队成员应具备技术转移、知识产权、项目管理、新媒体运营、软件开发等相关专业能力或从业经验，拟投入本项目人员，内容包括： ①人员组织结构；②拟投入本项目的人员配置(提供简历表等,格式自拟,包括但不限于姓名、职务、年龄、工作经验、年限、学历等相关信息)； ③项目人员岗位职责。 2、评审标准：①完整性：人员配置必须全面，对评审内容中的各项要求有详细描述； ②可实施性：切合本项目实际情况，人员分工明确，岗位设置合理、可行； ③针对性：人员配置能够紧扣项目实际需求，科学合理。 3、赋分标准（满分9分） ①人员组织结构：每完全满足一个评审标准得1分，满分 3分；②拟投入本项目的人员配置(提供简历表等,格式自拟,包括但不限于姓名、职务、年龄、工作经验、年限、学历等相关信息)：每完全满足一个评审标准得 1 分，满分3 分； ③项目人员岗位职责:每完全满足一个评审标准得 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项目团队配置</w:t>
            </w:r>
          </w:p>
        </w:tc>
      </w:tr>
      <w:tr>
        <w:tc>
          <w:tcPr>
            <w:tcW w:type="dxa" w:w="831"/>
            <w:vMerge/>
          </w:tcPr>
          <w:p/>
        </w:tc>
        <w:tc>
          <w:tcPr>
            <w:tcW w:type="dxa" w:w="1661"/>
          </w:tcPr>
          <w:p>
            <w:pPr>
              <w:pStyle w:val="null3"/>
            </w:pPr>
            <w:r>
              <w:rPr>
                <w:rFonts w:ascii="仿宋_GB2312" w:hAnsi="仿宋_GB2312" w:cs="仿宋_GB2312" w:eastAsia="仿宋_GB2312"/>
              </w:rPr>
              <w:t>项目负责人相关资质</w:t>
            </w:r>
          </w:p>
        </w:tc>
        <w:tc>
          <w:tcPr>
            <w:tcW w:type="dxa" w:w="2492"/>
          </w:tcPr>
          <w:p>
            <w:pPr>
              <w:pStyle w:val="null3"/>
            </w:pPr>
            <w:r>
              <w:rPr>
                <w:rFonts w:ascii="仿宋_GB2312" w:hAnsi="仿宋_GB2312" w:cs="仿宋_GB2312" w:eastAsia="仿宋_GB2312"/>
              </w:rPr>
              <w:t>供应商配备的项目负责人具有相关行业副高级工程师及以上职称；具有研究生以上学历；具有5年以上的相关工作经历（提供能够体现项目负责人姓名的业绩案例或第三方提供的证明材料）；以上每满足一项得2分，满分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项目负责人相关资质</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根据各供应商提供的应急响应方案，包括但不限于①数据安全风险、平台运行故障、成果交付延误、校企对接纠纷等应急响应时效②应急处置流程③应急人员配置等情况等。完全满足采购需求并符合本项目实施特点的得6分；以上内容中每缺少一项内容扣2分；每有一处内容与实际需求不符或不满足要求或与本项目需求不切合或直接套用其他项目内容的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应急响应方案</w:t>
            </w:r>
          </w:p>
        </w:tc>
      </w:tr>
      <w:tr>
        <w:tc>
          <w:tcPr>
            <w:tcW w:type="dxa" w:w="831"/>
            <w:vMerge/>
          </w:tcPr>
          <w:p/>
        </w:tc>
        <w:tc>
          <w:tcPr>
            <w:tcW w:type="dxa" w:w="1661"/>
          </w:tcPr>
          <w:p>
            <w:pPr>
              <w:pStyle w:val="null3"/>
            </w:pPr>
            <w:r>
              <w:rPr>
                <w:rFonts w:ascii="仿宋_GB2312" w:hAnsi="仿宋_GB2312" w:cs="仿宋_GB2312" w:eastAsia="仿宋_GB2312"/>
              </w:rPr>
              <w:t>进度计划保证措施</w:t>
            </w:r>
          </w:p>
        </w:tc>
        <w:tc>
          <w:tcPr>
            <w:tcW w:type="dxa" w:w="2492"/>
          </w:tcPr>
          <w:p>
            <w:pPr>
              <w:pStyle w:val="null3"/>
            </w:pPr>
            <w:r>
              <w:rPr>
                <w:rFonts w:ascii="仿宋_GB2312" w:hAnsi="仿宋_GB2312" w:cs="仿宋_GB2312" w:eastAsia="仿宋_GB2312"/>
              </w:rPr>
              <w:t>根据供应商提供的进度计划保证措施包括的但不限于①制定分阶段交付成果计划②明确各阶段的目标进度计划安排③岗位人员进度及责任分工，完全满足采购需求并符合本项目实施特点的得6分；以上方面中每缺少一方面内容扣2分；每有一处内容与实际需求不符或不满足要求或与本项目需求不切合或直接套用其他项目内容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进度计划保证措施</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质量保障措施：①成果推广质量控制、②重点学科领域成果盘点、③技术经理人培训、④科技成果挖掘梳理，进行综合评分。完全满足采购需求并符合本项目实施特点的得8分；以上方面中每缺少一方面内容扣 2分；每有一处内容与实际需求不符或不满足要求或与本项目需求不切合或直接套用其他项目内容的扣1分，扣完为止。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提供完善的后续跟踪服务，咨询及优化完善服务承诺；②售后服务保障措施；③售后人员配置安排计划及问题响应机制。完全响应提供上述3项内容的得6分每缺少一项扣2分，某一项不完整或与实际需求不符或不满足要求或与本项目需求不切合或直接套用其他项目内容的扣1分，扣完为止。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供应商具有科学、合理、可行的保密措施，明确保密责任及流程保证采购人的科研成果及相关信息不被泄漏。 1、保密措施完整、合理，可操作性强，计2分； 2、保密措施内容有缺陷、表述前后不一致、套用其他项目方案或与项目需求匹配性差得1分； 3、未提供不得分。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保密措施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供应商提供2023年1月至今同类项目业绩（提供完整合同复印件加盖公章），每提供一份得2分，满分10分，不提供不得分。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磋商一览表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即满足采购文件要求且最后报价最低的响应报价为评审基准价，其价格分为满分。其他供应商的价格分统一按照下列公式计算：价格分= (评审基准价／响应报价)×报价分值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详见附件：保密措施</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详见附件：供应商认为有必要说明的其他问题</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详见附件：管理方案</w:t>
      </w:r>
    </w:p>
    <w:p>
      <w:pPr>
        <w:pStyle w:val="null3"/>
        <w:ind w:firstLine="960"/>
      </w:pPr>
      <w:r>
        <w:rPr>
          <w:rFonts w:ascii="仿宋_GB2312" w:hAnsi="仿宋_GB2312" w:cs="仿宋_GB2312" w:eastAsia="仿宋_GB2312"/>
        </w:rPr>
        <w:t>详见附件：进度计划保证措施</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详见附件：售后服务</w:t>
      </w:r>
    </w:p>
    <w:p>
      <w:pPr>
        <w:pStyle w:val="null3"/>
        <w:ind w:firstLine="960"/>
      </w:pPr>
      <w:r>
        <w:rPr>
          <w:rFonts w:ascii="仿宋_GB2312" w:hAnsi="仿宋_GB2312" w:cs="仿宋_GB2312" w:eastAsia="仿宋_GB2312"/>
        </w:rPr>
        <w:t>详见附件：项目负责人相关资质</w:t>
      </w:r>
    </w:p>
    <w:p>
      <w:pPr>
        <w:pStyle w:val="null3"/>
        <w:ind w:firstLine="960"/>
      </w:pPr>
      <w:r>
        <w:rPr>
          <w:rFonts w:ascii="仿宋_GB2312" w:hAnsi="仿宋_GB2312" w:cs="仿宋_GB2312" w:eastAsia="仿宋_GB2312"/>
        </w:rPr>
        <w:t>详见附件：项目团队配置</w:t>
      </w:r>
    </w:p>
    <w:p>
      <w:pPr>
        <w:pStyle w:val="null3"/>
        <w:ind w:firstLine="960"/>
      </w:pPr>
      <w:r>
        <w:rPr>
          <w:rFonts w:ascii="仿宋_GB2312" w:hAnsi="仿宋_GB2312" w:cs="仿宋_GB2312" w:eastAsia="仿宋_GB2312"/>
        </w:rPr>
        <w:t>详见附件：应急响应方案</w:t>
      </w:r>
    </w:p>
    <w:p>
      <w:pPr>
        <w:pStyle w:val="null3"/>
        <w:ind w:firstLine="960"/>
      </w:pPr>
      <w:r>
        <w:rPr>
          <w:rFonts w:ascii="仿宋_GB2312" w:hAnsi="仿宋_GB2312" w:cs="仿宋_GB2312" w:eastAsia="仿宋_GB2312"/>
        </w:rPr>
        <w:t>详见附件：整体服务方案</w:t>
      </w:r>
    </w:p>
    <w:p>
      <w:pPr>
        <w:pStyle w:val="null3"/>
        <w:ind w:firstLine="960"/>
      </w:pPr>
      <w:r>
        <w:rPr>
          <w:rFonts w:ascii="仿宋_GB2312" w:hAnsi="仿宋_GB2312" w:cs="仿宋_GB2312" w:eastAsia="仿宋_GB2312"/>
        </w:rPr>
        <w:t>详见附件：质量保障措施</w:t>
      </w:r>
    </w:p>
    <w:p>
      <w:pPr>
        <w:pStyle w:val="null3"/>
        <w:ind w:firstLine="960"/>
      </w:pPr>
      <w:r>
        <w:rPr>
          <w:rFonts w:ascii="仿宋_GB2312" w:hAnsi="仿宋_GB2312" w:cs="仿宋_GB2312" w:eastAsia="仿宋_GB2312"/>
        </w:rPr>
        <w:t>详见附件：资源保障与硬件平台</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详见附件：磋商一览表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