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CF1FF">
      <w:pPr>
        <w:pStyle w:val="7"/>
        <w:jc w:val="center"/>
        <w:outlineLvl w:val="1"/>
        <w:rPr>
          <w:sz w:val="28"/>
          <w:szCs w:val="28"/>
        </w:rPr>
      </w:pPr>
      <w:r>
        <w:rPr>
          <w:rFonts w:ascii="仿宋_GB2312" w:hAnsi="仿宋_GB2312" w:eastAsia="仿宋_GB2312" w:cs="仿宋_GB2312"/>
          <w:b/>
          <w:sz w:val="28"/>
          <w:szCs w:val="28"/>
        </w:rPr>
        <w:t>拟签订采购合同文本</w:t>
      </w:r>
    </w:p>
    <w:p w14:paraId="660397E0">
      <w:pPr>
        <w:overflowPunct w:val="0"/>
        <w:autoSpaceDE w:val="0"/>
        <w:autoSpaceDN w:val="0"/>
        <w:snapToGrid w:val="0"/>
        <w:spacing w:line="700" w:lineRule="exact"/>
        <w:jc w:val="center"/>
        <w:rPr>
          <w:rFonts w:hint="eastAsia" w:ascii="方正小标宋简体" w:hAnsi="方正小标宋简体" w:eastAsia="方正小标宋简体"/>
          <w:color w:val="auto"/>
          <w:kern w:val="0"/>
          <w:sz w:val="44"/>
          <w:szCs w:val="44"/>
        </w:rPr>
      </w:pPr>
      <w:bookmarkStart w:id="0" w:name="_GoBack"/>
      <w:bookmarkEnd w:id="0"/>
      <w:r>
        <w:rPr>
          <w:rFonts w:hint="eastAsia" w:ascii="方正小标宋简体" w:hAnsi="方正小标宋简体" w:eastAsia="方正小标宋简体"/>
          <w:color w:val="auto"/>
          <w:kern w:val="0"/>
          <w:sz w:val="44"/>
          <w:szCs w:val="44"/>
        </w:rPr>
        <w:t>服务合同</w:t>
      </w:r>
    </w:p>
    <w:p w14:paraId="0E539F74">
      <w:pPr>
        <w:overflowPunct w:val="0"/>
        <w:autoSpaceDE w:val="0"/>
        <w:autoSpaceDN w:val="0"/>
        <w:snapToGrid w:val="0"/>
        <w:spacing w:line="560" w:lineRule="exact"/>
        <w:jc w:val="center"/>
        <w:rPr>
          <w:rFonts w:hint="eastAsia" w:ascii="仿宋_GB2312" w:hAnsi="仿宋_GB2312" w:eastAsia="仿宋_GB2312"/>
          <w:b/>
          <w:color w:val="auto"/>
          <w:sz w:val="32"/>
          <w:szCs w:val="32"/>
        </w:rPr>
      </w:pPr>
      <w:r>
        <w:rPr>
          <w:rFonts w:hint="eastAsia" w:ascii="仿宋_GB2312" w:hAnsi="仿宋_GB2312" w:eastAsia="仿宋_GB2312"/>
          <w:b/>
          <w:color w:val="auto"/>
          <w:sz w:val="32"/>
          <w:szCs w:val="32"/>
        </w:rPr>
        <w:t xml:space="preserve"> </w:t>
      </w:r>
    </w:p>
    <w:p w14:paraId="45B87867">
      <w:pPr>
        <w:overflowPunct w:val="0"/>
        <w:autoSpaceDE w:val="0"/>
        <w:autoSpaceDN w:val="0"/>
        <w:adjustRightInd w:val="0"/>
        <w:snapToGrid w:val="0"/>
        <w:spacing w:after="156" w:afterLines="50" w:line="560" w:lineRule="exact"/>
        <w:ind w:firstLine="643" w:firstLineChars="200"/>
        <w:rPr>
          <w:rFonts w:hint="eastAsia" w:ascii="仿宋_GB2312" w:hAnsi="仿宋_GB2312" w:eastAsia="仿宋_GB2312"/>
          <w:b/>
          <w:color w:val="auto"/>
          <w:sz w:val="32"/>
          <w:szCs w:val="32"/>
        </w:rPr>
      </w:pPr>
      <w:r>
        <w:rPr>
          <w:rFonts w:hint="eastAsia" w:ascii="仿宋_GB2312" w:hAnsi="仿宋_GB2312" w:eastAsia="仿宋_GB2312"/>
          <w:b/>
          <w:color w:val="auto"/>
          <w:sz w:val="32"/>
          <w:szCs w:val="32"/>
        </w:rPr>
        <w:t>甲方：</w:t>
      </w:r>
      <w:r>
        <w:rPr>
          <w:rFonts w:hint="eastAsia" w:ascii="仿宋_GB2312" w:hAnsi="仿宋_GB2312" w:eastAsia="仿宋_GB2312"/>
          <w:b/>
          <w:color w:val="auto"/>
          <w:sz w:val="32"/>
          <w:szCs w:val="32"/>
          <w:u w:val="single"/>
        </w:rPr>
        <w:t xml:space="preserve">    西安工程大学     </w:t>
      </w:r>
    </w:p>
    <w:p w14:paraId="19251E4A">
      <w:pPr>
        <w:overflowPunct w:val="0"/>
        <w:autoSpaceDE w:val="0"/>
        <w:autoSpaceDN w:val="0"/>
        <w:adjustRightInd w:val="0"/>
        <w:snapToGrid w:val="0"/>
        <w:spacing w:after="312" w:afterLines="100" w:line="560" w:lineRule="exact"/>
        <w:ind w:firstLine="643" w:firstLineChars="200"/>
        <w:rPr>
          <w:rFonts w:hint="eastAsia" w:ascii="仿宋_GB2312" w:hAnsi="仿宋_GB2312" w:eastAsia="仿宋_GB2312"/>
          <w:b/>
          <w:color w:val="auto"/>
          <w:sz w:val="32"/>
          <w:szCs w:val="32"/>
          <w:u w:val="single"/>
        </w:rPr>
      </w:pPr>
      <w:r>
        <w:rPr>
          <w:rFonts w:hint="eastAsia" w:ascii="仿宋_GB2312" w:hAnsi="仿宋_GB2312" w:eastAsia="仿宋_GB2312"/>
          <w:b/>
          <w:color w:val="auto"/>
          <w:sz w:val="32"/>
          <w:szCs w:val="32"/>
        </w:rPr>
        <w:t>乙方：</w:t>
      </w:r>
      <w:r>
        <w:rPr>
          <w:rFonts w:hint="eastAsia" w:ascii="仿宋_GB2312" w:hAnsi="仿宋_GB2312" w:eastAsia="仿宋_GB2312"/>
          <w:b/>
          <w:color w:val="auto"/>
          <w:sz w:val="32"/>
          <w:szCs w:val="32"/>
          <w:u w:val="single"/>
        </w:rPr>
        <w:t xml:space="preserve">                     </w:t>
      </w:r>
    </w:p>
    <w:p w14:paraId="17E95416">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sz w:val="32"/>
          <w:szCs w:val="32"/>
        </w:rPr>
      </w:pPr>
      <w:r>
        <w:rPr>
          <w:rFonts w:hint="eastAsia" w:ascii="仿宋_GB2312" w:hAnsi="仿宋_GB2312" w:eastAsia="仿宋_GB2312"/>
          <w:bCs/>
          <w:color w:val="auto"/>
          <w:sz w:val="32"/>
          <w:szCs w:val="32"/>
        </w:rPr>
        <w:t>依据《中华人民共和国民法典》等与项目行业有关的法律法规，以及</w:t>
      </w:r>
      <w:r>
        <w:rPr>
          <w:rFonts w:hint="eastAsia" w:ascii="仿宋_GB2312" w:hAnsi="仿宋_GB2312" w:eastAsia="仿宋_GB2312"/>
          <w:bCs/>
          <w:color w:val="auto"/>
          <w:sz w:val="32"/>
          <w:szCs w:val="32"/>
          <w:u w:val="single"/>
        </w:rPr>
        <w:t xml:space="preserve">        </w:t>
      </w:r>
      <w:r>
        <w:rPr>
          <w:rFonts w:hint="eastAsia" w:ascii="仿宋_GB2312" w:hAnsi="仿宋_GB2312" w:eastAsia="仿宋_GB2312"/>
          <w:bCs/>
          <w:color w:val="auto"/>
          <w:sz w:val="32"/>
          <w:szCs w:val="32"/>
        </w:rPr>
        <w:t>（项目编号：</w:t>
      </w:r>
      <w:r>
        <w:rPr>
          <w:rFonts w:hint="eastAsia" w:ascii="仿宋_GB2312" w:hAnsi="仿宋_GB2312" w:eastAsia="仿宋_GB2312"/>
          <w:bCs/>
          <w:color w:val="auto"/>
          <w:sz w:val="32"/>
          <w:szCs w:val="32"/>
          <w:u w:val="single"/>
        </w:rPr>
        <w:t xml:space="preserve">            </w:t>
      </w:r>
      <w:r>
        <w:rPr>
          <w:rFonts w:hint="eastAsia" w:ascii="仿宋_GB2312" w:hAnsi="仿宋_GB2312" w:eastAsia="仿宋_GB2312"/>
          <w:bCs/>
          <w:color w:val="auto"/>
          <w:sz w:val="32"/>
          <w:szCs w:val="32"/>
        </w:rPr>
        <w:t>）的《竞争性</w:t>
      </w:r>
      <w:r>
        <w:rPr>
          <w:rFonts w:hint="eastAsia" w:ascii="仿宋_GB2312" w:hAnsi="仿宋_GB2312" w:eastAsia="仿宋_GB2312"/>
          <w:bCs/>
          <w:color w:val="auto"/>
          <w:sz w:val="32"/>
          <w:szCs w:val="32"/>
          <w:lang w:val="en-US" w:eastAsia="zh-CN"/>
        </w:rPr>
        <w:t>磋商</w:t>
      </w:r>
      <w:r>
        <w:rPr>
          <w:rFonts w:hint="eastAsia" w:ascii="仿宋_GB2312" w:hAnsi="仿宋_GB2312" w:eastAsia="仿宋_GB2312"/>
          <w:bCs/>
          <w:color w:val="auto"/>
          <w:sz w:val="32"/>
          <w:szCs w:val="32"/>
        </w:rPr>
        <w:t>文件》、乙方的《竞争性</w:t>
      </w:r>
      <w:r>
        <w:rPr>
          <w:rFonts w:hint="eastAsia" w:ascii="仿宋_GB2312" w:hAnsi="仿宋_GB2312" w:eastAsia="仿宋_GB2312"/>
          <w:bCs/>
          <w:color w:val="auto"/>
          <w:sz w:val="32"/>
          <w:szCs w:val="32"/>
          <w:lang w:val="en-US" w:eastAsia="zh-CN"/>
        </w:rPr>
        <w:t>磋商</w:t>
      </w:r>
      <w:r>
        <w:rPr>
          <w:rFonts w:hint="eastAsia" w:ascii="仿宋_GB2312" w:hAnsi="仿宋_GB2312" w:eastAsia="仿宋_GB2312"/>
          <w:bCs/>
          <w:color w:val="auto"/>
          <w:sz w:val="32"/>
          <w:szCs w:val="32"/>
        </w:rPr>
        <w:t>响应文件》、</w:t>
      </w:r>
      <w:r>
        <w:rPr>
          <w:rFonts w:hint="eastAsia" w:ascii="仿宋_GB2312" w:hAnsi="仿宋_GB2312" w:eastAsia="仿宋_GB2312"/>
          <w:bCs/>
          <w:color w:val="auto"/>
          <w:sz w:val="32"/>
          <w:szCs w:val="32"/>
          <w:u w:val="single"/>
        </w:rPr>
        <w:t xml:space="preserve">              </w:t>
      </w:r>
      <w:r>
        <w:rPr>
          <w:rFonts w:hint="eastAsia" w:ascii="仿宋_GB2312" w:hAnsi="仿宋_GB2312" w:eastAsia="仿宋_GB2312"/>
          <w:bCs/>
          <w:color w:val="auto"/>
          <w:sz w:val="32"/>
          <w:szCs w:val="32"/>
        </w:rPr>
        <w:t>《成交通知书》，甲方、乙方双方同意签订本合同。详细技术说明及其他有关合同项目的特定信息由合同附件予以说明，合同附件及本项目的《竞争性磋商文件》《竞争性磋商响应文件》《成交通知书》等均为本合同的组成部分。</w:t>
      </w:r>
    </w:p>
    <w:p w14:paraId="0B9BAC2B">
      <w:pPr>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sz w:val="32"/>
          <w:szCs w:val="32"/>
        </w:rPr>
      </w:pPr>
      <w:r>
        <w:rPr>
          <w:rFonts w:hint="eastAsia" w:ascii="仿宋_GB2312" w:hAnsi="仿宋_GB2312" w:eastAsia="仿宋_GB2312"/>
          <w:b/>
          <w:color w:val="auto"/>
          <w:sz w:val="32"/>
          <w:szCs w:val="32"/>
        </w:rPr>
        <w:t>第一条 项目基本情况</w:t>
      </w:r>
    </w:p>
    <w:p w14:paraId="2D9F76FB">
      <w:pPr>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本项目拟采购</w:t>
      </w:r>
      <w:r>
        <w:rPr>
          <w:rFonts w:hint="eastAsia" w:ascii="仿宋_GB2312" w:hAnsi="仿宋_GB2312" w:eastAsia="仿宋_GB2312"/>
          <w:bCs/>
          <w:color w:val="auto"/>
          <w:sz w:val="32"/>
          <w:szCs w:val="32"/>
          <w:lang w:eastAsia="zh-CN"/>
        </w:rPr>
        <w:t>西安工程大学</w:t>
      </w:r>
      <w:r>
        <w:rPr>
          <w:rFonts w:hint="eastAsia" w:ascii="仿宋_GB2312" w:hAnsi="仿宋_GB2312" w:eastAsia="仿宋_GB2312"/>
          <w:bCs/>
          <w:color w:val="auto"/>
          <w:sz w:val="32"/>
          <w:szCs w:val="32"/>
        </w:rPr>
        <w:t>科技成果转化“三项改革”试点项目科技成果转化服务。</w:t>
      </w:r>
    </w:p>
    <w:p w14:paraId="5DE8ED74">
      <w:pPr>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sz w:val="32"/>
          <w:szCs w:val="32"/>
        </w:rPr>
      </w:pPr>
      <w:r>
        <w:rPr>
          <w:rFonts w:hint="eastAsia" w:ascii="仿宋_GB2312" w:hAnsi="仿宋_GB2312" w:eastAsia="仿宋_GB2312"/>
          <w:b/>
          <w:color w:val="auto"/>
          <w:sz w:val="32"/>
          <w:szCs w:val="32"/>
        </w:rPr>
        <w:t>第二条 服务期限</w:t>
      </w:r>
    </w:p>
    <w:p w14:paraId="40BDD154">
      <w:pPr>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本合同服务期限为</w:t>
      </w:r>
      <w:r>
        <w:rPr>
          <w:rFonts w:hint="eastAsia" w:ascii="仿宋_GB2312" w:hAnsi="仿宋_GB2312" w:eastAsia="仿宋_GB2312"/>
          <w:bCs/>
          <w:color w:val="auto"/>
          <w:sz w:val="32"/>
          <w:szCs w:val="32"/>
          <w:lang w:eastAsia="zh-CN"/>
        </w:rPr>
        <w:t>：</w:t>
      </w:r>
      <w:r>
        <w:rPr>
          <w:rFonts w:hint="eastAsia" w:ascii="仿宋_GB2312" w:hAnsi="仿宋_GB2312" w:eastAsia="仿宋_GB2312"/>
          <w:bCs/>
          <w:color w:val="auto"/>
          <w:sz w:val="32"/>
          <w:szCs w:val="32"/>
          <w:u w:val="none"/>
        </w:rPr>
        <w:t>自合同签订之日起</w:t>
      </w:r>
      <w:r>
        <w:rPr>
          <w:rFonts w:hint="eastAsia" w:ascii="仿宋_GB2312" w:hAnsi="仿宋_GB2312" w:eastAsia="仿宋_GB2312"/>
          <w:bCs/>
          <w:color w:val="auto"/>
          <w:sz w:val="32"/>
          <w:szCs w:val="32"/>
          <w:u w:val="single"/>
          <w:lang w:val="en-US" w:eastAsia="zh-CN"/>
        </w:rPr>
        <w:t xml:space="preserve">    </w:t>
      </w:r>
      <w:r>
        <w:rPr>
          <w:rFonts w:hint="eastAsia" w:ascii="仿宋_GB2312" w:hAnsi="仿宋_GB2312" w:eastAsia="仿宋_GB2312"/>
          <w:bCs/>
          <w:color w:val="auto"/>
          <w:sz w:val="32"/>
          <w:szCs w:val="32"/>
          <w:u w:val="none"/>
        </w:rPr>
        <w:t>日历日内完成本项目服务</w:t>
      </w:r>
      <w:r>
        <w:rPr>
          <w:rFonts w:hint="eastAsia" w:ascii="仿宋_GB2312" w:hAnsi="仿宋_GB2312" w:eastAsia="仿宋_GB2312"/>
          <w:bCs/>
          <w:color w:val="auto"/>
          <w:sz w:val="32"/>
          <w:szCs w:val="32"/>
        </w:rPr>
        <w:t>，上述服务期限为计划期限，如因甲方项目安排调整等客观原因需变更，甲方应提前书面通知乙方，双方协商一致后可相应顺延。</w:t>
      </w:r>
    </w:p>
    <w:p w14:paraId="4AEC3301">
      <w:pPr>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上述工作进度安排期限内，若乙方提前完成合同服务内容并满足合同要求，由乙方向甲方提交本项目全部服务内容，经甲方确认后，可提前完成合同验收。</w:t>
      </w:r>
    </w:p>
    <w:p w14:paraId="16A8E518">
      <w:pPr>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sz w:val="32"/>
          <w:szCs w:val="32"/>
        </w:rPr>
      </w:pPr>
      <w:r>
        <w:rPr>
          <w:rFonts w:hint="eastAsia" w:ascii="仿宋_GB2312" w:hAnsi="仿宋_GB2312" w:eastAsia="仿宋_GB2312"/>
          <w:b/>
          <w:color w:val="auto"/>
          <w:sz w:val="32"/>
          <w:szCs w:val="32"/>
        </w:rPr>
        <w:t>第三条 服务内容</w:t>
      </w:r>
    </w:p>
    <w:p w14:paraId="3BC2C91C">
      <w:pPr>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依据国家、陕西省及西安市科技成果转化相关法律法规与政策要求，甲方自愿委托乙方为西安工程大学科技成果转化服务项目提供全流程专业服务，具体工作内容如下：</w:t>
      </w:r>
    </w:p>
    <w:p w14:paraId="1F7EB577">
      <w:pPr>
        <w:keepNext w:val="0"/>
        <w:keepLines w:val="0"/>
        <w:pageBreakBefore w:val="0"/>
        <w:widowControl w:val="0"/>
        <w:numPr>
          <w:ilvl w:val="0"/>
          <w:numId w:val="1"/>
        </w:numPr>
        <w:tabs>
          <w:tab w:val="left" w:pos="1050"/>
        </w:tabs>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吸纳外部兼职技术经理人：引进具有</w:t>
      </w:r>
      <w:r>
        <w:rPr>
          <w:rFonts w:hint="eastAsia" w:ascii="仿宋_GB2312" w:hAnsi="仿宋_GB2312" w:eastAsia="仿宋_GB2312"/>
          <w:bCs/>
          <w:color w:val="auto"/>
          <w:sz w:val="32"/>
          <w:szCs w:val="32"/>
          <w:lang w:val="en-US" w:eastAsia="zh-CN"/>
        </w:rPr>
        <w:t>与本次成果转化相关</w:t>
      </w:r>
      <w:r>
        <w:rPr>
          <w:rFonts w:hint="eastAsia" w:ascii="仿宋_GB2312" w:hAnsi="仿宋_GB2312" w:eastAsia="仿宋_GB2312"/>
          <w:bCs/>
          <w:color w:val="auto"/>
          <w:sz w:val="32"/>
          <w:szCs w:val="32"/>
        </w:rPr>
        <w:t>学科背景的技术经理人，协助开展</w:t>
      </w:r>
      <w:r>
        <w:rPr>
          <w:rFonts w:hint="eastAsia" w:ascii="仿宋_GB2312" w:hAnsi="仿宋_GB2312" w:eastAsia="仿宋_GB2312"/>
          <w:bCs/>
          <w:color w:val="auto"/>
          <w:sz w:val="32"/>
          <w:szCs w:val="32"/>
          <w:lang w:eastAsia="zh-CN"/>
        </w:rPr>
        <w:t>成果挖掘、</w:t>
      </w:r>
      <w:r>
        <w:rPr>
          <w:rFonts w:hint="eastAsia" w:ascii="仿宋_GB2312" w:hAnsi="仿宋_GB2312" w:eastAsia="仿宋_GB2312"/>
          <w:bCs/>
          <w:color w:val="auto"/>
          <w:sz w:val="32"/>
          <w:szCs w:val="32"/>
        </w:rPr>
        <w:t>成果评估、市场对接、商业谈判，服务期不少于</w:t>
      </w:r>
      <w:r>
        <w:rPr>
          <w:rFonts w:hint="eastAsia" w:ascii="仿宋_GB2312" w:hAnsi="仿宋_GB2312" w:eastAsia="仿宋_GB2312"/>
          <w:bCs/>
          <w:color w:val="auto"/>
          <w:sz w:val="32"/>
          <w:szCs w:val="32"/>
          <w:lang w:val="en-US" w:eastAsia="zh-CN"/>
        </w:rPr>
        <w:t>36</w:t>
      </w:r>
      <w:r>
        <w:rPr>
          <w:rFonts w:hint="eastAsia" w:ascii="仿宋_GB2312" w:hAnsi="仿宋_GB2312" w:eastAsia="仿宋_GB2312"/>
          <w:bCs/>
          <w:color w:val="auto"/>
          <w:sz w:val="32"/>
          <w:szCs w:val="32"/>
        </w:rPr>
        <w:t>个月。</w:t>
      </w:r>
    </w:p>
    <w:p w14:paraId="091D7C67">
      <w:pPr>
        <w:keepNext w:val="0"/>
        <w:keepLines w:val="0"/>
        <w:pageBreakBefore w:val="0"/>
        <w:widowControl w:val="0"/>
        <w:numPr>
          <w:ilvl w:val="0"/>
          <w:numId w:val="1"/>
        </w:numPr>
        <w:tabs>
          <w:tab w:val="left" w:pos="1050"/>
        </w:tabs>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技术经理人培训：组织不少于</w:t>
      </w:r>
      <w:r>
        <w:rPr>
          <w:rFonts w:hint="eastAsia" w:ascii="仿宋_GB2312" w:hAnsi="仿宋_GB2312" w:eastAsia="仿宋_GB2312"/>
          <w:bCs/>
          <w:color w:val="auto"/>
          <w:sz w:val="32"/>
          <w:szCs w:val="32"/>
          <w:lang w:val="en-US" w:eastAsia="zh-CN"/>
        </w:rPr>
        <w:t>2</w:t>
      </w:r>
      <w:r>
        <w:rPr>
          <w:rFonts w:hint="eastAsia" w:ascii="仿宋_GB2312" w:hAnsi="仿宋_GB2312" w:eastAsia="仿宋_GB2312"/>
          <w:bCs/>
          <w:color w:val="auto"/>
          <w:sz w:val="32"/>
          <w:szCs w:val="32"/>
        </w:rPr>
        <w:t>场专题培训，内容涵盖科技成果估值、知识产权运营、技术合同撰写、投融资对接等，参训人员覆盖校内科研管理骨干。</w:t>
      </w:r>
    </w:p>
    <w:p w14:paraId="241D4C85">
      <w:pPr>
        <w:keepNext w:val="0"/>
        <w:keepLines w:val="0"/>
        <w:pageBreakBefore w:val="0"/>
        <w:widowControl w:val="0"/>
        <w:numPr>
          <w:ilvl w:val="0"/>
          <w:numId w:val="1"/>
        </w:numPr>
        <w:tabs>
          <w:tab w:val="left" w:pos="1050"/>
        </w:tabs>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重点学科领域成果盘点：针对纺织材料及纺织复合材料、新一代信息技术、智能制造装备及技术、电气工程及自动化4个学科领域成果，系统梳理近五年</w:t>
      </w:r>
      <w:r>
        <w:rPr>
          <w:rFonts w:hint="eastAsia" w:ascii="仿宋_GB2312" w:hAnsi="仿宋_GB2312" w:eastAsia="仿宋_GB2312"/>
          <w:bCs/>
          <w:color w:val="auto"/>
          <w:sz w:val="32"/>
          <w:szCs w:val="32"/>
          <w:lang w:eastAsia="zh-CN"/>
        </w:rPr>
        <w:t>的相关成果，包括专利成果、论文成果、项目成果等，</w:t>
      </w:r>
      <w:r>
        <w:rPr>
          <w:rFonts w:hint="eastAsia" w:ascii="仿宋_GB2312" w:hAnsi="仿宋_GB2312" w:eastAsia="仿宋_GB2312"/>
          <w:bCs/>
          <w:color w:val="auto"/>
          <w:sz w:val="32"/>
          <w:szCs w:val="32"/>
        </w:rPr>
        <w:t>形成分类清单与</w:t>
      </w:r>
      <w:r>
        <w:rPr>
          <w:rFonts w:hint="eastAsia" w:ascii="仿宋_GB2312" w:hAnsi="仿宋_GB2312" w:eastAsia="仿宋_GB2312"/>
          <w:bCs/>
          <w:color w:val="auto"/>
          <w:sz w:val="32"/>
          <w:szCs w:val="32"/>
          <w:lang w:eastAsia="zh-CN"/>
        </w:rPr>
        <w:t>盘点</w:t>
      </w:r>
      <w:r>
        <w:rPr>
          <w:rFonts w:hint="eastAsia" w:ascii="仿宋_GB2312" w:hAnsi="仿宋_GB2312" w:eastAsia="仿宋_GB2312"/>
          <w:bCs/>
          <w:color w:val="auto"/>
          <w:sz w:val="32"/>
          <w:szCs w:val="32"/>
        </w:rPr>
        <w:t>报告。</w:t>
      </w:r>
    </w:p>
    <w:p w14:paraId="6626B724">
      <w:pPr>
        <w:keepNext w:val="0"/>
        <w:keepLines w:val="0"/>
        <w:pageBreakBefore w:val="0"/>
        <w:widowControl w:val="0"/>
        <w:numPr>
          <w:ilvl w:val="0"/>
          <w:numId w:val="1"/>
        </w:numPr>
        <w:tabs>
          <w:tab w:val="left" w:pos="1050"/>
        </w:tabs>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科技成果挖掘梳理：通过专利分析、文献比对、市场需求调研等方式，主动挖掘具备</w:t>
      </w:r>
      <w:r>
        <w:rPr>
          <w:rFonts w:hint="eastAsia" w:ascii="仿宋_GB2312" w:hAnsi="仿宋_GB2312" w:eastAsia="仿宋_GB2312"/>
          <w:bCs/>
          <w:color w:val="auto"/>
          <w:sz w:val="32"/>
          <w:szCs w:val="32"/>
          <w:lang w:eastAsia="zh-CN"/>
        </w:rPr>
        <w:t>转化潜力的科研成果不少于</w:t>
      </w:r>
      <w:r>
        <w:rPr>
          <w:rFonts w:hint="eastAsia" w:ascii="仿宋_GB2312" w:hAnsi="仿宋_GB2312" w:eastAsia="仿宋_GB2312"/>
          <w:bCs/>
          <w:color w:val="auto"/>
          <w:sz w:val="32"/>
          <w:szCs w:val="32"/>
          <w:lang w:val="en-US" w:eastAsia="zh-CN"/>
        </w:rPr>
        <w:t>90项</w:t>
      </w:r>
      <w:r>
        <w:rPr>
          <w:rFonts w:hint="eastAsia" w:ascii="仿宋_GB2312" w:hAnsi="仿宋_GB2312" w:eastAsia="仿宋_GB2312"/>
          <w:bCs/>
          <w:color w:val="auto"/>
          <w:sz w:val="32"/>
          <w:szCs w:val="32"/>
        </w:rPr>
        <w:t>，提出转化路径建议（许可、转让、作价入股）。</w:t>
      </w:r>
    </w:p>
    <w:p w14:paraId="2695E040">
      <w:pPr>
        <w:keepNext w:val="0"/>
        <w:keepLines w:val="0"/>
        <w:pageBreakBefore w:val="0"/>
        <w:widowControl w:val="0"/>
        <w:numPr>
          <w:ilvl w:val="0"/>
          <w:numId w:val="1"/>
        </w:numPr>
        <w:tabs>
          <w:tab w:val="left" w:pos="1050"/>
        </w:tabs>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lang w:eastAsia="zh-CN"/>
        </w:rPr>
      </w:pPr>
      <w:r>
        <w:rPr>
          <w:rFonts w:hint="eastAsia" w:ascii="仿宋_GB2312" w:hAnsi="仿宋_GB2312" w:eastAsia="仿宋_GB2312"/>
          <w:bCs/>
          <w:color w:val="auto"/>
          <w:sz w:val="32"/>
          <w:szCs w:val="32"/>
        </w:rPr>
        <w:t>成果转化小程序：</w:t>
      </w:r>
      <w:r>
        <w:rPr>
          <w:rFonts w:hint="eastAsia" w:ascii="仿宋_GB2312" w:hAnsi="仿宋_GB2312" w:eastAsia="仿宋_GB2312"/>
          <w:b/>
          <w:bCs w:val="0"/>
          <w:color w:val="auto"/>
          <w:sz w:val="32"/>
          <w:szCs w:val="32"/>
          <w:lang w:eastAsia="zh-CN"/>
        </w:rPr>
        <w:t>基础核心能力。</w:t>
      </w:r>
      <w:r>
        <w:rPr>
          <w:rFonts w:hint="eastAsia" w:ascii="仿宋_GB2312" w:hAnsi="仿宋_GB2312" w:eastAsia="仿宋_GB2312"/>
          <w:bCs/>
          <w:color w:val="auto"/>
          <w:sz w:val="32"/>
          <w:szCs w:val="32"/>
          <w:lang w:eastAsia="zh-CN"/>
        </w:rPr>
        <w:t>平台搭建成果、需求、专家、专利、政策五大核心要素库。成果库：展示校内优质科技成果，支持发布、预览与检索。需求库：统一管理企业技术需求，精准对接校内技术供给。专家库：整合校内专家资源，为校企合作提供技术支撑与对接入口。专利库：分类管理学校专利，提供知识产权信息。政策库：归集转化相关政策，提供查询解读服务。同时平台具备用户认证、线上洽谈、沟通留言、多级审核、数据统计功能</w:t>
      </w:r>
      <w:r>
        <w:rPr>
          <w:rFonts w:hint="eastAsia" w:ascii="仿宋_GB2312" w:hAnsi="仿宋_GB2312" w:eastAsia="仿宋_GB2312"/>
          <w:b w:val="0"/>
          <w:bCs/>
          <w:color w:val="auto"/>
          <w:sz w:val="32"/>
          <w:szCs w:val="32"/>
          <w:lang w:eastAsia="zh-CN"/>
        </w:rPr>
        <w:t>。</w:t>
      </w:r>
      <w:r>
        <w:rPr>
          <w:rFonts w:hint="eastAsia" w:ascii="仿宋_GB2312" w:hAnsi="仿宋_GB2312" w:eastAsia="仿宋_GB2312"/>
          <w:b/>
          <w:bCs w:val="0"/>
          <w:color w:val="auto"/>
          <w:sz w:val="32"/>
          <w:szCs w:val="32"/>
          <w:lang w:eastAsia="zh-CN"/>
        </w:rPr>
        <w:t>AI智能赋能。</w:t>
      </w:r>
      <w:r>
        <w:rPr>
          <w:rFonts w:hint="eastAsia" w:ascii="仿宋_GB2312" w:hAnsi="仿宋_GB2312" w:eastAsia="仿宋_GB2312"/>
          <w:bCs/>
          <w:color w:val="auto"/>
          <w:sz w:val="32"/>
          <w:szCs w:val="32"/>
          <w:lang w:eastAsia="zh-CN"/>
        </w:rPr>
        <w:t>平台融入AI技术，为成果提供智能评价，从多维度评估成果创新度、成熟度等，提炼亮点并给出转化建议。依托AI精准匹配企业技术需求，快速对接校内成果、技术与专家，提升响应与匹配效率。构建多维度专家智能画像，清晰展示专家核心信息。</w:t>
      </w:r>
    </w:p>
    <w:p w14:paraId="4343846C">
      <w:pPr>
        <w:keepNext w:val="0"/>
        <w:keepLines w:val="0"/>
        <w:pageBreakBefore w:val="0"/>
        <w:widowControl w:val="0"/>
        <w:numPr>
          <w:ilvl w:val="0"/>
          <w:numId w:val="1"/>
        </w:numPr>
        <w:tabs>
          <w:tab w:val="left" w:pos="1050"/>
        </w:tabs>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学科级成果转化“微纪录片”：制作</w:t>
      </w:r>
      <w:r>
        <w:rPr>
          <w:rFonts w:hint="eastAsia" w:ascii="仿宋_GB2312" w:hAnsi="仿宋_GB2312" w:eastAsia="仿宋_GB2312"/>
          <w:bCs/>
          <w:color w:val="auto"/>
          <w:sz w:val="32"/>
          <w:szCs w:val="32"/>
          <w:lang w:val="en-US" w:eastAsia="zh-CN"/>
        </w:rPr>
        <w:t>不少于</w:t>
      </w:r>
      <w:r>
        <w:rPr>
          <w:rFonts w:hint="eastAsia" w:ascii="仿宋_GB2312" w:hAnsi="仿宋_GB2312" w:eastAsia="仿宋_GB2312"/>
          <w:bCs/>
          <w:color w:val="auto"/>
          <w:sz w:val="32"/>
          <w:szCs w:val="32"/>
        </w:rPr>
        <w:t>3部5—7分钟成果转化微纪录片，突出科学家事迹、实验场景、技术攻关及产业应用。</w:t>
      </w:r>
    </w:p>
    <w:p w14:paraId="3196D486">
      <w:pPr>
        <w:keepNext w:val="0"/>
        <w:keepLines w:val="0"/>
        <w:pageBreakBefore w:val="0"/>
        <w:widowControl w:val="0"/>
        <w:numPr>
          <w:ilvl w:val="0"/>
          <w:numId w:val="1"/>
        </w:numPr>
        <w:tabs>
          <w:tab w:val="left" w:pos="1050"/>
        </w:tabs>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成果推广</w:t>
      </w:r>
      <w:r>
        <w:rPr>
          <w:rFonts w:hint="eastAsia" w:ascii="仿宋_GB2312" w:hAnsi="仿宋_GB2312" w:eastAsia="仿宋_GB2312"/>
          <w:bCs/>
          <w:color w:val="auto"/>
          <w:sz w:val="32"/>
          <w:szCs w:val="32"/>
          <w:lang w:eastAsia="zh-CN"/>
        </w:rPr>
        <w:t>短</w:t>
      </w:r>
      <w:r>
        <w:rPr>
          <w:rFonts w:hint="eastAsia" w:ascii="仿宋_GB2312" w:hAnsi="仿宋_GB2312" w:eastAsia="仿宋_GB2312"/>
          <w:bCs/>
          <w:color w:val="auto"/>
          <w:sz w:val="32"/>
          <w:szCs w:val="32"/>
        </w:rPr>
        <w:t>视频：制作不少于</w:t>
      </w:r>
      <w:r>
        <w:rPr>
          <w:rFonts w:hint="eastAsia" w:ascii="仿宋_GB2312" w:hAnsi="仿宋_GB2312" w:eastAsia="仿宋_GB2312"/>
          <w:bCs/>
          <w:color w:val="auto"/>
          <w:sz w:val="32"/>
          <w:szCs w:val="32"/>
          <w:lang w:val="en-US" w:eastAsia="zh-CN"/>
        </w:rPr>
        <w:t>20</w:t>
      </w:r>
      <w:r>
        <w:rPr>
          <w:rFonts w:hint="eastAsia" w:ascii="仿宋_GB2312" w:hAnsi="仿宋_GB2312" w:eastAsia="仿宋_GB2312"/>
          <w:bCs/>
          <w:color w:val="auto"/>
          <w:sz w:val="32"/>
          <w:szCs w:val="32"/>
        </w:rPr>
        <w:t>条1</w:t>
      </w:r>
      <w:r>
        <w:rPr>
          <w:rFonts w:hint="eastAsia" w:ascii="仿宋_GB2312" w:hAnsi="仿宋_GB2312" w:eastAsia="仿宋_GB2312"/>
          <w:bCs/>
          <w:color w:val="auto"/>
          <w:sz w:val="32"/>
          <w:szCs w:val="32"/>
          <w:lang w:val="en-US" w:eastAsia="zh-CN"/>
        </w:rPr>
        <w:t>.5</w:t>
      </w:r>
      <w:r>
        <w:rPr>
          <w:rFonts w:hint="eastAsia" w:ascii="仿宋_GB2312" w:hAnsi="仿宋_GB2312" w:eastAsia="仿宋_GB2312"/>
          <w:bCs/>
          <w:color w:val="auto"/>
          <w:sz w:val="32"/>
          <w:szCs w:val="32"/>
        </w:rPr>
        <w:t>-2分钟的短视频，用于抖音、微信视频号等平台传播，内容涵盖成果亮点、应用场景、合作方式等。</w:t>
      </w:r>
    </w:p>
    <w:p w14:paraId="1F33AE23">
      <w:pPr>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sz w:val="32"/>
          <w:szCs w:val="32"/>
        </w:rPr>
      </w:pPr>
      <w:r>
        <w:rPr>
          <w:rFonts w:hint="eastAsia" w:ascii="仿宋_GB2312" w:hAnsi="仿宋_GB2312" w:eastAsia="仿宋_GB2312"/>
          <w:b/>
          <w:color w:val="auto"/>
          <w:sz w:val="32"/>
          <w:szCs w:val="32"/>
        </w:rPr>
        <w:t>第四条 验收</w:t>
      </w:r>
    </w:p>
    <w:p w14:paraId="24DB8F6E">
      <w:pPr>
        <w:keepNext w:val="0"/>
        <w:keepLines w:val="0"/>
        <w:pageBreakBefore w:val="0"/>
        <w:widowControl w:val="0"/>
        <w:numPr>
          <w:ilvl w:val="0"/>
          <w:numId w:val="2"/>
        </w:numPr>
        <w:tabs>
          <w:tab w:val="left" w:pos="1480"/>
        </w:tabs>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乙方完成本合同第三条约定的全部服务内容后，向甲方提交本项目全部服务内容，包括但不限于：协议文件、培训记录、盘点报告、小程序平台、微纪录片、短视频等，并书面提出验收申请。</w:t>
      </w:r>
    </w:p>
    <w:p w14:paraId="34D1D1ED">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甲方在收到乙方验收申请及本项目全部服务内容后</w:t>
      </w:r>
      <w:r>
        <w:rPr>
          <w:rFonts w:hint="eastAsia" w:ascii="仿宋_GB2312" w:hAnsi="仿宋_GB2312" w:eastAsia="仿宋_GB2312"/>
          <w:bCs/>
          <w:color w:val="auto"/>
          <w:sz w:val="32"/>
          <w:szCs w:val="32"/>
          <w:u w:val="single"/>
          <w:lang w:val="en-US" w:eastAsia="zh-CN"/>
        </w:rPr>
        <w:t xml:space="preserve">  </w:t>
      </w:r>
      <w:r>
        <w:rPr>
          <w:rFonts w:hint="eastAsia" w:ascii="仿宋_GB2312" w:hAnsi="仿宋_GB2312" w:eastAsia="仿宋_GB2312"/>
          <w:bCs/>
          <w:color w:val="auto"/>
          <w:sz w:val="32"/>
          <w:szCs w:val="32"/>
        </w:rPr>
        <w:t>个工作日内组织验收，验收标准以本合同第三条约定的服务内容、数量指标与质量要求为准。</w:t>
      </w:r>
    </w:p>
    <w:p w14:paraId="2497B2C5">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验收合格的，双方签署《服务验收</w:t>
      </w:r>
      <w:r>
        <w:rPr>
          <w:rFonts w:hint="eastAsia" w:ascii="仿宋_GB2312" w:hAnsi="仿宋_GB2312" w:eastAsia="仿宋_GB2312"/>
          <w:bCs/>
          <w:color w:val="auto"/>
          <w:sz w:val="32"/>
          <w:szCs w:val="32"/>
          <w:lang w:eastAsia="zh-CN"/>
        </w:rPr>
        <w:t>单</w:t>
      </w:r>
      <w:r>
        <w:rPr>
          <w:rFonts w:hint="eastAsia" w:ascii="仿宋_GB2312" w:hAnsi="仿宋_GB2312" w:eastAsia="仿宋_GB2312"/>
          <w:bCs/>
          <w:color w:val="auto"/>
          <w:sz w:val="32"/>
          <w:szCs w:val="32"/>
        </w:rPr>
        <w:t>》；验收不合格的，甲方书面说明不合格事项及整改要求，乙方在</w:t>
      </w:r>
      <w:r>
        <w:rPr>
          <w:rFonts w:hint="default" w:ascii="仿宋_GB2312" w:hAnsi="仿宋_GB2312" w:eastAsia="仿宋_GB2312"/>
          <w:bCs/>
          <w:color w:val="auto"/>
          <w:sz w:val="32"/>
          <w:szCs w:val="32"/>
          <w:u w:val="single"/>
          <w:lang w:val="en-US"/>
        </w:rPr>
        <w:t xml:space="preserve">    </w:t>
      </w:r>
      <w:r>
        <w:rPr>
          <w:rFonts w:hint="eastAsia" w:ascii="仿宋_GB2312" w:hAnsi="仿宋_GB2312" w:eastAsia="仿宋_GB2312"/>
          <w:bCs/>
          <w:color w:val="auto"/>
          <w:sz w:val="32"/>
          <w:szCs w:val="32"/>
        </w:rPr>
        <w:t>个工作日内完成整改并重新申请验收，因乙方原因造成整改的，服务期限不予顺延。</w:t>
      </w:r>
    </w:p>
    <w:p w14:paraId="749341D2">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line="560" w:lineRule="exact"/>
        <w:ind w:left="0" w:leftChars="0" w:firstLine="640" w:firstLineChars="200"/>
        <w:textAlignment w:val="auto"/>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验收合格为甲方支付合同款项的前提条件；验收通过日期为本项目服务完成日期。</w:t>
      </w:r>
    </w:p>
    <w:p w14:paraId="643C64B5">
      <w:pPr>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sz w:val="32"/>
          <w:szCs w:val="32"/>
        </w:rPr>
      </w:pPr>
      <w:r>
        <w:rPr>
          <w:rFonts w:hint="eastAsia" w:ascii="仿宋_GB2312" w:hAnsi="仿宋_GB2312" w:eastAsia="仿宋_GB2312"/>
          <w:b/>
          <w:color w:val="auto"/>
          <w:sz w:val="32"/>
          <w:szCs w:val="32"/>
        </w:rPr>
        <w:t>第五条 服务费用及支付方式</w:t>
      </w:r>
    </w:p>
    <w:p w14:paraId="2B77C33F">
      <w:pPr>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sz w:val="32"/>
          <w:szCs w:val="32"/>
        </w:rPr>
      </w:pPr>
      <w:r>
        <w:rPr>
          <w:rFonts w:hint="eastAsia" w:ascii="仿宋_GB2312" w:hAnsi="仿宋_GB2312" w:eastAsia="仿宋_GB2312"/>
          <w:bCs/>
          <w:color w:val="auto"/>
          <w:sz w:val="32"/>
          <w:szCs w:val="32"/>
        </w:rPr>
        <w:t>（一）服务费用</w:t>
      </w:r>
    </w:p>
    <w:p w14:paraId="4FCE59FA">
      <w:pPr>
        <w:tabs>
          <w:tab w:val="left" w:pos="4719"/>
          <w:tab w:val="left" w:pos="6159"/>
        </w:tabs>
        <w:overflowPunct w:val="0"/>
        <w:autoSpaceDE w:val="0"/>
        <w:autoSpaceDN w:val="0"/>
        <w:adjustRightInd w:val="0"/>
        <w:snapToGrid w:val="0"/>
        <w:spacing w:line="560" w:lineRule="exact"/>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合同总价：（人民币</w:t>
      </w:r>
      <w:r>
        <w:rPr>
          <w:rFonts w:hint="eastAsia" w:ascii="仿宋_GB2312" w:hAnsi="仿宋_GB2312" w:eastAsia="仿宋_GB2312"/>
          <w:color w:val="auto"/>
          <w:sz w:val="32"/>
          <w:szCs w:val="32"/>
          <w:u w:val="single"/>
        </w:rPr>
        <w:t xml:space="preserve">      </w:t>
      </w:r>
      <w:r>
        <w:rPr>
          <w:rFonts w:hint="eastAsia" w:ascii="仿宋_GB2312" w:hAnsi="仿宋_GB2312" w:eastAsia="仿宋_GB2312"/>
          <w:color w:val="auto"/>
          <w:sz w:val="32"/>
          <w:szCs w:val="32"/>
        </w:rPr>
        <w:t>元整）（</w:t>
      </w:r>
      <w:r>
        <w:rPr>
          <w:rFonts w:ascii="Calibri" w:hAnsi="Calibri" w:eastAsia="仿宋_GB2312" w:cs="Calibri"/>
          <w:color w:val="auto"/>
          <w:sz w:val="32"/>
          <w:szCs w:val="32"/>
        </w:rPr>
        <w:t>¥</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u w:val="single"/>
        </w:rPr>
        <w:t xml:space="preserve">      </w:t>
      </w:r>
      <w:r>
        <w:rPr>
          <w:rFonts w:hint="eastAsia" w:ascii="仿宋_GB2312" w:hAnsi="仿宋_GB2312" w:eastAsia="仿宋_GB2312"/>
          <w:color w:val="auto"/>
          <w:sz w:val="32"/>
          <w:szCs w:val="32"/>
        </w:rPr>
        <w:t>元）</w:t>
      </w:r>
    </w:p>
    <w:p w14:paraId="6E51E20A">
      <w:pPr>
        <w:tabs>
          <w:tab w:val="left" w:pos="7350"/>
        </w:tabs>
        <w:overflowPunct w:val="0"/>
        <w:autoSpaceDE w:val="0"/>
        <w:autoSpaceDN w:val="0"/>
        <w:adjustRightInd w:val="0"/>
        <w:snapToGrid w:val="0"/>
        <w:spacing w:line="560" w:lineRule="exact"/>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合同总价应是完成本次采购范围内所需服务的相应全部费用，包括但不限于：人工费、材料费、服务费、规费、税金、利润、专用工具使用费等与之相关的一切直接费、间接费。</w:t>
      </w:r>
    </w:p>
    <w:p w14:paraId="5FF16A42">
      <w:pPr>
        <w:overflowPunct w:val="0"/>
        <w:autoSpaceDE w:val="0"/>
        <w:autoSpaceDN w:val="0"/>
        <w:adjustRightInd w:val="0"/>
        <w:snapToGrid w:val="0"/>
        <w:spacing w:line="560" w:lineRule="exact"/>
        <w:ind w:firstLine="640" w:firstLineChars="200"/>
        <w:rPr>
          <w:rFonts w:hint="eastAsia" w:ascii="仿宋_GB2312" w:hAnsi="仿宋_GB2312" w:eastAsia="仿宋_GB2312"/>
          <w:b/>
          <w:color w:val="auto"/>
          <w:sz w:val="32"/>
          <w:szCs w:val="32"/>
        </w:rPr>
      </w:pPr>
      <w:r>
        <w:rPr>
          <w:rFonts w:hint="eastAsia" w:ascii="仿宋_GB2312" w:hAnsi="仿宋_GB2312" w:eastAsia="仿宋_GB2312"/>
          <w:b w:val="0"/>
          <w:bCs/>
          <w:color w:val="auto"/>
          <w:sz w:val="32"/>
          <w:szCs w:val="32"/>
        </w:rPr>
        <w:t>（二）支付方式</w:t>
      </w:r>
    </w:p>
    <w:p w14:paraId="4E61A4D7">
      <w:pPr>
        <w:tabs>
          <w:tab w:val="left" w:pos="7350"/>
        </w:tabs>
        <w:overflowPunct w:val="0"/>
        <w:autoSpaceDE w:val="0"/>
        <w:autoSpaceDN w:val="0"/>
        <w:adjustRightInd w:val="0"/>
        <w:snapToGrid w:val="0"/>
        <w:spacing w:line="560" w:lineRule="exact"/>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1.付款方式：合同签订后，</w:t>
      </w:r>
      <w:r>
        <w:rPr>
          <w:rFonts w:hint="eastAsia" w:ascii="仿宋_GB2312" w:hAnsi="仿宋_GB2312" w:eastAsia="仿宋_GB2312"/>
          <w:color w:val="auto"/>
          <w:sz w:val="32"/>
          <w:szCs w:val="32"/>
          <w:lang w:val="en-US" w:eastAsia="zh-CN"/>
        </w:rPr>
        <w:t>乙方</w:t>
      </w:r>
      <w:r>
        <w:rPr>
          <w:rFonts w:hint="eastAsia" w:ascii="仿宋_GB2312" w:hAnsi="仿宋_GB2312" w:eastAsia="仿宋_GB2312"/>
          <w:color w:val="auto"/>
          <w:sz w:val="32"/>
          <w:szCs w:val="32"/>
        </w:rPr>
        <w:t>向</w:t>
      </w:r>
      <w:r>
        <w:rPr>
          <w:rFonts w:hint="eastAsia" w:ascii="仿宋_GB2312" w:hAnsi="仿宋_GB2312" w:eastAsia="仿宋_GB2312"/>
          <w:color w:val="auto"/>
          <w:sz w:val="32"/>
          <w:szCs w:val="32"/>
          <w:lang w:val="en-US" w:eastAsia="zh-CN"/>
        </w:rPr>
        <w:t>甲方</w:t>
      </w:r>
      <w:r>
        <w:rPr>
          <w:rFonts w:hint="eastAsia" w:ascii="仿宋_GB2312" w:hAnsi="仿宋_GB2312" w:eastAsia="仿宋_GB2312"/>
          <w:color w:val="auto"/>
          <w:sz w:val="32"/>
          <w:szCs w:val="32"/>
        </w:rPr>
        <w:t>提供预付款等额的银行、保险公司等金融机构出具的预付款保函或其他担保措施，</w:t>
      </w:r>
      <w:r>
        <w:rPr>
          <w:rFonts w:hint="eastAsia" w:ascii="仿宋_GB2312" w:hAnsi="仿宋_GB2312" w:eastAsia="仿宋_GB2312"/>
          <w:color w:val="auto"/>
          <w:sz w:val="32"/>
          <w:szCs w:val="32"/>
          <w:lang w:val="en-US" w:eastAsia="zh-CN"/>
        </w:rPr>
        <w:t>甲方</w:t>
      </w:r>
      <w:r>
        <w:rPr>
          <w:rFonts w:hint="eastAsia" w:ascii="仿宋_GB2312" w:hAnsi="仿宋_GB2312" w:eastAsia="仿宋_GB2312"/>
          <w:color w:val="auto"/>
          <w:sz w:val="32"/>
          <w:szCs w:val="32"/>
        </w:rPr>
        <w:t>向</w:t>
      </w:r>
      <w:r>
        <w:rPr>
          <w:rFonts w:hint="eastAsia" w:ascii="仿宋_GB2312" w:hAnsi="仿宋_GB2312" w:eastAsia="仿宋_GB2312"/>
          <w:color w:val="auto"/>
          <w:sz w:val="32"/>
          <w:szCs w:val="32"/>
          <w:lang w:val="en-US" w:eastAsia="zh-CN"/>
        </w:rPr>
        <w:t>乙方</w:t>
      </w:r>
      <w:r>
        <w:rPr>
          <w:rFonts w:hint="eastAsia" w:ascii="仿宋_GB2312" w:hAnsi="仿宋_GB2312" w:eastAsia="仿宋_GB2312"/>
          <w:color w:val="auto"/>
          <w:sz w:val="32"/>
          <w:szCs w:val="32"/>
        </w:rPr>
        <w:t>支付合同总价的40%作为预付款；待所有服务完成并经验收合格，30天内支付合同总价的60%。</w:t>
      </w:r>
      <w:r>
        <w:rPr>
          <w:rFonts w:hint="eastAsia" w:ascii="仿宋_GB2312" w:hAnsi="仿宋_GB2312" w:eastAsia="仿宋_GB2312"/>
          <w:color w:val="auto"/>
          <w:sz w:val="32"/>
          <w:szCs w:val="32"/>
          <w:lang w:val="en-US" w:eastAsia="zh-CN"/>
        </w:rPr>
        <w:t>甲方</w:t>
      </w:r>
      <w:r>
        <w:rPr>
          <w:rFonts w:hint="eastAsia" w:ascii="仿宋_GB2312" w:hAnsi="仿宋_GB2312" w:eastAsia="仿宋_GB2312"/>
          <w:color w:val="auto"/>
          <w:sz w:val="32"/>
          <w:szCs w:val="32"/>
        </w:rPr>
        <w:t>向</w:t>
      </w:r>
      <w:r>
        <w:rPr>
          <w:rFonts w:hint="eastAsia" w:ascii="仿宋_GB2312" w:hAnsi="仿宋_GB2312" w:eastAsia="仿宋_GB2312"/>
          <w:color w:val="auto"/>
          <w:sz w:val="32"/>
          <w:szCs w:val="32"/>
          <w:lang w:val="en-US" w:eastAsia="zh-CN"/>
        </w:rPr>
        <w:t>乙方</w:t>
      </w:r>
      <w:r>
        <w:rPr>
          <w:rFonts w:hint="eastAsia" w:ascii="仿宋_GB2312" w:hAnsi="仿宋_GB2312" w:eastAsia="仿宋_GB2312"/>
          <w:color w:val="auto"/>
          <w:sz w:val="32"/>
          <w:szCs w:val="32"/>
        </w:rPr>
        <w:t>付款前，</w:t>
      </w:r>
      <w:r>
        <w:rPr>
          <w:rFonts w:hint="eastAsia" w:ascii="仿宋_GB2312" w:hAnsi="仿宋_GB2312" w:eastAsia="仿宋_GB2312"/>
          <w:color w:val="auto"/>
          <w:sz w:val="32"/>
          <w:szCs w:val="32"/>
          <w:lang w:val="en-US" w:eastAsia="zh-CN"/>
        </w:rPr>
        <w:t>乙方</w:t>
      </w:r>
      <w:r>
        <w:rPr>
          <w:rFonts w:hint="eastAsia" w:ascii="仿宋_GB2312" w:hAnsi="仿宋_GB2312" w:eastAsia="仿宋_GB2312"/>
          <w:color w:val="auto"/>
          <w:sz w:val="32"/>
          <w:szCs w:val="32"/>
        </w:rPr>
        <w:t>应向</w:t>
      </w:r>
      <w:r>
        <w:rPr>
          <w:rFonts w:hint="eastAsia" w:ascii="仿宋_GB2312" w:hAnsi="仿宋_GB2312" w:eastAsia="仿宋_GB2312"/>
          <w:color w:val="auto"/>
          <w:sz w:val="32"/>
          <w:szCs w:val="32"/>
          <w:lang w:val="en-US" w:eastAsia="zh-CN"/>
        </w:rPr>
        <w:t>甲方</w:t>
      </w:r>
      <w:r>
        <w:rPr>
          <w:rFonts w:hint="eastAsia" w:ascii="仿宋_GB2312" w:hAnsi="仿宋_GB2312" w:eastAsia="仿宋_GB2312"/>
          <w:color w:val="auto"/>
          <w:sz w:val="32"/>
          <w:szCs w:val="32"/>
        </w:rPr>
        <w:t>开具符合</w:t>
      </w:r>
      <w:r>
        <w:rPr>
          <w:rFonts w:hint="eastAsia" w:ascii="仿宋_GB2312" w:hAnsi="仿宋_GB2312" w:eastAsia="仿宋_GB2312"/>
          <w:color w:val="auto"/>
          <w:sz w:val="32"/>
          <w:szCs w:val="32"/>
          <w:lang w:val="en-US" w:eastAsia="zh-CN"/>
        </w:rPr>
        <w:t>甲方</w:t>
      </w:r>
      <w:r>
        <w:rPr>
          <w:rFonts w:hint="eastAsia" w:ascii="仿宋_GB2312" w:hAnsi="仿宋_GB2312" w:eastAsia="仿宋_GB2312"/>
          <w:color w:val="auto"/>
          <w:sz w:val="32"/>
          <w:szCs w:val="32"/>
        </w:rPr>
        <w:t>要求的发票，若因</w:t>
      </w:r>
      <w:r>
        <w:rPr>
          <w:rFonts w:hint="eastAsia" w:ascii="仿宋_GB2312" w:hAnsi="仿宋_GB2312" w:eastAsia="仿宋_GB2312"/>
          <w:color w:val="auto"/>
          <w:sz w:val="32"/>
          <w:szCs w:val="32"/>
          <w:lang w:val="en-US" w:eastAsia="zh-CN"/>
        </w:rPr>
        <w:t>乙方</w:t>
      </w:r>
      <w:r>
        <w:rPr>
          <w:rFonts w:hint="eastAsia" w:ascii="仿宋_GB2312" w:hAnsi="仿宋_GB2312" w:eastAsia="仿宋_GB2312"/>
          <w:color w:val="auto"/>
          <w:sz w:val="32"/>
          <w:szCs w:val="32"/>
        </w:rPr>
        <w:t>未开具或逾期开具合法有效的发票，</w:t>
      </w:r>
      <w:r>
        <w:rPr>
          <w:rFonts w:hint="eastAsia" w:ascii="仿宋_GB2312" w:hAnsi="仿宋_GB2312" w:eastAsia="仿宋_GB2312"/>
          <w:color w:val="auto"/>
          <w:sz w:val="32"/>
          <w:szCs w:val="32"/>
          <w:lang w:val="en-US" w:eastAsia="zh-CN"/>
        </w:rPr>
        <w:t>甲方</w:t>
      </w:r>
      <w:r>
        <w:rPr>
          <w:rFonts w:hint="eastAsia" w:ascii="仿宋_GB2312" w:hAnsi="仿宋_GB2312" w:eastAsia="仿宋_GB2312"/>
          <w:color w:val="auto"/>
          <w:sz w:val="32"/>
          <w:szCs w:val="32"/>
        </w:rPr>
        <w:t>有权顺延付款期限且不承担逾期付款责任。</w:t>
      </w:r>
    </w:p>
    <w:p w14:paraId="148025C5">
      <w:pPr>
        <w:tabs>
          <w:tab w:val="left" w:pos="7350"/>
        </w:tabs>
        <w:overflowPunct w:val="0"/>
        <w:autoSpaceDE w:val="0"/>
        <w:autoSpaceDN w:val="0"/>
        <w:adjustRightInd w:val="0"/>
        <w:snapToGrid w:val="0"/>
        <w:spacing w:line="560" w:lineRule="exact"/>
        <w:ind w:firstLine="640" w:firstLineChars="200"/>
        <w:rPr>
          <w:rFonts w:hint="eastAsia" w:ascii="仿宋_GB2312" w:hAnsi="仿宋_GB2312" w:eastAsia="仿宋_GB2312" w:cs="Times New Roman"/>
          <w:color w:val="auto"/>
          <w:sz w:val="32"/>
          <w:szCs w:val="32"/>
        </w:rPr>
      </w:pPr>
      <w:r>
        <w:rPr>
          <w:rFonts w:hint="eastAsia" w:ascii="仿宋_GB2312" w:hAnsi="仿宋_GB2312" w:eastAsia="仿宋_GB2312" w:cs="Times New Roman"/>
          <w:color w:val="auto"/>
          <w:sz w:val="32"/>
          <w:szCs w:val="32"/>
        </w:rPr>
        <w:t>2.履约保证金：</w:t>
      </w:r>
    </w:p>
    <w:p w14:paraId="2D9DC0A0">
      <w:pPr>
        <w:tabs>
          <w:tab w:val="left" w:pos="7350"/>
        </w:tabs>
        <w:overflowPunct w:val="0"/>
        <w:autoSpaceDE w:val="0"/>
        <w:autoSpaceDN w:val="0"/>
        <w:adjustRightInd w:val="0"/>
        <w:snapToGrid w:val="0"/>
        <w:spacing w:line="560" w:lineRule="exact"/>
        <w:ind w:firstLine="640" w:firstLineChars="200"/>
        <w:rPr>
          <w:rFonts w:hint="eastAsia" w:ascii="仿宋_GB2312" w:hAnsi="仿宋_GB2312" w:eastAsia="仿宋_GB2312" w:cs="Times New Roman"/>
          <w:color w:val="auto"/>
          <w:sz w:val="32"/>
          <w:szCs w:val="32"/>
        </w:rPr>
      </w:pPr>
      <w:r>
        <w:rPr>
          <w:rFonts w:hint="eastAsia" w:ascii="仿宋_GB2312" w:hAnsi="仿宋_GB2312" w:eastAsia="仿宋_GB2312" w:cs="Times New Roman"/>
          <w:color w:val="auto"/>
          <w:sz w:val="32"/>
          <w:szCs w:val="32"/>
        </w:rPr>
        <w:t xml:space="preserve">（1）乙方成交后凭中标通知书向甲方缴纳合同金额的5%作为履约保证金； </w:t>
      </w:r>
    </w:p>
    <w:p w14:paraId="237EE9BB">
      <w:pPr>
        <w:tabs>
          <w:tab w:val="left" w:pos="7350"/>
        </w:tabs>
        <w:overflowPunct w:val="0"/>
        <w:autoSpaceDE w:val="0"/>
        <w:autoSpaceDN w:val="0"/>
        <w:adjustRightInd w:val="0"/>
        <w:snapToGrid w:val="0"/>
        <w:spacing w:line="560" w:lineRule="exact"/>
        <w:ind w:firstLine="640" w:firstLineChars="200"/>
        <w:rPr>
          <w:rFonts w:hint="eastAsia" w:ascii="仿宋_GB2312" w:hAnsi="仿宋_GB2312" w:eastAsia="仿宋_GB2312" w:cs="Times New Roman"/>
          <w:color w:val="auto"/>
          <w:sz w:val="32"/>
          <w:szCs w:val="32"/>
        </w:rPr>
      </w:pPr>
      <w:r>
        <w:rPr>
          <w:rFonts w:hint="eastAsia" w:ascii="仿宋_GB2312" w:hAnsi="仿宋_GB2312" w:eastAsia="仿宋_GB2312" w:cs="Times New Roman"/>
          <w:color w:val="auto"/>
          <w:sz w:val="32"/>
          <w:szCs w:val="32"/>
        </w:rPr>
        <w:t xml:space="preserve">（2）履约保证金应使用人民币，可选择使用银行转账、支票、汇票、本票或者金融机构、担保机构出具的保函等非现金形式缴纳或提交； </w:t>
      </w:r>
    </w:p>
    <w:p w14:paraId="27D1F84F">
      <w:pPr>
        <w:tabs>
          <w:tab w:val="left" w:pos="7350"/>
        </w:tabs>
        <w:overflowPunct w:val="0"/>
        <w:autoSpaceDE w:val="0"/>
        <w:autoSpaceDN w:val="0"/>
        <w:adjustRightInd w:val="0"/>
        <w:snapToGrid w:val="0"/>
        <w:spacing w:line="560" w:lineRule="exact"/>
        <w:ind w:firstLine="640" w:firstLineChars="200"/>
        <w:rPr>
          <w:rFonts w:hint="eastAsia"/>
          <w:color w:val="auto"/>
        </w:rPr>
      </w:pPr>
      <w:r>
        <w:rPr>
          <w:rFonts w:hint="eastAsia" w:ascii="仿宋_GB2312" w:hAnsi="仿宋_GB2312" w:eastAsia="仿宋_GB2312" w:cs="Times New Roman"/>
          <w:color w:val="auto"/>
          <w:sz w:val="32"/>
          <w:szCs w:val="32"/>
        </w:rPr>
        <w:t>（3）甲方验收合格后，乙方提出书面申请，甲方将履约保证金（无息）退还乙方。</w:t>
      </w:r>
    </w:p>
    <w:p w14:paraId="27B2D17C">
      <w:pPr>
        <w:tabs>
          <w:tab w:val="left" w:pos="2521"/>
        </w:tabs>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sz w:val="32"/>
          <w:szCs w:val="32"/>
        </w:rPr>
      </w:pPr>
      <w:r>
        <w:rPr>
          <w:rFonts w:hint="eastAsia" w:ascii="仿宋_GB2312" w:hAnsi="仿宋_GB2312" w:eastAsia="仿宋_GB2312"/>
          <w:b/>
          <w:color w:val="auto"/>
          <w:sz w:val="32"/>
          <w:szCs w:val="32"/>
        </w:rPr>
        <w:t>第</w:t>
      </w:r>
      <w:r>
        <w:rPr>
          <w:rFonts w:hint="eastAsia" w:ascii="仿宋_GB2312" w:hAnsi="仿宋_GB2312" w:eastAsia="仿宋_GB2312"/>
          <w:b/>
          <w:color w:val="auto"/>
          <w:sz w:val="32"/>
          <w:szCs w:val="32"/>
          <w:lang w:eastAsia="zh-CN"/>
        </w:rPr>
        <w:t>六</w:t>
      </w:r>
      <w:r>
        <w:rPr>
          <w:rFonts w:hint="eastAsia" w:ascii="仿宋_GB2312" w:hAnsi="仿宋_GB2312" w:eastAsia="仿宋_GB2312"/>
          <w:b/>
          <w:color w:val="auto"/>
          <w:sz w:val="32"/>
          <w:szCs w:val="32"/>
        </w:rPr>
        <w:t>条 甲方的权利和义务</w:t>
      </w:r>
    </w:p>
    <w:p w14:paraId="38A07E29">
      <w:pPr>
        <w:tabs>
          <w:tab w:val="left" w:pos="1721"/>
          <w:tab w:val="left" w:pos="2521"/>
        </w:tabs>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kern w:val="0"/>
          <w:sz w:val="32"/>
          <w:szCs w:val="32"/>
        </w:rPr>
      </w:pPr>
      <w:r>
        <w:rPr>
          <w:rFonts w:hint="eastAsia" w:ascii="仿宋_GB2312" w:hAnsi="仿宋_GB2312" w:eastAsia="仿宋_GB2312"/>
          <w:bCs/>
          <w:color w:val="auto"/>
          <w:kern w:val="0"/>
          <w:sz w:val="32"/>
          <w:szCs w:val="32"/>
        </w:rPr>
        <w:t>1.甲方有权对乙方服务全过程进行监督、检查，定期听取项目进度汇报；对不符合合同约定的服务内容，甲方有权要求乙方限期整改，整改不到位的甲方有权暂停付款或解除合同。</w:t>
      </w:r>
    </w:p>
    <w:p w14:paraId="5D2AFEBB">
      <w:pPr>
        <w:tabs>
          <w:tab w:val="left" w:pos="1721"/>
          <w:tab w:val="left" w:pos="2521"/>
        </w:tabs>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kern w:val="0"/>
          <w:sz w:val="32"/>
          <w:szCs w:val="32"/>
        </w:rPr>
      </w:pPr>
      <w:r>
        <w:rPr>
          <w:rFonts w:hint="eastAsia" w:ascii="仿宋_GB2312" w:hAnsi="仿宋_GB2312" w:eastAsia="仿宋_GB2312"/>
          <w:bCs/>
          <w:color w:val="auto"/>
          <w:kern w:val="0"/>
          <w:sz w:val="32"/>
          <w:szCs w:val="32"/>
        </w:rPr>
        <w:t>2.甲方应积极配合乙方开展有关工作。在本合同签订后，及时向乙方提供科技成果评价所需要的技术资料和数据</w:t>
      </w:r>
      <w:r>
        <w:rPr>
          <w:rFonts w:hint="eastAsia" w:ascii="仿宋_GB2312" w:hAnsi="仿宋_GB2312" w:eastAsia="仿宋_GB2312"/>
          <w:bCs/>
          <w:color w:val="auto"/>
          <w:kern w:val="0"/>
          <w:sz w:val="32"/>
          <w:szCs w:val="32"/>
          <w:lang w:eastAsia="zh-CN"/>
        </w:rPr>
        <w:t>，若乙方需额外补充资料，应提前5个工作日书面告知需求，甲方无义务提供本校未掌握、或涉及国家秘密/第三方商业秘密的信息</w:t>
      </w:r>
      <w:r>
        <w:rPr>
          <w:rFonts w:hint="eastAsia" w:ascii="仿宋_GB2312" w:hAnsi="仿宋_GB2312" w:eastAsia="仿宋_GB2312"/>
          <w:bCs/>
          <w:color w:val="auto"/>
          <w:kern w:val="0"/>
          <w:sz w:val="32"/>
          <w:szCs w:val="32"/>
        </w:rPr>
        <w:t>。</w:t>
      </w:r>
    </w:p>
    <w:p w14:paraId="0209770D">
      <w:pPr>
        <w:tabs>
          <w:tab w:val="left" w:pos="1721"/>
          <w:tab w:val="left" w:pos="2521"/>
        </w:tabs>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kern w:val="0"/>
          <w:sz w:val="32"/>
          <w:szCs w:val="32"/>
        </w:rPr>
      </w:pPr>
      <w:r>
        <w:rPr>
          <w:rFonts w:hint="eastAsia" w:ascii="仿宋_GB2312" w:hAnsi="仿宋_GB2312" w:eastAsia="仿宋_GB2312"/>
          <w:bCs/>
          <w:color w:val="auto"/>
          <w:kern w:val="0"/>
          <w:sz w:val="32"/>
          <w:szCs w:val="32"/>
        </w:rPr>
        <w:t>3.甲方要求咨询专家回避的，应在乙方选聘专家前3个工作日以书面形式说明理由，乙方应当采纳；若乙方未按要求回避，甲方有权对该专家出具的相关评价结论不予认可。</w:t>
      </w:r>
    </w:p>
    <w:p w14:paraId="6709FE6C">
      <w:pPr>
        <w:tabs>
          <w:tab w:val="left" w:pos="1721"/>
          <w:tab w:val="left" w:pos="2521"/>
        </w:tabs>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kern w:val="0"/>
          <w:sz w:val="32"/>
          <w:szCs w:val="32"/>
        </w:rPr>
      </w:pPr>
      <w:r>
        <w:rPr>
          <w:rFonts w:hint="eastAsia" w:ascii="仿宋_GB2312" w:hAnsi="仿宋_GB2312" w:eastAsia="仿宋_GB2312"/>
          <w:bCs/>
          <w:color w:val="auto"/>
          <w:kern w:val="0"/>
          <w:sz w:val="32"/>
          <w:szCs w:val="32"/>
          <w:lang w:val="en-US" w:eastAsia="zh-CN"/>
        </w:rPr>
        <w:t>4.甲方有权无偿使用本项目所有服务成果（包括但不限于盘点报告、小程序、视频内容等）用于校内管理、上级汇报、成果宣传等场景，无需额外取得乙方同意。</w:t>
      </w:r>
    </w:p>
    <w:p w14:paraId="0F46E1F7">
      <w:pPr>
        <w:tabs>
          <w:tab w:val="left" w:pos="1721"/>
          <w:tab w:val="left" w:pos="2521"/>
        </w:tabs>
        <w:overflowPunct w:val="0"/>
        <w:autoSpaceDE w:val="0"/>
        <w:autoSpaceDN w:val="0"/>
        <w:adjustRightInd w:val="0"/>
        <w:snapToGrid w:val="0"/>
        <w:spacing w:line="560" w:lineRule="exact"/>
        <w:ind w:firstLine="640" w:firstLineChars="200"/>
        <w:rPr>
          <w:rFonts w:hint="eastAsia" w:ascii="仿宋_GB2312" w:hAnsi="仿宋_GB2312" w:eastAsia="仿宋_GB2312"/>
          <w:bCs/>
          <w:color w:val="auto"/>
          <w:kern w:val="0"/>
          <w:sz w:val="32"/>
          <w:szCs w:val="32"/>
        </w:rPr>
      </w:pPr>
      <w:r>
        <w:rPr>
          <w:rFonts w:hint="eastAsia" w:ascii="仿宋_GB2312" w:hAnsi="仿宋_GB2312" w:eastAsia="仿宋_GB2312"/>
          <w:bCs/>
          <w:color w:val="auto"/>
          <w:kern w:val="0"/>
          <w:sz w:val="32"/>
          <w:szCs w:val="32"/>
          <w:lang w:val="en-US" w:eastAsia="zh-CN"/>
        </w:rPr>
        <w:t>5</w:t>
      </w:r>
      <w:r>
        <w:rPr>
          <w:rFonts w:hint="eastAsia" w:ascii="仿宋_GB2312" w:hAnsi="仿宋_GB2312" w:eastAsia="仿宋_GB2312"/>
          <w:bCs/>
          <w:color w:val="auto"/>
          <w:kern w:val="0"/>
          <w:sz w:val="32"/>
          <w:szCs w:val="32"/>
        </w:rPr>
        <w:t>.甲方应指定专人对接项目，对乙方合理的配合需求在3个工作日内予以反馈，但因校内审批流程、政策调整等客观原因导致反馈延迟的，不构成甲方违约，服务期限相应顺延。</w:t>
      </w:r>
    </w:p>
    <w:p w14:paraId="3B7A27CF">
      <w:pPr>
        <w:tabs>
          <w:tab w:val="left" w:pos="1721"/>
          <w:tab w:val="left" w:pos="2521"/>
        </w:tabs>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kern w:val="0"/>
          <w:sz w:val="32"/>
          <w:szCs w:val="32"/>
        </w:rPr>
      </w:pPr>
      <w:r>
        <w:rPr>
          <w:rFonts w:hint="eastAsia" w:ascii="仿宋_GB2312" w:hAnsi="仿宋_GB2312" w:eastAsia="仿宋_GB2312"/>
          <w:b/>
          <w:color w:val="auto"/>
          <w:kern w:val="0"/>
          <w:sz w:val="32"/>
          <w:szCs w:val="32"/>
        </w:rPr>
        <w:t>第</w:t>
      </w:r>
      <w:r>
        <w:rPr>
          <w:rFonts w:hint="eastAsia" w:ascii="仿宋_GB2312" w:hAnsi="仿宋_GB2312" w:eastAsia="仿宋_GB2312"/>
          <w:b/>
          <w:color w:val="auto"/>
          <w:kern w:val="0"/>
          <w:sz w:val="32"/>
          <w:szCs w:val="32"/>
          <w:lang w:eastAsia="zh-CN"/>
        </w:rPr>
        <w:t>七</w:t>
      </w:r>
      <w:r>
        <w:rPr>
          <w:rFonts w:hint="eastAsia" w:ascii="仿宋_GB2312" w:hAnsi="仿宋_GB2312" w:eastAsia="仿宋_GB2312"/>
          <w:b/>
          <w:color w:val="auto"/>
          <w:kern w:val="0"/>
          <w:sz w:val="32"/>
          <w:szCs w:val="32"/>
        </w:rPr>
        <w:t>条 乙方的权利和义务</w:t>
      </w:r>
    </w:p>
    <w:p w14:paraId="636A189B">
      <w:pPr>
        <w:tabs>
          <w:tab w:val="left" w:pos="1721"/>
          <w:tab w:val="left" w:pos="2521"/>
          <w:tab w:val="left" w:pos="4620"/>
          <w:tab w:val="left" w:pos="6720"/>
        </w:tabs>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1.乙方应严格依照国家及陕西省科技成果转化相关政策、竞争性磋商文件要求独立开展服务，不得受甲方不当干预，但乙方需对服务成果的政策合规性、专业合理性负责，若因乙方政策理解偏差导致成果不符合主管部门要求，乙方需无条件免费修改直至达标。</w:t>
      </w:r>
    </w:p>
    <w:p w14:paraId="1D7B35F4">
      <w:pPr>
        <w:tabs>
          <w:tab w:val="left" w:pos="1721"/>
          <w:tab w:val="left" w:pos="2521"/>
          <w:tab w:val="left" w:pos="4620"/>
          <w:tab w:val="left" w:pos="6720"/>
        </w:tabs>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lang w:val="en-US" w:eastAsia="zh-CN"/>
        </w:rPr>
      </w:pPr>
      <w:r>
        <w:rPr>
          <w:rFonts w:hint="eastAsia" w:ascii="仿宋_GB2312" w:hAnsi="仿宋_GB2312" w:eastAsia="仿宋_GB2312"/>
          <w:color w:val="auto"/>
          <w:kern w:val="0"/>
          <w:sz w:val="32"/>
          <w:szCs w:val="32"/>
          <w:lang w:val="en-US" w:eastAsia="zh-CN"/>
        </w:rPr>
        <w:t>2.乙方承诺不将本项目整体或部分转包、分包给第三方，确需分包部分非核心辅助工作的（如视频拍摄、小程序测试），需提前7个工作日书面征得甲方同意，且乙方对分包部分的服务质量承担连带责任。</w:t>
      </w:r>
    </w:p>
    <w:p w14:paraId="55B76E2B">
      <w:pPr>
        <w:tabs>
          <w:tab w:val="left" w:pos="1721"/>
          <w:tab w:val="left" w:pos="2521"/>
          <w:tab w:val="left" w:pos="4620"/>
          <w:tab w:val="left" w:pos="6720"/>
        </w:tabs>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lang w:val="en-US" w:eastAsia="zh-CN"/>
        </w:rPr>
      </w:pPr>
      <w:r>
        <w:rPr>
          <w:rFonts w:hint="eastAsia" w:ascii="仿宋_GB2312" w:hAnsi="仿宋_GB2312" w:eastAsia="仿宋_GB2312"/>
          <w:color w:val="auto"/>
          <w:kern w:val="0"/>
          <w:sz w:val="32"/>
          <w:szCs w:val="32"/>
          <w:lang w:val="en-US" w:eastAsia="zh-CN"/>
        </w:rPr>
        <w:t>3.乙方需组建不少于</w:t>
      </w:r>
      <w:r>
        <w:rPr>
          <w:rFonts w:hint="eastAsia" w:ascii="仿宋_GB2312" w:hAnsi="仿宋_GB2312" w:eastAsia="仿宋_GB2312"/>
          <w:color w:val="auto"/>
          <w:kern w:val="0"/>
          <w:sz w:val="32"/>
          <w:szCs w:val="32"/>
          <w:u w:val="single"/>
          <w:lang w:val="en-US" w:eastAsia="zh-CN"/>
        </w:rPr>
        <w:t xml:space="preserve">     </w:t>
      </w:r>
      <w:r>
        <w:rPr>
          <w:rFonts w:hint="eastAsia" w:ascii="仿宋_GB2312" w:hAnsi="仿宋_GB2312" w:eastAsia="仿宋_GB2312"/>
          <w:color w:val="auto"/>
          <w:kern w:val="0"/>
          <w:sz w:val="32"/>
          <w:szCs w:val="32"/>
          <w:lang w:val="en-US" w:eastAsia="zh-CN"/>
        </w:rPr>
        <w:t>人的专属项目团队，项目负责人、核心技术转移专员、法律咨询顾问等核心成员简历需作为合同附件，未经甲方书面同意不得更换；若核心成员离职或更换，乙方需在3个工作日内提供同等及以上资质的替代人员，经甲方考核通过后方可接替；核心成员累计参与项目时长不足总服务期80%的，甲方有权扣减10%合同款。</w:t>
      </w:r>
    </w:p>
    <w:p w14:paraId="7FFBF6CA">
      <w:pPr>
        <w:tabs>
          <w:tab w:val="left" w:pos="1721"/>
          <w:tab w:val="left" w:pos="2521"/>
          <w:tab w:val="left" w:pos="4620"/>
          <w:tab w:val="left" w:pos="6720"/>
        </w:tabs>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lang w:val="en-US" w:eastAsia="zh-CN"/>
        </w:rPr>
      </w:pPr>
      <w:r>
        <w:rPr>
          <w:rFonts w:hint="eastAsia" w:ascii="仿宋_GB2312" w:hAnsi="仿宋_GB2312" w:eastAsia="仿宋_GB2312"/>
          <w:color w:val="auto"/>
          <w:kern w:val="0"/>
          <w:sz w:val="32"/>
          <w:szCs w:val="32"/>
          <w:lang w:val="en-US" w:eastAsia="zh-CN"/>
        </w:rPr>
        <w:t>4.本项目产生的所有服务成果（含过程稿、终稿、数据资料）知识产权均归甲方所有，乙方仅享有署名权（需经甲方同意）；乙方不得擅自将成果用于其他项目、或向第三方披露、转让。</w:t>
      </w:r>
    </w:p>
    <w:p w14:paraId="24A598D3">
      <w:pPr>
        <w:tabs>
          <w:tab w:val="left" w:pos="1721"/>
          <w:tab w:val="left" w:pos="2521"/>
          <w:tab w:val="left" w:pos="4620"/>
          <w:tab w:val="left" w:pos="6720"/>
        </w:tabs>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lang w:val="en-US" w:eastAsia="zh-CN"/>
        </w:rPr>
      </w:pPr>
      <w:r>
        <w:rPr>
          <w:rFonts w:hint="eastAsia" w:ascii="仿宋_GB2312" w:hAnsi="仿宋_GB2312" w:eastAsia="仿宋_GB2312"/>
          <w:color w:val="auto"/>
          <w:kern w:val="0"/>
          <w:sz w:val="32"/>
          <w:szCs w:val="32"/>
          <w:lang w:val="en-US" w:eastAsia="zh-CN"/>
        </w:rPr>
        <w:t>5.乙方对服务过程中获取的甲方未公开科研成果、师生个人信息、校内管理数据等严格保密，项目结束后需将所有涉密资料移交甲方，不得私自留存；保密期限不受合同有效期限制，永久有效。</w:t>
      </w:r>
    </w:p>
    <w:p w14:paraId="2010E5A8">
      <w:pPr>
        <w:tabs>
          <w:tab w:val="left" w:pos="1721"/>
          <w:tab w:val="left" w:pos="2521"/>
          <w:tab w:val="left" w:pos="4620"/>
          <w:tab w:val="left" w:pos="6720"/>
        </w:tabs>
        <w:overflowPunct w:val="0"/>
        <w:autoSpaceDE w:val="0"/>
        <w:autoSpaceDN w:val="0"/>
        <w:adjustRightInd w:val="0"/>
        <w:snapToGrid w:val="0"/>
        <w:spacing w:line="560" w:lineRule="exact"/>
        <w:ind w:firstLine="640" w:firstLineChars="200"/>
        <w:rPr>
          <w:rFonts w:hint="default" w:ascii="仿宋_GB2312" w:hAnsi="仿宋_GB2312" w:eastAsia="仿宋_GB2312"/>
          <w:color w:val="auto"/>
          <w:kern w:val="0"/>
          <w:sz w:val="32"/>
          <w:szCs w:val="32"/>
          <w:lang w:val="en-US" w:eastAsia="zh-CN"/>
        </w:rPr>
      </w:pPr>
      <w:r>
        <w:rPr>
          <w:rFonts w:hint="eastAsia" w:ascii="仿宋_GB2312" w:hAnsi="仿宋_GB2312" w:eastAsia="仿宋_GB2312"/>
          <w:color w:val="auto"/>
          <w:kern w:val="0"/>
          <w:sz w:val="32"/>
          <w:szCs w:val="32"/>
          <w:lang w:val="en-US" w:eastAsia="zh-CN"/>
        </w:rPr>
        <w:t>6.乙方保证服务成果及所使用的软件、素材、技术方案等不侵犯任何第三方知识产权，若发生侵权纠纷，由乙方承担全部责任，若因此导致甲方被索赔，甲方有权向乙方全额追偿。</w:t>
      </w:r>
    </w:p>
    <w:p w14:paraId="423BB778">
      <w:pPr>
        <w:tabs>
          <w:tab w:val="left" w:pos="1721"/>
          <w:tab w:val="left" w:pos="2521"/>
          <w:tab w:val="left" w:pos="4620"/>
          <w:tab w:val="left" w:pos="6720"/>
        </w:tabs>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lang w:val="en-US" w:eastAsia="zh-CN"/>
        </w:rPr>
        <w:t>7.</w:t>
      </w:r>
      <w:r>
        <w:rPr>
          <w:rFonts w:hint="eastAsia" w:ascii="仿宋_GB2312" w:hAnsi="仿宋_GB2312" w:eastAsia="仿宋_GB2312"/>
          <w:color w:val="auto"/>
          <w:kern w:val="0"/>
          <w:sz w:val="32"/>
          <w:szCs w:val="32"/>
        </w:rPr>
        <w:t>乙方在服务过程中发生的人身伤亡、财产损失，均由乙方自行承担，与甲方无关。</w:t>
      </w:r>
    </w:p>
    <w:p w14:paraId="64489767">
      <w:pPr>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kern w:val="0"/>
          <w:sz w:val="32"/>
          <w:szCs w:val="32"/>
        </w:rPr>
      </w:pPr>
      <w:r>
        <w:rPr>
          <w:rFonts w:hint="eastAsia" w:ascii="仿宋_GB2312" w:hAnsi="仿宋_GB2312" w:eastAsia="仿宋_GB2312"/>
          <w:b/>
          <w:color w:val="auto"/>
          <w:kern w:val="0"/>
          <w:sz w:val="32"/>
          <w:szCs w:val="32"/>
        </w:rPr>
        <w:t>第</w:t>
      </w:r>
      <w:r>
        <w:rPr>
          <w:rFonts w:hint="eastAsia" w:ascii="仿宋_GB2312" w:hAnsi="仿宋_GB2312" w:eastAsia="仿宋_GB2312"/>
          <w:b/>
          <w:color w:val="auto"/>
          <w:kern w:val="0"/>
          <w:sz w:val="32"/>
          <w:szCs w:val="32"/>
          <w:lang w:eastAsia="zh-CN"/>
        </w:rPr>
        <w:t>八</w:t>
      </w:r>
      <w:r>
        <w:rPr>
          <w:rFonts w:hint="eastAsia" w:ascii="仿宋_GB2312" w:hAnsi="仿宋_GB2312" w:eastAsia="仿宋_GB2312"/>
          <w:b/>
          <w:color w:val="auto"/>
          <w:kern w:val="0"/>
          <w:sz w:val="32"/>
          <w:szCs w:val="32"/>
        </w:rPr>
        <w:t>条 违约责任</w:t>
      </w:r>
    </w:p>
    <w:p w14:paraId="15C313A6">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1.合同生效后，任何一方无正当理由不得单方终止合同；除不可抗力外，违约方应承担守约方为实现债权支出的全部费用（包括但不限于律师费、诉讼费、保全费、鉴定费、差旅费等）。</w:t>
      </w:r>
    </w:p>
    <w:p w14:paraId="7FE05C21">
      <w:pPr>
        <w:overflowPunct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2.</w:t>
      </w:r>
      <w:r>
        <w:rPr>
          <w:rFonts w:hint="eastAsia" w:ascii="仿宋_GB2312" w:hAnsi="仿宋_GB2312" w:eastAsia="仿宋_GB2312"/>
          <w:color w:val="auto"/>
          <w:kern w:val="0"/>
          <w:sz w:val="32"/>
          <w:szCs w:val="32"/>
          <w:lang w:val="en-US" w:eastAsia="zh-CN"/>
        </w:rPr>
        <w:t>乙方未按约定时间交付任一阶段成果的，每逾期1日，按合同总价的万分之五向甲方支付违约金；逾期超过15日的，甲方有权解除合同，乙方需退还已收取的全部费用，并按合同总价的20%支付违约金。分阶段交付的成果整改后仍不合格的，视同该阶段逾期履约，适用上述逾期违约金规则。</w:t>
      </w:r>
    </w:p>
    <w:p w14:paraId="52A69C6D">
      <w:pPr>
        <w:overflowPunct w:val="0"/>
        <w:adjustRightInd w:val="0"/>
        <w:snapToGrid w:val="0"/>
        <w:spacing w:line="560" w:lineRule="exact"/>
        <w:ind w:firstLine="640" w:firstLineChars="200"/>
        <w:rPr>
          <w:rFonts w:hint="default" w:ascii="仿宋_GB2312" w:hAnsi="仿宋_GB2312" w:eastAsia="仿宋_GB2312"/>
          <w:color w:val="auto"/>
          <w:kern w:val="0"/>
          <w:sz w:val="32"/>
          <w:szCs w:val="32"/>
          <w:lang w:val="en-US" w:eastAsia="zh-CN"/>
        </w:rPr>
      </w:pPr>
      <w:r>
        <w:rPr>
          <w:rFonts w:hint="eastAsia" w:ascii="仿宋_GB2312" w:hAnsi="仿宋_GB2312" w:eastAsia="仿宋_GB2312"/>
          <w:color w:val="auto"/>
          <w:kern w:val="0"/>
          <w:sz w:val="32"/>
          <w:szCs w:val="32"/>
          <w:lang w:val="en-US" w:eastAsia="zh-CN"/>
        </w:rPr>
        <w:t>3.若乙方交付的科技成果转化小程序未实现合同约定的五大模块、或核心功能（检索、对接、审核管理等）缺失，甲方有权暂不支付尾款，直至乙方补齐功能，逾期超过30日的，甲方有权解除合同并要求乙方退还已付费用的60%。</w:t>
      </w:r>
    </w:p>
    <w:p w14:paraId="69D6799C">
      <w:pPr>
        <w:overflowPunct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lang w:val="en-US" w:eastAsia="zh-CN"/>
        </w:rPr>
        <w:t>4</w:t>
      </w:r>
      <w:r>
        <w:rPr>
          <w:rFonts w:hint="eastAsia" w:ascii="仿宋_GB2312" w:hAnsi="仿宋_GB2312" w:eastAsia="仿宋_GB2312"/>
          <w:color w:val="auto"/>
          <w:kern w:val="0"/>
          <w:sz w:val="32"/>
          <w:szCs w:val="32"/>
        </w:rPr>
        <w:t>.出现下列情形之一的，甲方有权单方解除合同，乙方需退还已收取的全部费用，并按合同总价的</w:t>
      </w:r>
      <w:r>
        <w:rPr>
          <w:rFonts w:hint="eastAsia" w:ascii="仿宋_GB2312" w:hAnsi="仿宋_GB2312" w:eastAsia="仿宋_GB2312"/>
          <w:color w:val="auto"/>
          <w:kern w:val="0"/>
          <w:sz w:val="32"/>
          <w:szCs w:val="32"/>
          <w:lang w:val="en-US" w:eastAsia="zh-CN"/>
        </w:rPr>
        <w:t>2</w:t>
      </w:r>
      <w:r>
        <w:rPr>
          <w:rFonts w:hint="eastAsia" w:ascii="仿宋_GB2312" w:hAnsi="仿宋_GB2312" w:eastAsia="仿宋_GB2312"/>
          <w:color w:val="auto"/>
          <w:kern w:val="0"/>
          <w:sz w:val="32"/>
          <w:szCs w:val="32"/>
        </w:rPr>
        <w:t>0%支付违约金，违约金不足以弥补甲方损失的，乙方还需赔偿差额：</w:t>
      </w:r>
    </w:p>
    <w:p w14:paraId="73ED2616">
      <w:pPr>
        <w:overflowPunct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lang w:eastAsia="zh-CN"/>
        </w:rPr>
        <w:t>（</w:t>
      </w:r>
      <w:r>
        <w:rPr>
          <w:rFonts w:hint="eastAsia" w:ascii="仿宋_GB2312" w:hAnsi="仿宋_GB2312" w:eastAsia="仿宋_GB2312"/>
          <w:color w:val="auto"/>
          <w:kern w:val="0"/>
          <w:sz w:val="32"/>
          <w:szCs w:val="32"/>
          <w:lang w:val="en-US" w:eastAsia="zh-CN"/>
        </w:rPr>
        <w:t>1</w:t>
      </w:r>
      <w:r>
        <w:rPr>
          <w:rFonts w:hint="eastAsia" w:ascii="仿宋_GB2312" w:hAnsi="仿宋_GB2312" w:eastAsia="仿宋_GB2312"/>
          <w:color w:val="auto"/>
          <w:kern w:val="0"/>
          <w:sz w:val="32"/>
          <w:szCs w:val="32"/>
          <w:lang w:eastAsia="zh-CN"/>
        </w:rPr>
        <w:t>）</w:t>
      </w:r>
      <w:r>
        <w:rPr>
          <w:rFonts w:hint="eastAsia" w:ascii="仿宋_GB2312" w:hAnsi="仿宋_GB2312" w:eastAsia="仿宋_GB2312"/>
          <w:color w:val="auto"/>
          <w:kern w:val="0"/>
          <w:sz w:val="32"/>
          <w:szCs w:val="32"/>
        </w:rPr>
        <w:t>乙方将项目整体转包、或未经同意分包核心工作的；</w:t>
      </w:r>
    </w:p>
    <w:p w14:paraId="4D165E0B">
      <w:pPr>
        <w:overflowPunct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lang w:eastAsia="zh-CN"/>
        </w:rPr>
        <w:t>（</w:t>
      </w:r>
      <w:r>
        <w:rPr>
          <w:rFonts w:hint="eastAsia" w:ascii="仿宋_GB2312" w:hAnsi="仿宋_GB2312" w:eastAsia="仿宋_GB2312"/>
          <w:color w:val="auto"/>
          <w:kern w:val="0"/>
          <w:sz w:val="32"/>
          <w:szCs w:val="32"/>
          <w:lang w:val="en-US" w:eastAsia="zh-CN"/>
        </w:rPr>
        <w:t>2</w:t>
      </w:r>
      <w:r>
        <w:rPr>
          <w:rFonts w:hint="eastAsia" w:ascii="仿宋_GB2312" w:hAnsi="仿宋_GB2312" w:eastAsia="仿宋_GB2312"/>
          <w:color w:val="auto"/>
          <w:kern w:val="0"/>
          <w:sz w:val="32"/>
          <w:szCs w:val="32"/>
          <w:lang w:eastAsia="zh-CN"/>
        </w:rPr>
        <w:t>）</w:t>
      </w:r>
      <w:r>
        <w:rPr>
          <w:rFonts w:hint="eastAsia" w:ascii="仿宋_GB2312" w:hAnsi="仿宋_GB2312" w:eastAsia="仿宋_GB2312"/>
          <w:color w:val="auto"/>
          <w:kern w:val="0"/>
          <w:sz w:val="32"/>
          <w:szCs w:val="32"/>
        </w:rPr>
        <w:t>乙方服务成果存在抄袭、数据造假、政策严重偏离等情形的；</w:t>
      </w:r>
    </w:p>
    <w:p w14:paraId="5C87A68A">
      <w:pPr>
        <w:overflowPunct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lang w:eastAsia="zh-CN"/>
        </w:rPr>
        <w:t>（</w:t>
      </w:r>
      <w:r>
        <w:rPr>
          <w:rFonts w:hint="eastAsia" w:ascii="仿宋_GB2312" w:hAnsi="仿宋_GB2312" w:eastAsia="仿宋_GB2312"/>
          <w:color w:val="auto"/>
          <w:kern w:val="0"/>
          <w:sz w:val="32"/>
          <w:szCs w:val="32"/>
          <w:lang w:val="en-US" w:eastAsia="zh-CN"/>
        </w:rPr>
        <w:t>3</w:t>
      </w:r>
      <w:r>
        <w:rPr>
          <w:rFonts w:hint="eastAsia" w:ascii="仿宋_GB2312" w:hAnsi="仿宋_GB2312" w:eastAsia="仿宋_GB2312"/>
          <w:color w:val="auto"/>
          <w:kern w:val="0"/>
          <w:sz w:val="32"/>
          <w:szCs w:val="32"/>
          <w:lang w:eastAsia="zh-CN"/>
        </w:rPr>
        <w:t>）</w:t>
      </w:r>
      <w:r>
        <w:rPr>
          <w:rFonts w:hint="eastAsia" w:ascii="仿宋_GB2312" w:hAnsi="仿宋_GB2312" w:eastAsia="仿宋_GB2312"/>
          <w:color w:val="auto"/>
          <w:kern w:val="0"/>
          <w:sz w:val="32"/>
          <w:szCs w:val="32"/>
        </w:rPr>
        <w:t>乙方泄露甲方涉密资料、或侵犯第三方知识产权的；</w:t>
      </w:r>
    </w:p>
    <w:p w14:paraId="38817B3F">
      <w:pPr>
        <w:overflowPunct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lang w:eastAsia="zh-CN"/>
        </w:rPr>
        <w:t>（</w:t>
      </w:r>
      <w:r>
        <w:rPr>
          <w:rFonts w:hint="eastAsia" w:ascii="仿宋_GB2312" w:hAnsi="仿宋_GB2312" w:eastAsia="仿宋_GB2312"/>
          <w:color w:val="auto"/>
          <w:kern w:val="0"/>
          <w:sz w:val="32"/>
          <w:szCs w:val="32"/>
          <w:lang w:val="en-US" w:eastAsia="zh-CN"/>
        </w:rPr>
        <w:t>4</w:t>
      </w:r>
      <w:r>
        <w:rPr>
          <w:rFonts w:hint="eastAsia" w:ascii="仿宋_GB2312" w:hAnsi="仿宋_GB2312" w:eastAsia="仿宋_GB2312"/>
          <w:color w:val="auto"/>
          <w:kern w:val="0"/>
          <w:sz w:val="32"/>
          <w:szCs w:val="32"/>
          <w:lang w:eastAsia="zh-CN"/>
        </w:rPr>
        <w:t>）</w:t>
      </w:r>
      <w:r>
        <w:rPr>
          <w:rFonts w:hint="eastAsia" w:ascii="仿宋_GB2312" w:hAnsi="仿宋_GB2312" w:eastAsia="仿宋_GB2312"/>
          <w:color w:val="auto"/>
          <w:kern w:val="0"/>
          <w:sz w:val="32"/>
          <w:szCs w:val="32"/>
        </w:rPr>
        <w:t>乙方逾期履约超过15日、或同一成果经2次整改仍不合格的。</w:t>
      </w:r>
    </w:p>
    <w:p w14:paraId="08F9A594">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lang w:val="en-US" w:eastAsia="zh-CN"/>
        </w:rPr>
        <w:t>5.甲方有权直接从应付合同款、履约保证金中扣除乙方应承担的违约金、赔偿金，不足部分有权继续向乙方追偿。</w:t>
      </w:r>
    </w:p>
    <w:p w14:paraId="2F721924">
      <w:pPr>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kern w:val="0"/>
          <w:sz w:val="32"/>
          <w:szCs w:val="32"/>
        </w:rPr>
      </w:pPr>
      <w:r>
        <w:rPr>
          <w:rFonts w:hint="eastAsia" w:ascii="仿宋_GB2312" w:hAnsi="仿宋_GB2312" w:eastAsia="仿宋_GB2312"/>
          <w:b/>
          <w:color w:val="auto"/>
          <w:kern w:val="0"/>
          <w:sz w:val="32"/>
          <w:szCs w:val="32"/>
        </w:rPr>
        <w:t>第</w:t>
      </w:r>
      <w:r>
        <w:rPr>
          <w:rFonts w:hint="eastAsia" w:ascii="仿宋_GB2312" w:hAnsi="仿宋_GB2312" w:eastAsia="仿宋_GB2312"/>
          <w:b/>
          <w:color w:val="auto"/>
          <w:kern w:val="0"/>
          <w:sz w:val="32"/>
          <w:szCs w:val="32"/>
          <w:lang w:eastAsia="zh-CN"/>
        </w:rPr>
        <w:t>九</w:t>
      </w:r>
      <w:r>
        <w:rPr>
          <w:rFonts w:hint="eastAsia" w:ascii="仿宋_GB2312" w:hAnsi="仿宋_GB2312" w:eastAsia="仿宋_GB2312"/>
          <w:b/>
          <w:color w:val="auto"/>
          <w:kern w:val="0"/>
          <w:sz w:val="32"/>
          <w:szCs w:val="32"/>
        </w:rPr>
        <w:t>条 争议解决方式</w:t>
      </w:r>
    </w:p>
    <w:p w14:paraId="60B50ECF">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本合同在履行过程中，如发生争议，双方友好协商解决，如协商不成，双方同意在甲方注册地</w:t>
      </w:r>
      <w:r>
        <w:rPr>
          <w:rFonts w:hint="eastAsia" w:ascii="仿宋_GB2312" w:hAnsi="仿宋_GB2312" w:eastAsia="仿宋_GB2312"/>
          <w:color w:val="auto"/>
          <w:kern w:val="0"/>
          <w:sz w:val="32"/>
          <w:szCs w:val="32"/>
          <w:lang w:val="en-US" w:eastAsia="zh-CN"/>
        </w:rPr>
        <w:t>所在地人民</w:t>
      </w:r>
      <w:r>
        <w:rPr>
          <w:rFonts w:hint="eastAsia" w:ascii="仿宋_GB2312" w:hAnsi="仿宋_GB2312" w:eastAsia="仿宋_GB2312"/>
          <w:color w:val="auto"/>
          <w:kern w:val="0"/>
          <w:sz w:val="32"/>
          <w:szCs w:val="32"/>
        </w:rPr>
        <w:t>法院</w:t>
      </w:r>
      <w:r>
        <w:rPr>
          <w:rFonts w:hint="eastAsia" w:ascii="仿宋_GB2312" w:hAnsi="仿宋_GB2312" w:eastAsia="仿宋_GB2312"/>
          <w:color w:val="auto"/>
          <w:kern w:val="0"/>
          <w:sz w:val="32"/>
          <w:szCs w:val="32"/>
          <w:lang w:val="en-US" w:eastAsia="zh-CN"/>
        </w:rPr>
        <w:t>提起诉讼</w:t>
      </w:r>
      <w:r>
        <w:rPr>
          <w:rFonts w:hint="eastAsia" w:ascii="仿宋_GB2312" w:hAnsi="仿宋_GB2312" w:eastAsia="仿宋_GB2312"/>
          <w:color w:val="auto"/>
          <w:kern w:val="0"/>
          <w:sz w:val="32"/>
          <w:szCs w:val="32"/>
        </w:rPr>
        <w:t>。</w:t>
      </w:r>
    </w:p>
    <w:p w14:paraId="08B93FB2">
      <w:pPr>
        <w:overflowPunct w:val="0"/>
        <w:autoSpaceDE w:val="0"/>
        <w:autoSpaceDN w:val="0"/>
        <w:adjustRightInd w:val="0"/>
        <w:snapToGrid w:val="0"/>
        <w:spacing w:line="560" w:lineRule="exact"/>
        <w:ind w:firstLine="643" w:firstLineChars="200"/>
        <w:rPr>
          <w:rFonts w:hint="eastAsia" w:ascii="仿宋_GB2312" w:hAnsi="仿宋_GB2312" w:eastAsia="仿宋_GB2312"/>
          <w:b/>
          <w:color w:val="auto"/>
          <w:kern w:val="0"/>
          <w:sz w:val="32"/>
          <w:szCs w:val="32"/>
        </w:rPr>
      </w:pPr>
      <w:r>
        <w:rPr>
          <w:rFonts w:hint="eastAsia" w:ascii="仿宋_GB2312" w:hAnsi="仿宋_GB2312" w:eastAsia="仿宋_GB2312"/>
          <w:b/>
          <w:color w:val="auto"/>
          <w:kern w:val="0"/>
          <w:sz w:val="32"/>
          <w:szCs w:val="32"/>
        </w:rPr>
        <w:t>第十条 其他</w:t>
      </w:r>
    </w:p>
    <w:p w14:paraId="082BD2B5">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1.本合同一式六份，甲方执四份，乙方执两份，双方签字并盖章后生效，具有同等法律效力。合同未尽事宜双方可协商解决或另立补充协议，补充协议与本合同具有同等法律效力。</w:t>
      </w:r>
    </w:p>
    <w:p w14:paraId="7DB1AFF6">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2.在合同实施过程中如双方出现争议，以服务内容及要求、技术参数、甲方竞争性</w:t>
      </w:r>
      <w:r>
        <w:rPr>
          <w:rFonts w:hint="eastAsia" w:ascii="仿宋_GB2312" w:hAnsi="仿宋_GB2312" w:eastAsia="仿宋_GB2312"/>
          <w:color w:val="auto"/>
          <w:kern w:val="0"/>
          <w:sz w:val="32"/>
          <w:szCs w:val="32"/>
          <w:lang w:val="en-US" w:eastAsia="zh-CN"/>
        </w:rPr>
        <w:t>磋商</w:t>
      </w:r>
      <w:r>
        <w:rPr>
          <w:rFonts w:hint="eastAsia" w:ascii="仿宋_GB2312" w:hAnsi="仿宋_GB2312" w:eastAsia="仿宋_GB2312"/>
          <w:color w:val="auto"/>
          <w:kern w:val="0"/>
          <w:sz w:val="32"/>
          <w:szCs w:val="32"/>
        </w:rPr>
        <w:t>文件、乙方竞争性</w:t>
      </w:r>
      <w:r>
        <w:rPr>
          <w:rFonts w:hint="eastAsia" w:ascii="仿宋_GB2312" w:hAnsi="仿宋_GB2312" w:eastAsia="仿宋_GB2312"/>
          <w:color w:val="auto"/>
          <w:kern w:val="0"/>
          <w:sz w:val="32"/>
          <w:szCs w:val="32"/>
          <w:lang w:val="en-US" w:eastAsia="zh-CN"/>
        </w:rPr>
        <w:t>磋商</w:t>
      </w:r>
      <w:r>
        <w:rPr>
          <w:rFonts w:hint="eastAsia" w:ascii="仿宋_GB2312" w:hAnsi="仿宋_GB2312" w:eastAsia="仿宋_GB2312"/>
          <w:color w:val="auto"/>
          <w:kern w:val="0"/>
          <w:sz w:val="32"/>
          <w:szCs w:val="32"/>
        </w:rPr>
        <w:t>响应文件等为准，与本合同具有同等法律效力。</w:t>
      </w:r>
    </w:p>
    <w:p w14:paraId="1FEEE14F">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3.本合同项下任何一方向对方发出的通知、信件、数据电文等，应当发送至本合同下列约定的地址、联系人和通信终端。</w:t>
      </w:r>
    </w:p>
    <w:p w14:paraId="22A431BB">
      <w:pPr>
        <w:overflowPunct w:val="0"/>
        <w:autoSpaceDE w:val="0"/>
        <w:autoSpaceDN w:val="0"/>
        <w:adjustRightInd w:val="0"/>
        <w:snapToGrid w:val="0"/>
        <w:spacing w:line="560" w:lineRule="exact"/>
        <w:ind w:firstLine="643" w:firstLineChars="200"/>
        <w:rPr>
          <w:rFonts w:hint="eastAsia" w:ascii="仿宋_GB2312" w:hAnsi="仿宋_GB2312" w:eastAsia="仿宋_GB2312"/>
          <w:b/>
          <w:bCs/>
          <w:color w:val="auto"/>
          <w:kern w:val="0"/>
          <w:sz w:val="32"/>
          <w:szCs w:val="32"/>
        </w:rPr>
      </w:pPr>
      <w:r>
        <w:rPr>
          <w:rFonts w:hint="eastAsia" w:ascii="仿宋_GB2312" w:hAnsi="仿宋_GB2312" w:eastAsia="仿宋_GB2312"/>
          <w:b/>
          <w:bCs/>
          <w:color w:val="auto"/>
          <w:kern w:val="0"/>
          <w:sz w:val="32"/>
          <w:szCs w:val="32"/>
        </w:rPr>
        <w:t>甲方联系人：</w:t>
      </w:r>
      <w:r>
        <w:rPr>
          <w:rFonts w:hint="eastAsia" w:ascii="仿宋_GB2312" w:hAnsi="仿宋_GB2312" w:eastAsia="仿宋_GB2312"/>
          <w:b/>
          <w:bCs/>
          <w:color w:val="auto"/>
          <w:kern w:val="0"/>
          <w:sz w:val="32"/>
          <w:szCs w:val="32"/>
          <w:u w:val="single"/>
        </w:rPr>
        <w:t xml:space="preserve">                 </w:t>
      </w:r>
    </w:p>
    <w:p w14:paraId="4536B6A9">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联系电话：</w:t>
      </w:r>
      <w:r>
        <w:rPr>
          <w:rFonts w:hint="eastAsia" w:ascii="仿宋_GB2312" w:hAnsi="仿宋_GB2312" w:eastAsia="仿宋_GB2312"/>
          <w:color w:val="auto"/>
          <w:kern w:val="0"/>
          <w:sz w:val="32"/>
          <w:szCs w:val="32"/>
          <w:u w:val="single"/>
        </w:rPr>
        <w:t xml:space="preserve">                   </w:t>
      </w:r>
    </w:p>
    <w:p w14:paraId="54702AE9">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u w:val="single"/>
        </w:rPr>
      </w:pPr>
      <w:r>
        <w:rPr>
          <w:rFonts w:hint="eastAsia" w:ascii="仿宋_GB2312" w:hAnsi="仿宋_GB2312" w:eastAsia="仿宋_GB2312"/>
          <w:color w:val="auto"/>
          <w:kern w:val="0"/>
          <w:sz w:val="32"/>
          <w:szCs w:val="32"/>
        </w:rPr>
        <w:t>联系地址：</w:t>
      </w:r>
      <w:r>
        <w:rPr>
          <w:rFonts w:hint="eastAsia" w:ascii="仿宋_GB2312" w:hAnsi="仿宋_GB2312" w:eastAsia="仿宋_GB2312"/>
          <w:color w:val="auto"/>
          <w:kern w:val="0"/>
          <w:sz w:val="32"/>
          <w:szCs w:val="32"/>
          <w:u w:val="single"/>
        </w:rPr>
        <w:t xml:space="preserve"> 陕西省西安市碑林区金花南路19号 </w:t>
      </w:r>
    </w:p>
    <w:p w14:paraId="5E2F03F5">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邮编：</w:t>
      </w:r>
      <w:r>
        <w:rPr>
          <w:rFonts w:hint="eastAsia" w:ascii="仿宋_GB2312" w:hAnsi="仿宋_GB2312" w:eastAsia="仿宋_GB2312"/>
          <w:color w:val="auto"/>
          <w:kern w:val="0"/>
          <w:sz w:val="32"/>
          <w:szCs w:val="32"/>
          <w:u w:val="single"/>
        </w:rPr>
        <w:t xml:space="preserve">   710048   </w:t>
      </w:r>
    </w:p>
    <w:p w14:paraId="583D7C6B">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u w:val="single"/>
        </w:rPr>
      </w:pPr>
      <w:r>
        <w:rPr>
          <w:rFonts w:hint="eastAsia" w:ascii="仿宋_GB2312" w:hAnsi="仿宋_GB2312" w:eastAsia="仿宋_GB2312"/>
          <w:color w:val="auto"/>
          <w:kern w:val="0"/>
          <w:sz w:val="32"/>
          <w:szCs w:val="32"/>
        </w:rPr>
        <w:t>电子邮箱：</w:t>
      </w:r>
      <w:r>
        <w:rPr>
          <w:rFonts w:hint="eastAsia" w:ascii="仿宋_GB2312" w:hAnsi="仿宋_GB2312" w:eastAsia="仿宋_GB2312"/>
          <w:color w:val="auto"/>
          <w:kern w:val="0"/>
          <w:sz w:val="32"/>
          <w:szCs w:val="32"/>
          <w:u w:val="single"/>
        </w:rPr>
        <w:t xml:space="preserve">                   </w:t>
      </w:r>
    </w:p>
    <w:p w14:paraId="72B1727D">
      <w:pPr>
        <w:overflowPunct w:val="0"/>
        <w:autoSpaceDE w:val="0"/>
        <w:autoSpaceDN w:val="0"/>
        <w:adjustRightInd w:val="0"/>
        <w:snapToGrid w:val="0"/>
        <w:spacing w:line="560" w:lineRule="exact"/>
        <w:ind w:firstLine="643" w:firstLineChars="200"/>
        <w:rPr>
          <w:rFonts w:hint="eastAsia" w:ascii="仿宋_GB2312" w:hAnsi="仿宋_GB2312" w:eastAsia="仿宋_GB2312"/>
          <w:b/>
          <w:bCs/>
          <w:color w:val="auto"/>
          <w:kern w:val="0"/>
          <w:sz w:val="32"/>
          <w:szCs w:val="32"/>
        </w:rPr>
      </w:pPr>
      <w:r>
        <w:rPr>
          <w:rFonts w:hint="eastAsia" w:ascii="仿宋_GB2312" w:hAnsi="仿宋_GB2312" w:eastAsia="仿宋_GB2312"/>
          <w:b/>
          <w:bCs/>
          <w:color w:val="auto"/>
          <w:kern w:val="0"/>
          <w:sz w:val="32"/>
          <w:szCs w:val="32"/>
        </w:rPr>
        <w:t>乙方联系人：</w:t>
      </w:r>
      <w:r>
        <w:rPr>
          <w:rFonts w:hint="eastAsia" w:ascii="仿宋_GB2312" w:hAnsi="仿宋_GB2312" w:eastAsia="仿宋_GB2312"/>
          <w:b/>
          <w:bCs/>
          <w:color w:val="auto"/>
          <w:kern w:val="0"/>
          <w:sz w:val="32"/>
          <w:szCs w:val="32"/>
          <w:u w:val="single"/>
        </w:rPr>
        <w:t xml:space="preserve">             </w:t>
      </w:r>
    </w:p>
    <w:p w14:paraId="37DB947A">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联系电话：</w:t>
      </w:r>
      <w:r>
        <w:rPr>
          <w:rFonts w:hint="eastAsia" w:ascii="仿宋_GB2312" w:hAnsi="仿宋_GB2312" w:eastAsia="仿宋_GB2312"/>
          <w:color w:val="auto"/>
          <w:kern w:val="0"/>
          <w:sz w:val="32"/>
          <w:szCs w:val="32"/>
          <w:u w:val="single"/>
        </w:rPr>
        <w:t xml:space="preserve">                </w:t>
      </w:r>
      <w:r>
        <w:rPr>
          <w:rFonts w:hint="eastAsia" w:ascii="仿宋_GB2312" w:hAnsi="仿宋_GB2312" w:eastAsia="仿宋_GB2312"/>
          <w:color w:val="auto"/>
          <w:kern w:val="0"/>
          <w:sz w:val="32"/>
          <w:szCs w:val="32"/>
        </w:rPr>
        <w:t xml:space="preserve"> </w:t>
      </w:r>
    </w:p>
    <w:p w14:paraId="5F7F6FB6">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u w:val="single"/>
        </w:rPr>
      </w:pPr>
      <w:r>
        <w:rPr>
          <w:rFonts w:hint="eastAsia" w:ascii="仿宋_GB2312" w:hAnsi="仿宋_GB2312" w:eastAsia="仿宋_GB2312"/>
          <w:color w:val="auto"/>
          <w:kern w:val="0"/>
          <w:sz w:val="32"/>
          <w:szCs w:val="32"/>
        </w:rPr>
        <w:t>联系地址：</w:t>
      </w:r>
      <w:r>
        <w:rPr>
          <w:rFonts w:hint="eastAsia" w:ascii="仿宋_GB2312" w:hAnsi="仿宋_GB2312" w:eastAsia="仿宋_GB2312"/>
          <w:color w:val="auto"/>
          <w:kern w:val="0"/>
          <w:sz w:val="32"/>
          <w:szCs w:val="32"/>
          <w:u w:val="single"/>
        </w:rPr>
        <w:t xml:space="preserve">                            </w:t>
      </w:r>
    </w:p>
    <w:p w14:paraId="2F2653D0">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邮编：</w:t>
      </w:r>
      <w:r>
        <w:rPr>
          <w:rFonts w:hint="eastAsia" w:ascii="仿宋_GB2312" w:hAnsi="仿宋_GB2312" w:eastAsia="仿宋_GB2312"/>
          <w:color w:val="auto"/>
          <w:kern w:val="0"/>
          <w:sz w:val="32"/>
          <w:szCs w:val="32"/>
          <w:u w:val="single"/>
        </w:rPr>
        <w:t xml:space="preserve">        </w:t>
      </w:r>
    </w:p>
    <w:p w14:paraId="0F8BE464">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电子邮箱：</w:t>
      </w:r>
      <w:r>
        <w:rPr>
          <w:rFonts w:hint="eastAsia" w:ascii="仿宋_GB2312" w:hAnsi="仿宋_GB2312" w:eastAsia="仿宋_GB2312"/>
          <w:color w:val="auto"/>
          <w:kern w:val="0"/>
          <w:sz w:val="32"/>
          <w:szCs w:val="32"/>
          <w:u w:val="single"/>
        </w:rPr>
        <w:t xml:space="preserve">                   </w:t>
      </w:r>
    </w:p>
    <w:p w14:paraId="3BD8647E">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送达时间以下列规定为准：</w:t>
      </w:r>
    </w:p>
    <w:p w14:paraId="0CA4DA67">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（1）专人递送之日视为送达之日；</w:t>
      </w:r>
    </w:p>
    <w:p w14:paraId="463F8B6B">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（2）以邮寄方式进行的通知均应采用邮政挂号快件或特快专递的方式进行，自信件交邮后的第2日视为送达；</w:t>
      </w:r>
    </w:p>
    <w:p w14:paraId="341179AF">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（3）短信、传真、微信、电子邮件以顺利发出当天后的第一个工作日视为送达之日；</w:t>
      </w:r>
    </w:p>
    <w:p w14:paraId="19297552">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（4）一方当事人变更名称、地址、联系人或通信终端的，应当在变更后3日内及时书面通知对方当事人，对方当事人实际收到变更通知前的送达仍为有效送达，电子送达与书面送达具有同等法律效力。</w:t>
      </w:r>
    </w:p>
    <w:p w14:paraId="3144E4F0">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4.合同签订地点：西安·西安工程大学（金花校区）</w:t>
      </w:r>
    </w:p>
    <w:p w14:paraId="3120A119">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r>
        <w:rPr>
          <w:rFonts w:hint="eastAsia" w:ascii="仿宋_GB2312" w:hAnsi="仿宋_GB2312" w:eastAsia="仿宋_GB2312"/>
          <w:color w:val="auto"/>
          <w:kern w:val="0"/>
          <w:sz w:val="32"/>
          <w:szCs w:val="32"/>
        </w:rPr>
        <w:t>5.合同签订时间：______年_____月_____日</w:t>
      </w:r>
    </w:p>
    <w:p w14:paraId="5C718ADF">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p>
    <w:p w14:paraId="217D5A93">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p>
    <w:p w14:paraId="320A4A07">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p>
    <w:p w14:paraId="60AD971D">
      <w:pPr>
        <w:overflowPunct w:val="0"/>
        <w:autoSpaceDE w:val="0"/>
        <w:autoSpaceDN w:val="0"/>
        <w:adjustRightInd w:val="0"/>
        <w:snapToGrid w:val="0"/>
        <w:spacing w:line="560" w:lineRule="exact"/>
        <w:ind w:firstLine="640" w:firstLineChars="200"/>
        <w:rPr>
          <w:rFonts w:hint="eastAsia" w:ascii="仿宋_GB2312" w:hAnsi="仿宋_GB2312" w:eastAsia="仿宋_GB2312"/>
          <w:color w:val="auto"/>
          <w:kern w:val="0"/>
          <w:sz w:val="32"/>
          <w:szCs w:val="32"/>
        </w:rPr>
      </w:pPr>
    </w:p>
    <w:p w14:paraId="16841BF5">
      <w:pPr>
        <w:pStyle w:val="3"/>
        <w:rPr>
          <w:rFonts w:hint="eastAsia"/>
          <w:color w:val="auto"/>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78"/>
        <w:gridCol w:w="4144"/>
      </w:tblGrid>
      <w:tr w14:paraId="1ED16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4530" w:type="dxa"/>
            <w:noWrap w:val="0"/>
            <w:vAlign w:val="top"/>
          </w:tcPr>
          <w:p w14:paraId="28BC80AF">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rPr>
            </w:pPr>
            <w:r>
              <w:rPr>
                <w:rFonts w:hint="eastAsia" w:ascii="仿宋_GB2312" w:hAnsi="仿宋_GB2312" w:eastAsia="仿宋_GB2312" w:cs="Times New Roman"/>
                <w:color w:val="auto"/>
                <w:kern w:val="0"/>
                <w:sz w:val="32"/>
                <w:szCs w:val="32"/>
                <w:lang w:val="en-US" w:eastAsia="zh-CN"/>
              </w:rPr>
              <w:t>甲方：</w:t>
            </w:r>
            <w:r>
              <w:rPr>
                <w:rFonts w:hint="eastAsia" w:ascii="仿宋_GB2312" w:hAnsi="仿宋_GB2312" w:eastAsia="仿宋_GB2312" w:cs="Times New Roman"/>
                <w:color w:val="auto"/>
                <w:kern w:val="0"/>
                <w:sz w:val="32"/>
                <w:szCs w:val="32"/>
              </w:rPr>
              <w:t>西安工程大学</w:t>
            </w:r>
          </w:p>
        </w:tc>
        <w:tc>
          <w:tcPr>
            <w:tcW w:w="4531" w:type="dxa"/>
            <w:noWrap w:val="0"/>
            <w:vAlign w:val="top"/>
          </w:tcPr>
          <w:p w14:paraId="5DCA144F">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rPr>
            </w:pPr>
            <w:r>
              <w:rPr>
                <w:rFonts w:hint="eastAsia" w:ascii="仿宋_GB2312" w:hAnsi="仿宋_GB2312" w:eastAsia="仿宋_GB2312" w:cs="Times New Roman"/>
                <w:color w:val="auto"/>
                <w:kern w:val="0"/>
                <w:sz w:val="32"/>
                <w:szCs w:val="32"/>
                <w:lang w:val="en-US" w:eastAsia="zh-CN"/>
              </w:rPr>
              <w:t>乙方：</w:t>
            </w:r>
          </w:p>
        </w:tc>
      </w:tr>
      <w:tr w14:paraId="37AAD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4530" w:type="dxa"/>
            <w:noWrap w:val="0"/>
            <w:vAlign w:val="top"/>
          </w:tcPr>
          <w:p w14:paraId="52C81E41">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rPr>
            </w:pPr>
            <w:r>
              <w:rPr>
                <w:rFonts w:hint="eastAsia" w:ascii="仿宋_GB2312" w:hAnsi="仿宋_GB2312" w:eastAsia="仿宋_GB2312" w:cs="Times New Roman"/>
                <w:color w:val="auto"/>
                <w:kern w:val="0"/>
                <w:sz w:val="32"/>
                <w:szCs w:val="32"/>
                <w:lang w:val="en-US" w:eastAsia="zh-CN"/>
              </w:rPr>
              <w:t>法定代表人：</w:t>
            </w:r>
          </w:p>
        </w:tc>
        <w:tc>
          <w:tcPr>
            <w:tcW w:w="4531" w:type="dxa"/>
            <w:noWrap w:val="0"/>
            <w:vAlign w:val="top"/>
          </w:tcPr>
          <w:p w14:paraId="5BAC4986">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bidi="ar-SA"/>
              </w:rPr>
            </w:pPr>
            <w:r>
              <w:rPr>
                <w:rFonts w:hint="eastAsia" w:ascii="仿宋_GB2312" w:hAnsi="仿宋_GB2312" w:eastAsia="仿宋_GB2312" w:cs="Times New Roman"/>
                <w:color w:val="auto"/>
                <w:kern w:val="0"/>
                <w:sz w:val="32"/>
                <w:szCs w:val="32"/>
                <w:lang w:val="en-US" w:eastAsia="zh-CN"/>
              </w:rPr>
              <w:t>法定代表人：</w:t>
            </w:r>
          </w:p>
        </w:tc>
      </w:tr>
      <w:tr w14:paraId="45CE2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4530" w:type="dxa"/>
            <w:noWrap w:val="0"/>
            <w:vAlign w:val="top"/>
          </w:tcPr>
          <w:p w14:paraId="477779AE">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rPr>
            </w:pPr>
            <w:r>
              <w:rPr>
                <w:rFonts w:hint="eastAsia" w:ascii="仿宋_GB2312" w:hAnsi="仿宋_GB2312" w:eastAsia="仿宋_GB2312" w:cs="Times New Roman"/>
                <w:color w:val="auto"/>
                <w:kern w:val="0"/>
                <w:sz w:val="32"/>
                <w:szCs w:val="32"/>
                <w:lang w:val="en-US" w:eastAsia="zh-CN"/>
              </w:rPr>
              <w:t>授权代表：</w:t>
            </w:r>
          </w:p>
        </w:tc>
        <w:tc>
          <w:tcPr>
            <w:tcW w:w="4531" w:type="dxa"/>
            <w:noWrap w:val="0"/>
            <w:vAlign w:val="top"/>
          </w:tcPr>
          <w:p w14:paraId="68BE6725">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bidi="ar-SA"/>
              </w:rPr>
            </w:pPr>
            <w:r>
              <w:rPr>
                <w:rFonts w:hint="eastAsia" w:ascii="仿宋_GB2312" w:hAnsi="仿宋_GB2312" w:eastAsia="仿宋_GB2312" w:cs="Times New Roman"/>
                <w:color w:val="auto"/>
                <w:kern w:val="0"/>
                <w:sz w:val="32"/>
                <w:szCs w:val="32"/>
                <w:lang w:val="en-US" w:eastAsia="zh-CN"/>
              </w:rPr>
              <w:t>授权代表：</w:t>
            </w:r>
          </w:p>
        </w:tc>
      </w:tr>
      <w:tr w14:paraId="46E46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4530" w:type="dxa"/>
            <w:noWrap w:val="0"/>
            <w:vAlign w:val="top"/>
          </w:tcPr>
          <w:p w14:paraId="4FC79C5A">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rPr>
            </w:pPr>
            <w:r>
              <w:rPr>
                <w:rFonts w:hint="eastAsia" w:ascii="仿宋_GB2312" w:hAnsi="仿宋_GB2312" w:eastAsia="仿宋_GB2312" w:cs="Times New Roman"/>
                <w:color w:val="auto"/>
                <w:kern w:val="0"/>
                <w:sz w:val="32"/>
                <w:szCs w:val="32"/>
                <w:lang w:val="en-US" w:eastAsia="zh-CN"/>
              </w:rPr>
              <w:t>电话：</w:t>
            </w:r>
          </w:p>
        </w:tc>
        <w:tc>
          <w:tcPr>
            <w:tcW w:w="4531" w:type="dxa"/>
            <w:noWrap w:val="0"/>
            <w:vAlign w:val="top"/>
          </w:tcPr>
          <w:p w14:paraId="7709977A">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bidi="ar-SA"/>
              </w:rPr>
            </w:pPr>
            <w:r>
              <w:rPr>
                <w:rFonts w:hint="eastAsia" w:ascii="仿宋_GB2312" w:hAnsi="仿宋_GB2312" w:eastAsia="仿宋_GB2312" w:cs="Times New Roman"/>
                <w:color w:val="auto"/>
                <w:kern w:val="0"/>
                <w:sz w:val="32"/>
                <w:szCs w:val="32"/>
                <w:lang w:val="en-US" w:eastAsia="zh-CN"/>
              </w:rPr>
              <w:t>电话：</w:t>
            </w:r>
          </w:p>
        </w:tc>
      </w:tr>
      <w:tr w14:paraId="6DED8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4530" w:type="dxa"/>
            <w:noWrap w:val="0"/>
            <w:vAlign w:val="top"/>
          </w:tcPr>
          <w:p w14:paraId="6871BC65">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rPr>
            </w:pPr>
            <w:r>
              <w:rPr>
                <w:rFonts w:hint="eastAsia" w:ascii="仿宋_GB2312" w:hAnsi="仿宋_GB2312" w:eastAsia="仿宋_GB2312" w:cs="Times New Roman"/>
                <w:color w:val="auto"/>
                <w:kern w:val="0"/>
                <w:sz w:val="32"/>
                <w:szCs w:val="32"/>
                <w:lang w:val="en-US" w:eastAsia="zh-CN"/>
              </w:rPr>
              <w:t>传真：</w:t>
            </w:r>
          </w:p>
        </w:tc>
        <w:tc>
          <w:tcPr>
            <w:tcW w:w="4531" w:type="dxa"/>
            <w:noWrap w:val="0"/>
            <w:vAlign w:val="top"/>
          </w:tcPr>
          <w:p w14:paraId="62651E71">
            <w:pPr>
              <w:pStyle w:val="3"/>
              <w:keepNext w:val="0"/>
              <w:keepLines w:val="0"/>
              <w:suppressLineNumbers w:val="0"/>
              <w:spacing w:before="0" w:beforeAutospacing="0" w:after="0" w:afterAutospacing="0"/>
              <w:ind w:left="0" w:right="0"/>
              <w:rPr>
                <w:rFonts w:hint="eastAsia" w:ascii="仿宋_GB2312" w:hAnsi="仿宋_GB2312" w:eastAsia="仿宋_GB2312" w:cs="Times New Roman"/>
                <w:color w:val="auto"/>
                <w:kern w:val="0"/>
                <w:sz w:val="32"/>
                <w:szCs w:val="32"/>
                <w:lang w:val="en-US" w:eastAsia="zh-CN" w:bidi="ar-SA"/>
              </w:rPr>
            </w:pPr>
            <w:r>
              <w:rPr>
                <w:rFonts w:hint="eastAsia" w:ascii="仿宋_GB2312" w:hAnsi="仿宋_GB2312" w:eastAsia="仿宋_GB2312" w:cs="Times New Roman"/>
                <w:color w:val="auto"/>
                <w:kern w:val="0"/>
                <w:sz w:val="32"/>
                <w:szCs w:val="32"/>
                <w:lang w:val="en-US" w:eastAsia="zh-CN"/>
              </w:rPr>
              <w:t>传真：</w:t>
            </w:r>
          </w:p>
        </w:tc>
      </w:tr>
      <w:tr w14:paraId="5C141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0" w:type="dxa"/>
            <w:noWrap w:val="0"/>
            <w:vAlign w:val="top"/>
          </w:tcPr>
          <w:p w14:paraId="3332CDA3">
            <w:pPr>
              <w:keepNext w:val="0"/>
              <w:keepLines w:val="0"/>
              <w:suppressLineNumbers w:val="0"/>
              <w:overflowPunct w:val="0"/>
              <w:autoSpaceDE w:val="0"/>
              <w:autoSpaceDN w:val="0"/>
              <w:adjustRightInd w:val="0"/>
              <w:snapToGrid w:val="0"/>
              <w:spacing w:before="0" w:beforeAutospacing="0" w:after="0" w:afterAutospacing="0" w:line="560" w:lineRule="exact"/>
              <w:ind w:left="960" w:right="199" w:rightChars="95" w:hanging="960" w:hangingChars="300"/>
              <w:rPr>
                <w:rFonts w:hint="eastAsia" w:ascii="Times New Roman" w:hAnsi="Times New Roman" w:cs="Times New Roman"/>
                <w:color w:val="auto"/>
                <w:vertAlign w:val="baseline"/>
              </w:rPr>
            </w:pPr>
            <w:r>
              <w:rPr>
                <w:rFonts w:hint="eastAsia" w:ascii="仿宋_GB2312" w:hAnsi="仿宋_GB2312" w:eastAsia="仿宋_GB2312" w:cs="Times New Roman"/>
                <w:color w:val="auto"/>
                <w:kern w:val="0"/>
                <w:sz w:val="32"/>
                <w:szCs w:val="32"/>
              </w:rPr>
              <w:t>开户银行：中国建设银行股份有限公司西安友谊东路支行</w:t>
            </w:r>
          </w:p>
        </w:tc>
        <w:tc>
          <w:tcPr>
            <w:tcW w:w="4531" w:type="dxa"/>
            <w:noWrap w:val="0"/>
            <w:vAlign w:val="top"/>
          </w:tcPr>
          <w:p w14:paraId="3DA029A7">
            <w:pPr>
              <w:keepNext w:val="0"/>
              <w:keepLines w:val="0"/>
              <w:suppressLineNumbers w:val="0"/>
              <w:overflowPunct w:val="0"/>
              <w:autoSpaceDE w:val="0"/>
              <w:autoSpaceDN w:val="0"/>
              <w:adjustRightInd w:val="0"/>
              <w:snapToGrid w:val="0"/>
              <w:spacing w:before="0" w:beforeAutospacing="0" w:after="0" w:afterAutospacing="0" w:line="560" w:lineRule="exact"/>
              <w:ind w:left="960" w:leftChars="0" w:right="199" w:rightChars="95" w:hanging="960" w:hangingChars="300"/>
              <w:rPr>
                <w:rFonts w:hint="eastAsia" w:ascii="Times New Roman" w:hAnsi="Times New Roman" w:cs="Times New Roman"/>
                <w:color w:val="auto"/>
                <w:kern w:val="2"/>
                <w:sz w:val="21"/>
                <w:szCs w:val="21"/>
                <w:vertAlign w:val="baseline"/>
                <w:lang w:val="en-US" w:eastAsia="zh-CN" w:bidi="ar-SA"/>
              </w:rPr>
            </w:pPr>
            <w:r>
              <w:rPr>
                <w:rFonts w:hint="eastAsia" w:ascii="仿宋_GB2312" w:hAnsi="仿宋_GB2312" w:eastAsia="仿宋_GB2312" w:cs="Times New Roman"/>
                <w:color w:val="auto"/>
                <w:kern w:val="0"/>
                <w:sz w:val="32"/>
                <w:szCs w:val="32"/>
              </w:rPr>
              <w:t>开户银行：</w:t>
            </w:r>
          </w:p>
        </w:tc>
      </w:tr>
      <w:tr w14:paraId="44E3C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0" w:type="dxa"/>
            <w:noWrap w:val="0"/>
            <w:vAlign w:val="top"/>
          </w:tcPr>
          <w:p w14:paraId="2B37DE77">
            <w:pPr>
              <w:pStyle w:val="3"/>
              <w:keepNext w:val="0"/>
              <w:keepLines w:val="0"/>
              <w:suppressLineNumbers w:val="0"/>
              <w:spacing w:before="0" w:beforeAutospacing="0" w:after="0" w:afterAutospacing="0"/>
              <w:ind w:left="0" w:right="0"/>
              <w:rPr>
                <w:rFonts w:hint="eastAsia" w:ascii="Times New Roman" w:hAnsi="Times New Roman" w:cs="Times New Roman"/>
                <w:color w:val="auto"/>
                <w:vertAlign w:val="baseline"/>
              </w:rPr>
            </w:pPr>
            <w:r>
              <w:rPr>
                <w:rFonts w:hint="eastAsia" w:ascii="仿宋_GB2312" w:hAnsi="仿宋_GB2312" w:eastAsia="仿宋_GB2312" w:cs="Times New Roman"/>
                <w:color w:val="auto"/>
                <w:kern w:val="0"/>
                <w:sz w:val="32"/>
                <w:szCs w:val="32"/>
              </w:rPr>
              <w:t>账号：61050190540000001286</w:t>
            </w:r>
          </w:p>
        </w:tc>
        <w:tc>
          <w:tcPr>
            <w:tcW w:w="4531" w:type="dxa"/>
            <w:noWrap w:val="0"/>
            <w:vAlign w:val="top"/>
          </w:tcPr>
          <w:p w14:paraId="6A7E12DE">
            <w:pPr>
              <w:pStyle w:val="3"/>
              <w:keepNext w:val="0"/>
              <w:keepLines w:val="0"/>
              <w:suppressLineNumbers w:val="0"/>
              <w:spacing w:before="0" w:beforeAutospacing="0" w:after="0" w:afterAutospacing="0"/>
              <w:ind w:left="0" w:right="0"/>
              <w:rPr>
                <w:rFonts w:hint="eastAsia" w:ascii="Times New Roman" w:hAnsi="Times New Roman" w:cs="Times New Roman"/>
                <w:color w:val="auto"/>
                <w:kern w:val="0"/>
                <w:sz w:val="18"/>
                <w:szCs w:val="18"/>
                <w:vertAlign w:val="baseline"/>
                <w:lang w:val="en-US" w:eastAsia="zh-CN" w:bidi="ar-SA"/>
              </w:rPr>
            </w:pPr>
            <w:r>
              <w:rPr>
                <w:rFonts w:hint="eastAsia" w:ascii="仿宋_GB2312" w:hAnsi="仿宋_GB2312" w:eastAsia="仿宋_GB2312" w:cs="Times New Roman"/>
                <w:color w:val="auto"/>
                <w:kern w:val="0"/>
                <w:sz w:val="32"/>
                <w:szCs w:val="32"/>
              </w:rPr>
              <w:t>账号：</w:t>
            </w:r>
          </w:p>
        </w:tc>
      </w:tr>
      <w:tr w14:paraId="7E3E3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0" w:type="dxa"/>
            <w:noWrap w:val="0"/>
            <w:vAlign w:val="top"/>
          </w:tcPr>
          <w:p w14:paraId="34F9A37D">
            <w:pPr>
              <w:keepNext w:val="0"/>
              <w:keepLines w:val="0"/>
              <w:suppressLineNumbers w:val="0"/>
              <w:overflowPunct w:val="0"/>
              <w:autoSpaceDE w:val="0"/>
              <w:autoSpaceDN w:val="0"/>
              <w:adjustRightInd w:val="0"/>
              <w:snapToGrid w:val="0"/>
              <w:spacing w:before="0" w:beforeAutospacing="0" w:after="0" w:afterAutospacing="0" w:line="560" w:lineRule="exact"/>
              <w:ind w:left="0" w:right="199" w:rightChars="95"/>
              <w:jc w:val="left"/>
              <w:rPr>
                <w:rFonts w:hint="eastAsia" w:ascii="仿宋_GB2312" w:hAnsi="仿宋_GB2312" w:eastAsia="仿宋_GB2312" w:cs="Times New Roman"/>
                <w:color w:val="auto"/>
                <w:kern w:val="0"/>
                <w:sz w:val="32"/>
                <w:szCs w:val="32"/>
              </w:rPr>
            </w:pPr>
            <w:r>
              <w:rPr>
                <w:rFonts w:hint="eastAsia" w:ascii="仿宋_GB2312" w:hAnsi="仿宋_GB2312" w:eastAsia="仿宋_GB2312" w:cs="Times New Roman"/>
                <w:color w:val="auto"/>
                <w:kern w:val="0"/>
                <w:sz w:val="32"/>
                <w:szCs w:val="32"/>
              </w:rPr>
              <w:t>统一社会信用代码：12610000435204205L</w:t>
            </w:r>
          </w:p>
        </w:tc>
        <w:tc>
          <w:tcPr>
            <w:tcW w:w="4531" w:type="dxa"/>
            <w:noWrap w:val="0"/>
            <w:vAlign w:val="top"/>
          </w:tcPr>
          <w:p w14:paraId="2A64BCBD">
            <w:pPr>
              <w:keepNext w:val="0"/>
              <w:keepLines w:val="0"/>
              <w:suppressLineNumbers w:val="0"/>
              <w:overflowPunct w:val="0"/>
              <w:autoSpaceDE w:val="0"/>
              <w:autoSpaceDN w:val="0"/>
              <w:adjustRightInd w:val="0"/>
              <w:snapToGrid w:val="0"/>
              <w:spacing w:before="0" w:beforeAutospacing="0" w:after="0" w:afterAutospacing="0" w:line="560" w:lineRule="exact"/>
              <w:ind w:left="0" w:right="199" w:rightChars="95"/>
              <w:jc w:val="left"/>
              <w:rPr>
                <w:rFonts w:hint="eastAsia" w:ascii="仿宋_GB2312" w:hAnsi="仿宋_GB2312" w:eastAsia="仿宋_GB2312" w:cs="Times New Roman"/>
                <w:color w:val="auto"/>
                <w:kern w:val="0"/>
                <w:sz w:val="32"/>
                <w:szCs w:val="32"/>
                <w:lang w:val="en-US" w:eastAsia="zh-CN" w:bidi="ar-SA"/>
              </w:rPr>
            </w:pPr>
            <w:r>
              <w:rPr>
                <w:rFonts w:hint="eastAsia" w:ascii="仿宋_GB2312" w:hAnsi="仿宋_GB2312" w:eastAsia="仿宋_GB2312" w:cs="Times New Roman"/>
                <w:color w:val="auto"/>
                <w:kern w:val="0"/>
                <w:sz w:val="32"/>
                <w:szCs w:val="32"/>
              </w:rPr>
              <w:t>统一社会信用代码：</w:t>
            </w:r>
          </w:p>
        </w:tc>
      </w:tr>
      <w:tr w14:paraId="7039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0" w:type="dxa"/>
            <w:noWrap w:val="0"/>
            <w:vAlign w:val="top"/>
          </w:tcPr>
          <w:p w14:paraId="78898190">
            <w:pPr>
              <w:keepNext w:val="0"/>
              <w:keepLines w:val="0"/>
              <w:suppressLineNumbers w:val="0"/>
              <w:overflowPunct w:val="0"/>
              <w:autoSpaceDE w:val="0"/>
              <w:autoSpaceDN w:val="0"/>
              <w:adjustRightInd w:val="0"/>
              <w:snapToGrid w:val="0"/>
              <w:spacing w:before="0" w:beforeAutospacing="0" w:after="0" w:afterAutospacing="0" w:line="560" w:lineRule="exact"/>
              <w:ind w:left="960" w:right="199" w:rightChars="95" w:hanging="960" w:hangingChars="300"/>
              <w:rPr>
                <w:rFonts w:hint="eastAsia" w:ascii="仿宋_GB2312" w:hAnsi="仿宋_GB2312" w:eastAsia="仿宋_GB2312" w:cs="Times New Roman"/>
                <w:color w:val="auto"/>
                <w:kern w:val="0"/>
                <w:sz w:val="32"/>
                <w:szCs w:val="32"/>
              </w:rPr>
            </w:pPr>
            <w:r>
              <w:rPr>
                <w:rFonts w:hint="eastAsia" w:ascii="仿宋_GB2312" w:hAnsi="仿宋_GB2312" w:eastAsia="仿宋_GB2312" w:cs="Times New Roman"/>
                <w:color w:val="auto"/>
                <w:kern w:val="0"/>
                <w:sz w:val="32"/>
                <w:szCs w:val="32"/>
              </w:rPr>
              <w:t>地址：陕西省西安市碑林区金花南路19号</w:t>
            </w:r>
          </w:p>
        </w:tc>
        <w:tc>
          <w:tcPr>
            <w:tcW w:w="4531" w:type="dxa"/>
            <w:noWrap w:val="0"/>
            <w:vAlign w:val="top"/>
          </w:tcPr>
          <w:p w14:paraId="618B9114">
            <w:pPr>
              <w:keepNext w:val="0"/>
              <w:keepLines w:val="0"/>
              <w:suppressLineNumbers w:val="0"/>
              <w:overflowPunct w:val="0"/>
              <w:autoSpaceDE w:val="0"/>
              <w:autoSpaceDN w:val="0"/>
              <w:adjustRightInd w:val="0"/>
              <w:snapToGrid w:val="0"/>
              <w:spacing w:before="0" w:beforeAutospacing="0" w:after="0" w:afterAutospacing="0" w:line="560" w:lineRule="exact"/>
              <w:ind w:left="960" w:leftChars="0" w:right="199" w:rightChars="95" w:hanging="960" w:hangingChars="300"/>
              <w:rPr>
                <w:rFonts w:hint="eastAsia" w:ascii="仿宋_GB2312" w:hAnsi="仿宋_GB2312" w:eastAsia="仿宋_GB2312" w:cs="Times New Roman"/>
                <w:color w:val="auto"/>
                <w:kern w:val="0"/>
                <w:sz w:val="32"/>
                <w:szCs w:val="32"/>
                <w:lang w:val="en-US" w:eastAsia="zh-CN" w:bidi="ar-SA"/>
              </w:rPr>
            </w:pPr>
            <w:r>
              <w:rPr>
                <w:rFonts w:hint="eastAsia" w:ascii="仿宋_GB2312" w:hAnsi="仿宋_GB2312" w:eastAsia="仿宋_GB2312" w:cs="Times New Roman"/>
                <w:color w:val="auto"/>
                <w:kern w:val="0"/>
                <w:sz w:val="32"/>
                <w:szCs w:val="32"/>
              </w:rPr>
              <w:t>地址：</w:t>
            </w:r>
          </w:p>
        </w:tc>
      </w:tr>
    </w:tbl>
    <w:p w14:paraId="0D1C9F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E9D65"/>
    <w:multiLevelType w:val="singleLevel"/>
    <w:tmpl w:val="BB1E9D65"/>
    <w:lvl w:ilvl="0" w:tentative="0">
      <w:start w:val="1"/>
      <w:numFmt w:val="decimal"/>
      <w:suff w:val="nothing"/>
      <w:lvlText w:val="%1．"/>
      <w:lvlJc w:val="left"/>
      <w:pPr>
        <w:ind w:left="0" w:firstLine="400"/>
      </w:pPr>
      <w:rPr>
        <w:rFonts w:hint="default"/>
      </w:rPr>
    </w:lvl>
  </w:abstractNum>
  <w:abstractNum w:abstractNumId="1">
    <w:nsid w:val="D8E9B87B"/>
    <w:multiLevelType w:val="singleLevel"/>
    <w:tmpl w:val="D8E9B87B"/>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C744F"/>
    <w:rsid w:val="22EC7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footer"/>
    <w:basedOn w:val="1"/>
    <w:next w:val="2"/>
    <w:qFormat/>
    <w:uiPriority w:val="0"/>
    <w:pPr>
      <w:tabs>
        <w:tab w:val="center" w:pos="4153"/>
        <w:tab w:val="right" w:pos="8306"/>
      </w:tabs>
      <w:snapToGrid w:val="0"/>
      <w:jc w:val="left"/>
    </w:pPr>
    <w:rPr>
      <w:sz w:val="18"/>
    </w:rPr>
  </w:style>
  <w:style w:type="table" w:styleId="5">
    <w:name w:val="Table Grid"/>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2026-05-17T08:49:00Z</dcterms:created>
  <dc:creator>崔方明</dc:creator>
  <cp:lastModifiedBy>崔方明</cp:lastModifiedBy>
  <dcterms:modified xsi:type="dcterms:W3CDTF">2026-05-17T08:49:44Z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11BB60F52DD94EEEAE25D505AC54D20E_11</vt:lpwstr>
  </property>
  <property fmtid="{D5CDD505-2E9C-101B-9397-08002B2CF9AE}" pid="4" name="KSOTemplateDocerSaveRecord">
    <vt:lpwstr>eyJoZGlkIjoiNWVkMjVkMTNiZjJjMmJlMmYzODM5NTFlMjkxOTcyMmMiLCJ1c2VySWQiOiIyOTM1NjUwODYifQ==</vt:lpwstr>
  </property>
</Properties>
</file>