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注：1.以上表格格式行、列可增减。</w:t>
      </w:r>
    </w:p>
    <w:p w14:paraId="5A77B9C3">
      <w:r>
        <w:rPr>
          <w:rFonts w:hint="eastAsia" w:ascii="宋体" w:hAnsi="宋体" w:cs="宋体"/>
          <w:sz w:val="28"/>
          <w:szCs w:val="28"/>
          <w:highlight w:val="none"/>
        </w:rPr>
        <w:t>2.投标人根据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磋商文件</w:t>
      </w:r>
      <w:r>
        <w:rPr>
          <w:rFonts w:hint="eastAsia" w:ascii="宋体" w:hAnsi="宋体" w:cs="宋体"/>
          <w:sz w:val="28"/>
          <w:szCs w:val="28"/>
          <w:highlight w:val="none"/>
        </w:rPr>
        <w:t>第3章-“3.2服务内容及服务要求”的要求将全部服务内容及服务要求逐条填写此表，并按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10642"/>
    <w:rsid w:val="1CC1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2026-05-17T09:25:00Z</dcterms:created>
  <dc:creator>崔方明</dc:creator>
  <cp:lastModifiedBy>崔方明</cp:lastModifiedBy>
  <dcterms:modified xsi:type="dcterms:W3CDTF">2026-05-17T09:25:32Z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D14600DEB61A4F288346D738DCBE5500_11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