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版本号：ZFXSS【2026】0601号20260610001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2026年无人机及长臂挖掘机等桥梁边坡检测防治设备采购项目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ZFXSS【2026】0601号</w:t>
      </w:r>
      <w:r>
        <w:br/>
      </w:r>
      <w:r>
        <w:br/>
      </w:r>
      <w:r>
        <w:br/>
      </w:r>
    </w:p>
    <w:p>
      <w:pPr>
        <w:pStyle w:val="null3"/>
        <w:jc w:val="center"/>
        <w:outlineLvl w:val="2"/>
      </w:pPr>
      <w:r>
        <w:rPr>
          <w:rFonts w:ascii="仿宋_GB2312" w:hAnsi="仿宋_GB2312" w:cs="仿宋_GB2312" w:eastAsia="仿宋_GB2312"/>
          <w:sz w:val="28"/>
          <w:b/>
        </w:rPr>
        <w:t>渭南市公路局</w:t>
      </w:r>
    </w:p>
    <w:p>
      <w:pPr>
        <w:pStyle w:val="null3"/>
        <w:jc w:val="center"/>
        <w:outlineLvl w:val="2"/>
      </w:pPr>
      <w:r>
        <w:rPr>
          <w:rFonts w:ascii="仿宋_GB2312" w:hAnsi="仿宋_GB2312" w:cs="仿宋_GB2312" w:eastAsia="仿宋_GB2312"/>
          <w:sz w:val="28"/>
          <w:b/>
        </w:rPr>
        <w:t>陕西新盛世工程咨询有限公司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陕西新盛世工程咨询有限公司</w:t>
      </w:r>
      <w:r>
        <w:rPr>
          <w:rFonts w:ascii="仿宋_GB2312" w:hAnsi="仿宋_GB2312" w:cs="仿宋_GB2312" w:eastAsia="仿宋_GB2312"/>
        </w:rPr>
        <w:t>（以下简称“代理机构”）受</w:t>
      </w:r>
      <w:r>
        <w:rPr>
          <w:rFonts w:ascii="仿宋_GB2312" w:hAnsi="仿宋_GB2312" w:cs="仿宋_GB2312" w:eastAsia="仿宋_GB2312"/>
        </w:rPr>
        <w:t>渭南市公路局</w:t>
      </w:r>
      <w:r>
        <w:rPr>
          <w:rFonts w:ascii="仿宋_GB2312" w:hAnsi="仿宋_GB2312" w:cs="仿宋_GB2312" w:eastAsia="仿宋_GB2312"/>
        </w:rPr>
        <w:t>委托，拟对</w:t>
      </w:r>
      <w:r>
        <w:rPr>
          <w:rFonts w:ascii="仿宋_GB2312" w:hAnsi="仿宋_GB2312" w:cs="仿宋_GB2312" w:eastAsia="仿宋_GB2312"/>
        </w:rPr>
        <w:t>2026年无人机及长臂挖掘机等桥梁边坡检测防治设备采购项目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ZFXSS【2026】0601号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2026年无人机及长臂挖掘机等桥梁边坡检测防治设备采购项目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为全⾯保障我市国省⼲线公路桥梁运⾏安全、强化边坡病害治理与公路应急抢险能⼒，我局拟实施2026 年⽆⼈机及⻓臂挖掘机等桥梁边坡检测防治设备采购项⽬。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1、特定资格要求：（1）具有独立承担民事责任能力的法人、其他组织或自然人，并出具合法有效的营业执照或事业单位法人证书等国家规定的相关证明，自然人参与的提供其身份证明； （2）财务状况：提供2024年度或2025年度经审计的财务报告（成立时间至提交投标文件截止时间不足一年的可提供成立后任意时段的资产负债表、利润表），或提交开标前六个月内银行出具的资信证明，或信用担保机构出具的投标担保函；其他组织和自然人提供银行出具的资信证明或财务报表。 （3）税收缴纳证明：提供投标截止之日前近六个月内至少一个月的纳税证明或完税证明（增值税，印花税，城市维护建设费，企业所得税等一种或多种税种），依法免税的单位应提供相关证明材料； （4）社会保障资金缴纳证明：提供投标截止之日前近六个月内至少一个月的社会保障资金缴存单据或社保机构开具的社会保险参保缴费情况证明，依法不需要缴纳社会保障资金的单位应提供相关证明材料； （5）提供具有履行合同所必需的设备和专业技术能力的承诺； （6）参加政府采购活动前3年内在经营活动中没有重大违法记录的书面声明；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 （8）非法定代表人参加投标的，须提供法定代表人委托授权书、授权代表身份证、授权代表提供在投标单位缴纳的社保记录（近3个月内任意一个月）；法定代表人参加投标时,只需提供法定代表人身份证。 （9）本项目不接受联合体投标。 （10）具备法律、行政法规规定的其他条件(由供应商根据项目需求提供说明材料或者承诺)。</w:t>
      </w:r>
    </w:p>
    <w:p>
      <w:pPr>
        <w:pStyle w:val="null3"/>
      </w:pPr>
      <w:r>
        <w:rPr>
          <w:rFonts w:ascii="仿宋_GB2312" w:hAnsi="仿宋_GB2312" w:cs="仿宋_GB2312" w:eastAsia="仿宋_GB2312"/>
        </w:rPr>
        <w:t>2、特定资格要求：投标单位与其他投标单位无交叉控股股东、无交叉兼任高级管理人员及涉嫌联合围标、串标行为，无采购单位和招标代理机构职工在本单位兼职的情况，不向采购单位和代理机构相关人员输送利益等行贿行为，一旦中标必须坚守诚信、认真履约等提供书面声明并加盖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乐天大街渭南公路管理局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0913-3037066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陕西新盛世工程咨询有限公司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陕西省渭南市临渭区新洲时代广场A座8楼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党建平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18992376399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依据中标价格，采购代理服务费参照国家计委关于印发《招标代理服务收费管理暂行办法》的通知（计价格〔2002〕1980号）、《国家发展和改革委员会办公厅关于招标代理服务收费有关问题的通知》（发改办价格〔2003〕857号）规定标准100%计算。 2.代理服务费缴纳账号： 账户名称：陕西新盛世工程咨询有限公司 开户行：中国邮政储蓄银行股份有限公司渭南市华州区支行 银行账号：100475433080010001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渭南市公路局</w:t>
      </w:r>
      <w:r>
        <w:rPr>
          <w:rFonts w:ascii="仿宋_GB2312" w:hAnsi="仿宋_GB2312" w:cs="仿宋_GB2312" w:eastAsia="仿宋_GB2312"/>
        </w:rPr>
        <w:t>和</w:t>
      </w:r>
      <w:r>
        <w:rPr>
          <w:rFonts w:ascii="仿宋_GB2312" w:hAnsi="仿宋_GB2312" w:cs="仿宋_GB2312" w:eastAsia="仿宋_GB2312"/>
        </w:rPr>
        <w:t>陕西新盛世工程咨询有限公司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渭南市公路局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陕西新盛世工程咨询有限公司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陕西新盛世工程咨询有限公司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现行的国家标准或国家行政部门颁布的法律法规、规章制度等，是项目验收的一个重要依据。没有国家标准的，可以参考行业标准。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陕西新盛世工程咨询有限公司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陕西新盛世工程咨询有限公司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陕西新盛世工程咨询有限公司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联系人：党工</w:t>
      </w:r>
    </w:p>
    <w:p>
      <w:pPr>
        <w:pStyle w:val="null3"/>
      </w:pPr>
      <w:r>
        <w:rPr>
          <w:rFonts w:ascii="仿宋_GB2312" w:hAnsi="仿宋_GB2312" w:cs="仿宋_GB2312" w:eastAsia="仿宋_GB2312"/>
        </w:rPr>
        <w:t>联系电话：0913-2038538</w:t>
      </w:r>
    </w:p>
    <w:p>
      <w:pPr>
        <w:pStyle w:val="null3"/>
      </w:pPr>
      <w:r>
        <w:rPr>
          <w:rFonts w:ascii="仿宋_GB2312" w:hAnsi="仿宋_GB2312" w:cs="仿宋_GB2312" w:eastAsia="仿宋_GB2312"/>
        </w:rPr>
        <w:t>地址：陕西省渭南市临渭区新洲时代广场A座8楼</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为全面保障我市国省干线公路桥梁运行安全、强化边坡病害治理与公路应急抢险能力，我局拟实施2026 年无人机及长臂挖掘机等桥梁边坡检测防治设备采购项目。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3,910,000.00</w:t>
      </w:r>
    </w:p>
    <w:p>
      <w:pPr>
        <w:pStyle w:val="null3"/>
      </w:pPr>
      <w:r>
        <w:rPr>
          <w:rFonts w:ascii="仿宋_GB2312" w:hAnsi="仿宋_GB2312" w:cs="仿宋_GB2312" w:eastAsia="仿宋_GB2312"/>
        </w:rPr>
        <w:t>采购包最高限价（元）: 3,910,000.00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路面AI智能巡查设备和无人机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高空作业车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桥梁检测车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长臂挖掘机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标的名称：路面AI智能巡查设备和无人机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一、路面AI巡查设备</w:t>
            </w:r>
          </w:p>
          <w:p>
            <w:pPr>
              <w:pStyle w:val="null3"/>
              <w:jc w:val="both"/>
            </w:pPr>
            <w:r>
              <w:rPr>
                <w:rFonts w:ascii="仿宋_GB2312" w:hAnsi="仿宋_GB2312" w:cs="仿宋_GB2312" w:eastAsia="仿宋_GB2312"/>
                <w:sz w:val="18"/>
              </w:rPr>
              <w:t>1.规格不大于300mm×250mm×90mm，须满足车载部署；可快速安装于公路巡查车辆，适配国省干线公路各类路况作业场景。</w:t>
            </w:r>
          </w:p>
          <w:p>
            <w:pPr>
              <w:pStyle w:val="null3"/>
              <w:jc w:val="both"/>
            </w:pPr>
            <w:r>
              <w:rPr>
                <w:rFonts w:ascii="仿宋_GB2312" w:hAnsi="仿宋_GB2312" w:cs="仿宋_GB2312" w:eastAsia="仿宋_GB2312"/>
                <w:sz w:val="18"/>
              </w:rPr>
              <w:t>2.兼容车载12VDC电源稳定输入，可实现车载稳定供电。</w:t>
            </w:r>
          </w:p>
          <w:p>
            <w:pPr>
              <w:pStyle w:val="null3"/>
              <w:jc w:val="both"/>
            </w:pPr>
            <w:r>
              <w:rPr>
                <w:rFonts w:ascii="仿宋_GB2312" w:hAnsi="仿宋_GB2312" w:cs="仿宋_GB2312" w:eastAsia="仿宋_GB2312"/>
                <w:sz w:val="18"/>
              </w:rPr>
              <w:t>3.巡查设备具备防水、防尘</w:t>
            </w:r>
            <w:r>
              <w:rPr>
                <w:rFonts w:ascii="仿宋_GB2312" w:hAnsi="仿宋_GB2312" w:cs="仿宋_GB2312" w:eastAsia="仿宋_GB2312"/>
                <w:sz w:val="18"/>
              </w:rPr>
              <w:t>≥IP56</w:t>
            </w:r>
            <w:r>
              <w:rPr>
                <w:rFonts w:ascii="仿宋_GB2312" w:hAnsi="仿宋_GB2312" w:cs="仿宋_GB2312" w:eastAsia="仿宋_GB2312"/>
                <w:sz w:val="18"/>
              </w:rPr>
              <w:t>；</w:t>
            </w:r>
            <w:r>
              <w:rPr>
                <w:rFonts w:ascii="仿宋_GB2312" w:hAnsi="仿宋_GB2312" w:cs="仿宋_GB2312" w:eastAsia="仿宋_GB2312"/>
                <w:sz w:val="18"/>
              </w:rPr>
              <w:t>防震、安装便捷特点，支持不低于</w:t>
            </w:r>
            <w:r>
              <w:rPr>
                <w:rFonts w:ascii="仿宋_GB2312" w:hAnsi="仿宋_GB2312" w:cs="仿宋_GB2312" w:eastAsia="仿宋_GB2312"/>
                <w:sz w:val="18"/>
              </w:rPr>
              <w:t>40TOPS算力，满足多目标实时检测与分析。</w:t>
            </w:r>
          </w:p>
          <w:p>
            <w:pPr>
              <w:pStyle w:val="null3"/>
              <w:jc w:val="both"/>
            </w:pPr>
            <w:r>
              <w:rPr>
                <w:rFonts w:ascii="仿宋_GB2312" w:hAnsi="仿宋_GB2312" w:cs="仿宋_GB2312" w:eastAsia="仿宋_GB2312"/>
                <w:sz w:val="18"/>
              </w:rPr>
              <w:t>4.巡查设备需包含边缘一体机、智能网络高清摄像机、北斗全频定位天线、手持控制台等，并打包提供。</w:t>
            </w:r>
          </w:p>
          <w:p>
            <w:pPr>
              <w:pStyle w:val="null3"/>
              <w:jc w:val="both"/>
            </w:pPr>
            <w:r>
              <w:rPr>
                <w:rFonts w:ascii="仿宋_GB2312" w:hAnsi="仿宋_GB2312" w:cs="仿宋_GB2312" w:eastAsia="仿宋_GB2312"/>
                <w:sz w:val="18"/>
              </w:rPr>
              <w:t>5.须配置1T及以上足够存储，满足巡检数据本地缓存与存储。</w:t>
            </w:r>
          </w:p>
          <w:p>
            <w:pPr>
              <w:pStyle w:val="null3"/>
              <w:jc w:val="both"/>
            </w:pPr>
            <w:r>
              <w:rPr>
                <w:rFonts w:ascii="仿宋_GB2312" w:hAnsi="仿宋_GB2312" w:cs="仿宋_GB2312" w:eastAsia="仿宋_GB2312"/>
                <w:sz w:val="18"/>
              </w:rPr>
              <w:t>6.支持4G/5G网络连接，具备断点续传功能。支持100km/h车速下实时勘察，支持不低于25帧/秒的图像采集，配备亚米级北斗卫星定位系统。</w:t>
            </w:r>
          </w:p>
          <w:p>
            <w:pPr>
              <w:pStyle w:val="null3"/>
              <w:jc w:val="both"/>
            </w:pPr>
            <w:r>
              <w:rPr>
                <w:rFonts w:ascii="仿宋_GB2312" w:hAnsi="仿宋_GB2312" w:cs="仿宋_GB2312" w:eastAsia="仿宋_GB2312"/>
                <w:sz w:val="18"/>
              </w:rPr>
              <w:t>7.摄像机有效像素不低于200万，最大图像尺寸不低于1920×1080。支持背光补偿、强光抑制、透雾、3D数字降噪功能，保障在逆光、强光、雾霾、低照度等复杂环境下图像清晰可辨。</w:t>
            </w:r>
          </w:p>
          <w:p>
            <w:pPr>
              <w:pStyle w:val="null3"/>
              <w:jc w:val="both"/>
            </w:pPr>
            <w:r>
              <w:rPr>
                <w:rFonts w:ascii="仿宋_GB2312" w:hAnsi="仿宋_GB2312" w:cs="仿宋_GB2312" w:eastAsia="仿宋_GB2312"/>
                <w:sz w:val="18"/>
              </w:rPr>
              <w:t>8.天线增益≥30dB，支持GPS、GLONASS、BDS、GALILEO等卫星系统。</w:t>
            </w:r>
          </w:p>
          <w:p>
            <w:pPr>
              <w:pStyle w:val="null3"/>
              <w:jc w:val="both"/>
            </w:pPr>
            <w:r>
              <w:rPr>
                <w:rFonts w:ascii="仿宋_GB2312" w:hAnsi="仿宋_GB2312" w:cs="仿宋_GB2312" w:eastAsia="仿宋_GB2312"/>
                <w:sz w:val="18"/>
              </w:rPr>
              <w:t>9.巡查设备需具备满足接入现有平台的API接口，包含但不限于采集记录、病害采集信息、路产巡查信息、设备轨迹信息等。</w:t>
            </w:r>
          </w:p>
          <w:p>
            <w:pPr>
              <w:pStyle w:val="null3"/>
              <w:jc w:val="both"/>
            </w:pPr>
            <w:r>
              <w:rPr>
                <w:rFonts w:ascii="仿宋_GB2312" w:hAnsi="仿宋_GB2312" w:cs="仿宋_GB2312" w:eastAsia="仿宋_GB2312"/>
                <w:sz w:val="18"/>
              </w:rPr>
              <w:t>10.支持巡检视频、病害数据、定位信息、设备状态实时回传。</w:t>
            </w:r>
          </w:p>
          <w:p>
            <w:pPr>
              <w:pStyle w:val="null3"/>
              <w:jc w:val="both"/>
            </w:pPr>
            <w:r>
              <w:rPr>
                <w:rFonts w:ascii="仿宋_GB2312" w:hAnsi="仿宋_GB2312" w:cs="仿宋_GB2312" w:eastAsia="仿宋_GB2312"/>
                <w:sz w:val="18"/>
              </w:rPr>
              <w:t>11.手持控制台设备内存不低于8GB，存储不低于256GB，配备专用保护壳；配置通用标准充电接口，适配车载、户外多场景充电。要求可支持程序远程自动升级，无需现场操作，降低运维成本。</w:t>
            </w:r>
          </w:p>
          <w:p>
            <w:pPr>
              <w:pStyle w:val="null3"/>
              <w:jc w:val="both"/>
            </w:pPr>
            <w:r>
              <w:rPr>
                <w:rFonts w:ascii="仿宋_GB2312" w:hAnsi="仿宋_GB2312" w:cs="仿宋_GB2312" w:eastAsia="仿宋_GB2312"/>
                <w:sz w:val="18"/>
              </w:rPr>
              <w:t>12.设备采购后须按要求安装至指定位置，并完成供应设备与指定平台的连接调试等工作。</w:t>
            </w:r>
          </w:p>
          <w:p>
            <w:pPr>
              <w:pStyle w:val="null3"/>
              <w:jc w:val="both"/>
            </w:pPr>
            <w:r>
              <w:rPr>
                <w:rFonts w:ascii="仿宋_GB2312" w:hAnsi="仿宋_GB2312" w:cs="仿宋_GB2312" w:eastAsia="仿宋_GB2312"/>
                <w:sz w:val="18"/>
              </w:rPr>
              <w:t>13.</w:t>
            </w:r>
            <w:r>
              <w:rPr>
                <w:rFonts w:ascii="仿宋_GB2312" w:hAnsi="仿宋_GB2312" w:cs="仿宋_GB2312" w:eastAsia="仿宋_GB2312"/>
                <w:sz w:val="18"/>
              </w:rPr>
              <w:t>★</w:t>
            </w:r>
            <w:r>
              <w:rPr>
                <w:rFonts w:ascii="仿宋_GB2312" w:hAnsi="仿宋_GB2312" w:cs="仿宋_GB2312" w:eastAsia="仿宋_GB2312"/>
                <w:sz w:val="18"/>
              </w:rPr>
              <w:t>在设备全生命周期，供应商需具有24小时应急响应能力，确保售后、培训等业务。</w:t>
            </w:r>
          </w:p>
          <w:p>
            <w:pPr>
              <w:pStyle w:val="null3"/>
              <w:jc w:val="both"/>
            </w:pPr>
            <w:r>
              <w:rPr>
                <w:rFonts w:ascii="仿宋_GB2312" w:hAnsi="仿宋_GB2312" w:cs="仿宋_GB2312" w:eastAsia="仿宋_GB2312"/>
                <w:sz w:val="18"/>
                <w:b/>
              </w:rPr>
              <w:t>二、长续航无人机</w:t>
            </w:r>
          </w:p>
          <w:p>
            <w:pPr>
              <w:pStyle w:val="null3"/>
              <w:jc w:val="both"/>
            </w:pPr>
            <w:r>
              <w:rPr>
                <w:rFonts w:ascii="仿宋_GB2312" w:hAnsi="仿宋_GB2312" w:cs="仿宋_GB2312" w:eastAsia="仿宋_GB2312"/>
                <w:sz w:val="18"/>
              </w:rPr>
              <w:t>1.飞行器：</w:t>
            </w:r>
          </w:p>
          <w:p>
            <w:pPr>
              <w:pStyle w:val="null3"/>
              <w:jc w:val="both"/>
            </w:pPr>
            <w:r>
              <w:rPr>
                <w:rFonts w:ascii="仿宋_GB2312" w:hAnsi="仿宋_GB2312" w:cs="仿宋_GB2312" w:eastAsia="仿宋_GB2312"/>
                <w:sz w:val="18"/>
              </w:rPr>
              <w:t>1.1最大上升速度：≥6米/秒（普通挡）/≥10米/秒（运动挡）</w:t>
            </w:r>
          </w:p>
          <w:p>
            <w:pPr>
              <w:pStyle w:val="null3"/>
              <w:jc w:val="both"/>
            </w:pPr>
            <w:r>
              <w:rPr>
                <w:rFonts w:ascii="仿宋_GB2312" w:hAnsi="仿宋_GB2312" w:cs="仿宋_GB2312" w:eastAsia="仿宋_GB2312"/>
                <w:sz w:val="18"/>
              </w:rPr>
              <w:t>1.2最大下降速度：≥6米/秒（普通挡）/≥8米/秒（运动挡）</w:t>
            </w:r>
          </w:p>
          <w:p>
            <w:pPr>
              <w:pStyle w:val="null3"/>
              <w:jc w:val="both"/>
            </w:pPr>
            <w:r>
              <w:rPr>
                <w:rFonts w:ascii="仿宋_GB2312" w:hAnsi="仿宋_GB2312" w:cs="仿宋_GB2312" w:eastAsia="仿宋_GB2312"/>
                <w:sz w:val="18"/>
              </w:rPr>
              <w:t>1.3最大水平飞行速度：</w:t>
            </w:r>
          </w:p>
          <w:p>
            <w:pPr>
              <w:pStyle w:val="null3"/>
              <w:jc w:val="both"/>
            </w:pPr>
            <w:r>
              <w:rPr>
                <w:rFonts w:ascii="仿宋_GB2312" w:hAnsi="仿宋_GB2312" w:cs="仿宋_GB2312" w:eastAsia="仿宋_GB2312"/>
                <w:sz w:val="18"/>
              </w:rPr>
              <w:t>★普通挡（全向避障）：前飞≥15米/秒，后飞≥12米/秒，侧飞≥10米/秒</w:t>
            </w:r>
          </w:p>
          <w:p>
            <w:pPr>
              <w:pStyle w:val="null3"/>
              <w:jc w:val="both"/>
            </w:pPr>
            <w:r>
              <w:rPr>
                <w:rFonts w:ascii="仿宋_GB2312" w:hAnsi="仿宋_GB2312" w:cs="仿宋_GB2312" w:eastAsia="仿宋_GB2312"/>
                <w:sz w:val="18"/>
              </w:rPr>
              <w:t>★运动挡：前飞≥21米/秒，后飞≥19米/秒，侧飞≥15米/秒</w:t>
            </w:r>
          </w:p>
          <w:p>
            <w:pPr>
              <w:pStyle w:val="null3"/>
              <w:jc w:val="both"/>
            </w:pPr>
            <w:r>
              <w:rPr>
                <w:rFonts w:ascii="仿宋_GB2312" w:hAnsi="仿宋_GB2312" w:cs="仿宋_GB2312" w:eastAsia="仿宋_GB2312"/>
                <w:sz w:val="18"/>
              </w:rPr>
              <w:t>★最大抗风能力：≥12米/秒（作业与起降阶段均适用）</w:t>
            </w:r>
          </w:p>
          <w:p>
            <w:pPr>
              <w:pStyle w:val="null3"/>
              <w:jc w:val="both"/>
            </w:pPr>
            <w:r>
              <w:rPr>
                <w:rFonts w:ascii="仿宋_GB2312" w:hAnsi="仿宋_GB2312" w:cs="仿宋_GB2312" w:eastAsia="仿宋_GB2312"/>
                <w:sz w:val="18"/>
              </w:rPr>
              <w:t>2.机巢及机场:</w:t>
            </w:r>
          </w:p>
          <w:p>
            <w:pPr>
              <w:pStyle w:val="null3"/>
              <w:jc w:val="both"/>
            </w:pPr>
            <w:r>
              <w:rPr>
                <w:rFonts w:ascii="仿宋_GB2312" w:hAnsi="仿宋_GB2312" w:cs="仿宋_GB2312" w:eastAsia="仿宋_GB2312"/>
                <w:sz w:val="18"/>
              </w:rPr>
              <w:t>2.1</w:t>
            </w:r>
            <w:r>
              <w:rPr>
                <w:rFonts w:ascii="仿宋_GB2312" w:hAnsi="仿宋_GB2312" w:cs="仿宋_GB2312" w:eastAsia="仿宋_GB2312"/>
                <w:sz w:val="18"/>
              </w:rPr>
              <w:t>机巢特性：</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1.1.整机重量≤55kg</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1.2.★闭合状态下长≤900mm,宽≤900mm，高≤900mm。</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1.3.★工作环境温度：机场及无人机的设备工作温度范围都至少为-20°C至50°C</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1.4.防护等级：不低于IP56</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1.5.最大允许降落风速：设备最大允许降落风速不小于6级</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1.6.最大运行海拔高度：设备最大运行海拔高度不小于4500米</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1.7.RTK基站卫星接收频率：设备所含RTK基站可同时接收GPS、GLONASS、BEIDOU、GALILEO四种卫星信号。</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1.8.RTK基站定位精准度-设备所含RTK基站定位精度：水平精度≤1cm+1ppm（RMS）、垂直精度≤2cm+1ppm（RMS）</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1.9.充电时间：从15%充至95%≤30分钟</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2</w:t>
            </w:r>
            <w:r>
              <w:rPr>
                <w:rFonts w:ascii="仿宋_GB2312" w:hAnsi="仿宋_GB2312" w:cs="仿宋_GB2312" w:eastAsia="仿宋_GB2312"/>
                <w:sz w:val="18"/>
              </w:rPr>
              <w:t>机场功能及特性</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2.</w:t>
            </w:r>
            <w:r>
              <w:rPr>
                <w:rFonts w:ascii="仿宋_GB2312" w:hAnsi="仿宋_GB2312" w:cs="仿宋_GB2312" w:eastAsia="仿宋_GB2312"/>
                <w:sz w:val="18"/>
              </w:rPr>
              <w:t>1★快速起飞：下达任务后，起飞时间≤15秒</w:t>
            </w:r>
          </w:p>
          <w:p>
            <w:pPr>
              <w:pStyle w:val="null3"/>
              <w:jc w:val="both"/>
            </w:pPr>
            <w:r>
              <w:rPr>
                <w:rFonts w:ascii="仿宋_GB2312" w:hAnsi="仿宋_GB2312" w:cs="仿宋_GB2312" w:eastAsia="仿宋_GB2312"/>
                <w:sz w:val="18"/>
              </w:rPr>
              <w:t>2.2.</w:t>
            </w:r>
            <w:r>
              <w:rPr>
                <w:rFonts w:ascii="仿宋_GB2312" w:hAnsi="仿宋_GB2312" w:cs="仿宋_GB2312" w:eastAsia="仿宋_GB2312"/>
                <w:sz w:val="18"/>
              </w:rPr>
              <w:t>2</w:t>
            </w:r>
            <w:r>
              <w:rPr>
                <w:rFonts w:ascii="仿宋_GB2312" w:hAnsi="仿宋_GB2312" w:cs="仿宋_GB2312" w:eastAsia="仿宋_GB2312"/>
                <w:sz w:val="18"/>
              </w:rPr>
              <w:t>边飞边传：在执行自动任务时，应支持实时的查看采集的媒体数据</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2.</w:t>
            </w:r>
            <w:r>
              <w:rPr>
                <w:rFonts w:ascii="仿宋_GB2312" w:hAnsi="仿宋_GB2312" w:cs="仿宋_GB2312" w:eastAsia="仿宋_GB2312"/>
                <w:sz w:val="18"/>
              </w:rPr>
              <w:t>3.支持自动告警：应支持集成告警系统，当检测到异常目标时，可以自动发送告警信息</w:t>
            </w:r>
          </w:p>
          <w:p>
            <w:pPr>
              <w:pStyle w:val="null3"/>
              <w:jc w:val="both"/>
            </w:pPr>
            <w:r>
              <w:rPr>
                <w:rFonts w:ascii="仿宋_GB2312" w:hAnsi="仿宋_GB2312" w:cs="仿宋_GB2312" w:eastAsia="仿宋_GB2312"/>
                <w:sz w:val="18"/>
              </w:rPr>
              <w:t>3.图传</w:t>
            </w:r>
            <w:r>
              <w:rPr>
                <w:rFonts w:ascii="仿宋_GB2312" w:hAnsi="仿宋_GB2312" w:cs="仿宋_GB2312" w:eastAsia="仿宋_GB2312"/>
                <w:sz w:val="18"/>
              </w:rPr>
              <w:t>：</w:t>
            </w:r>
            <w:r>
              <w:rPr>
                <w:rFonts w:ascii="仿宋_GB2312" w:hAnsi="仿宋_GB2312" w:cs="仿宋_GB2312" w:eastAsia="仿宋_GB2312"/>
                <w:sz w:val="18"/>
              </w:rPr>
              <w:t>FCC：≥25公里；CE/SRRC/MIC：≥12公里</w:t>
            </w:r>
          </w:p>
          <w:p>
            <w:pPr>
              <w:pStyle w:val="null3"/>
              <w:jc w:val="both"/>
            </w:pPr>
            <w:r>
              <w:rPr>
                <w:rFonts w:ascii="仿宋_GB2312" w:hAnsi="仿宋_GB2312" w:cs="仿宋_GB2312" w:eastAsia="仿宋_GB2312"/>
                <w:sz w:val="18"/>
              </w:rPr>
              <w:t>4.无人机满电状态下，能连续飞行不低于30分钟（无风环境），支持机载4G/5G模块，前端采集视频分辨率不低于1080P，视频传输或下载素材传输速度不低于20MB/秒。</w:t>
            </w:r>
          </w:p>
          <w:p>
            <w:pPr>
              <w:pStyle w:val="null3"/>
              <w:jc w:val="both"/>
            </w:pPr>
            <w:r>
              <w:rPr>
                <w:rFonts w:ascii="仿宋_GB2312" w:hAnsi="仿宋_GB2312" w:cs="仿宋_GB2312" w:eastAsia="仿宋_GB2312"/>
                <w:sz w:val="18"/>
              </w:rPr>
              <w:t>5.多维度数据采集可执行日常飞行任务，飞行控制半径≥5公里，需搭载高清变焦相机、热成像传感器等任务载荷，实现对地物特征的精细捕捉。</w:t>
            </w:r>
          </w:p>
          <w:p>
            <w:pPr>
              <w:pStyle w:val="null3"/>
              <w:jc w:val="both"/>
            </w:pPr>
            <w:r>
              <w:rPr>
                <w:rFonts w:ascii="仿宋_GB2312" w:hAnsi="仿宋_GB2312" w:cs="仿宋_GB2312" w:eastAsia="仿宋_GB2312"/>
                <w:sz w:val="18"/>
              </w:rPr>
              <w:t>6.★设备采购后须按要求安装至指定位置，并完成供应设备与指定平台的连接调试等工作。</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在设备全生命周期，供应商需具有</w:t>
            </w:r>
            <w:r>
              <w:rPr>
                <w:rFonts w:ascii="仿宋_GB2312" w:hAnsi="仿宋_GB2312" w:cs="仿宋_GB2312" w:eastAsia="仿宋_GB2312"/>
                <w:sz w:val="18"/>
              </w:rPr>
              <w:t>24小时应急响应能力，确保售后、培训等业务。</w:t>
            </w:r>
          </w:p>
          <w:p>
            <w:pPr>
              <w:pStyle w:val="null3"/>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标的名称：高空作业车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1.▲整车总长≤6000mm</w:t>
            </w:r>
          </w:p>
          <w:p>
            <w:pPr>
              <w:pStyle w:val="null3"/>
              <w:jc w:val="both"/>
            </w:pPr>
            <w:r>
              <w:rPr>
                <w:rFonts w:ascii="仿宋_GB2312" w:hAnsi="仿宋_GB2312" w:cs="仿宋_GB2312" w:eastAsia="仿宋_GB2312"/>
              </w:rPr>
              <w:t>2.底盘发动机功率≥100kw，国六排放标准</w:t>
            </w:r>
          </w:p>
          <w:p>
            <w:pPr>
              <w:pStyle w:val="null3"/>
              <w:jc w:val="both"/>
            </w:pPr>
            <w:r>
              <w:rPr>
                <w:rFonts w:ascii="仿宋_GB2312" w:hAnsi="仿宋_GB2312" w:cs="仿宋_GB2312" w:eastAsia="仿宋_GB2312"/>
              </w:rPr>
              <w:t>3.驾驶室乘坐人数≥2人，配备空调</w:t>
            </w:r>
          </w:p>
          <w:p>
            <w:pPr>
              <w:pStyle w:val="null3"/>
              <w:jc w:val="both"/>
            </w:pPr>
            <w:r>
              <w:rPr>
                <w:rFonts w:ascii="仿宋_GB2312" w:hAnsi="仿宋_GB2312" w:cs="仿宋_GB2312" w:eastAsia="仿宋_GB2312"/>
              </w:rPr>
              <w:t>4.▲总质量≤4500kg</w:t>
            </w:r>
          </w:p>
          <w:p>
            <w:pPr>
              <w:pStyle w:val="null3"/>
              <w:jc w:val="both"/>
            </w:pPr>
            <w:r>
              <w:rPr>
                <w:rFonts w:ascii="仿宋_GB2312" w:hAnsi="仿宋_GB2312" w:cs="仿宋_GB2312" w:eastAsia="仿宋_GB2312"/>
              </w:rPr>
              <w:t>5.★最大作业高度≥26m</w:t>
            </w:r>
          </w:p>
          <w:p>
            <w:pPr>
              <w:pStyle w:val="null3"/>
              <w:jc w:val="both"/>
            </w:pPr>
            <w:r>
              <w:rPr>
                <w:rFonts w:ascii="仿宋_GB2312" w:hAnsi="仿宋_GB2312" w:cs="仿宋_GB2312" w:eastAsia="仿宋_GB2312"/>
              </w:rPr>
              <w:t>6.★最大作业幅度≥17m</w:t>
            </w:r>
          </w:p>
          <w:p>
            <w:pPr>
              <w:pStyle w:val="null3"/>
              <w:jc w:val="both"/>
            </w:pPr>
            <w:r>
              <w:rPr>
                <w:rFonts w:ascii="仿宋_GB2312" w:hAnsi="仿宋_GB2312" w:cs="仿宋_GB2312" w:eastAsia="仿宋_GB2312"/>
              </w:rPr>
              <w:t>7.工作平台额定载荷≥200kg</w:t>
            </w:r>
          </w:p>
          <w:p>
            <w:pPr>
              <w:pStyle w:val="null3"/>
              <w:jc w:val="both"/>
            </w:pPr>
            <w:r>
              <w:rPr>
                <w:rFonts w:ascii="仿宋_GB2312" w:hAnsi="仿宋_GB2312" w:cs="仿宋_GB2312" w:eastAsia="仿宋_GB2312"/>
              </w:rPr>
              <w:t>8.转台回转角度：360°连续回转</w:t>
            </w:r>
          </w:p>
          <w:p>
            <w:pPr>
              <w:pStyle w:val="null3"/>
              <w:jc w:val="both"/>
            </w:pPr>
            <w:r>
              <w:rPr>
                <w:rFonts w:ascii="仿宋_GB2312" w:hAnsi="仿宋_GB2312" w:cs="仿宋_GB2312" w:eastAsia="仿宋_GB2312"/>
              </w:rPr>
              <w:t>9.工作平台尺寸≥1.7m×0.6m</w:t>
            </w:r>
          </w:p>
          <w:p>
            <w:pPr>
              <w:pStyle w:val="null3"/>
              <w:jc w:val="both"/>
            </w:pPr>
            <w:r>
              <w:rPr>
                <w:rFonts w:ascii="仿宋_GB2312" w:hAnsi="仿宋_GB2312" w:cs="仿宋_GB2312" w:eastAsia="仿宋_GB2312"/>
              </w:rPr>
              <w:t>10.负载敏感比例须保障控制精准、微动性好，减轻动作冲击</w:t>
            </w:r>
          </w:p>
          <w:p>
            <w:pPr>
              <w:pStyle w:val="null3"/>
              <w:jc w:val="both"/>
            </w:pPr>
            <w:r>
              <w:rPr>
                <w:rFonts w:ascii="仿宋_GB2312" w:hAnsi="仿宋_GB2312" w:cs="仿宋_GB2312" w:eastAsia="仿宋_GB2312"/>
              </w:rPr>
              <w:t>11.臂架须采用高强度结构设计，材质应采用高强度钢，经久耐用</w:t>
            </w:r>
          </w:p>
          <w:p>
            <w:pPr>
              <w:pStyle w:val="null3"/>
              <w:jc w:val="both"/>
            </w:pPr>
            <w:r>
              <w:rPr>
                <w:rFonts w:ascii="仿宋_GB2312" w:hAnsi="仿宋_GB2312" w:cs="仿宋_GB2312" w:eastAsia="仿宋_GB2312"/>
              </w:rPr>
              <w:t>12.需满足适配狭小、不规则场地作业需求</w:t>
            </w:r>
          </w:p>
          <w:p>
            <w:pPr>
              <w:pStyle w:val="null3"/>
              <w:jc w:val="both"/>
            </w:pPr>
            <w:r>
              <w:rPr>
                <w:rFonts w:ascii="仿宋_GB2312" w:hAnsi="仿宋_GB2312" w:cs="仿宋_GB2312" w:eastAsia="仿宋_GB2312"/>
              </w:rPr>
              <w:t>13.★须提供国家工信部的《车辆公告》、《车辆购置税免征公告》文件。</w:t>
            </w:r>
          </w:p>
          <w:p>
            <w:pPr>
              <w:pStyle w:val="null3"/>
              <w:jc w:val="both"/>
            </w:pPr>
            <w:r>
              <w:rPr>
                <w:rFonts w:ascii="仿宋_GB2312" w:hAnsi="仿宋_GB2312" w:cs="仿宋_GB2312" w:eastAsia="仿宋_GB2312"/>
              </w:rPr>
              <w:t>14.★在设备全生命周期，供应商须具有24小时应急响应能力，确保售后、培训等业务。</w:t>
            </w:r>
          </w:p>
        </w:tc>
      </w:tr>
    </w:tbl>
    <w:p>
      <w:pPr>
        <w:pStyle w:val="null3"/>
      </w:pPr>
      <w:r>
        <w:rPr>
          <w:rFonts w:ascii="仿宋_GB2312" w:hAnsi="仿宋_GB2312" w:cs="仿宋_GB2312" w:eastAsia="仿宋_GB2312"/>
        </w:rPr>
        <w:t>标的名称：桥梁检测车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1.作业平台结构形式为桁架式</w:t>
            </w:r>
            <w:r>
              <w:br/>
            </w:r>
            <w:r>
              <w:rPr>
                <w:rFonts w:ascii="仿宋_GB2312" w:hAnsi="仿宋_GB2312" w:cs="仿宋_GB2312" w:eastAsia="仿宋_GB2312"/>
              </w:rPr>
              <w:t xml:space="preserve"> 2.▲发动机功率≥235KW</w:t>
            </w:r>
            <w:r>
              <w:br/>
            </w:r>
            <w:r>
              <w:rPr>
                <w:rFonts w:ascii="仿宋_GB2312" w:hAnsi="仿宋_GB2312" w:cs="仿宋_GB2312" w:eastAsia="仿宋_GB2312"/>
              </w:rPr>
              <w:t xml:space="preserve"> 3.排放标准：国六</w:t>
            </w:r>
            <w:r>
              <w:br/>
            </w:r>
            <w:r>
              <w:rPr>
                <w:rFonts w:ascii="仿宋_GB2312" w:hAnsi="仿宋_GB2312" w:cs="仿宋_GB2312" w:eastAsia="仿宋_GB2312"/>
              </w:rPr>
              <w:t xml:space="preserve"> 4.★总质量≥25000kg</w:t>
            </w:r>
            <w:r>
              <w:br/>
            </w:r>
            <w:r>
              <w:rPr>
                <w:rFonts w:ascii="仿宋_GB2312" w:hAnsi="仿宋_GB2312" w:cs="仿宋_GB2312" w:eastAsia="仿宋_GB2312"/>
              </w:rPr>
              <w:t xml:space="preserve"> 5.工作平台宽度≥1m</w:t>
            </w:r>
            <w:r>
              <w:br/>
            </w:r>
            <w:r>
              <w:rPr>
                <w:rFonts w:ascii="仿宋_GB2312" w:hAnsi="仿宋_GB2312" w:cs="仿宋_GB2312" w:eastAsia="仿宋_GB2312"/>
              </w:rPr>
              <w:t xml:space="preserve"> 6.★作业平台均布最大载荷≥800kg</w:t>
            </w:r>
            <w:r>
              <w:br/>
            </w:r>
            <w:r>
              <w:rPr>
                <w:rFonts w:ascii="仿宋_GB2312" w:hAnsi="仿宋_GB2312" w:cs="仿宋_GB2312" w:eastAsia="仿宋_GB2312"/>
              </w:rPr>
              <w:t xml:space="preserve"> 7.工作平台前端最大载重量≥400kg</w:t>
            </w:r>
            <w:r>
              <w:br/>
            </w:r>
            <w:r>
              <w:rPr>
                <w:rFonts w:ascii="仿宋_GB2312" w:hAnsi="仿宋_GB2312" w:cs="仿宋_GB2312" w:eastAsia="仿宋_GB2312"/>
              </w:rPr>
              <w:t xml:space="preserve"> 8.★极限跨越人行道宽度≥3.5m</w:t>
            </w:r>
            <w:r>
              <w:br/>
            </w:r>
            <w:r>
              <w:rPr>
                <w:rFonts w:ascii="仿宋_GB2312" w:hAnsi="仿宋_GB2312" w:cs="仿宋_GB2312" w:eastAsia="仿宋_GB2312"/>
              </w:rPr>
              <w:t xml:space="preserve"> 9.★极限跨越护栏高度≥5.3m</w:t>
            </w:r>
            <w:r>
              <w:br/>
            </w:r>
            <w:r>
              <w:rPr>
                <w:rFonts w:ascii="仿宋_GB2312" w:hAnsi="仿宋_GB2312" w:cs="仿宋_GB2312" w:eastAsia="仿宋_GB2312"/>
              </w:rPr>
              <w:t xml:space="preserve"> 10.★工作平台桥下最大水平作业幅度≥23m</w:t>
            </w:r>
            <w:r>
              <w:br/>
            </w:r>
            <w:r>
              <w:rPr>
                <w:rFonts w:ascii="仿宋_GB2312" w:hAnsi="仿宋_GB2312" w:cs="仿宋_GB2312" w:eastAsia="仿宋_GB2312"/>
              </w:rPr>
              <w:t xml:space="preserve"> 11.▲工作平台桥下最大垂直作业深度≥8m</w:t>
            </w:r>
            <w:r>
              <w:br/>
            </w:r>
            <w:r>
              <w:rPr>
                <w:rFonts w:ascii="仿宋_GB2312" w:hAnsi="仿宋_GB2312" w:cs="仿宋_GB2312" w:eastAsia="仿宋_GB2312"/>
              </w:rPr>
              <w:t xml:space="preserve"> 12.▲整车公告尺寸≤12900×2600×4000mm</w:t>
            </w:r>
            <w:r>
              <w:br/>
            </w:r>
            <w:r>
              <w:rPr>
                <w:rFonts w:ascii="仿宋_GB2312" w:hAnsi="仿宋_GB2312" w:cs="仿宋_GB2312" w:eastAsia="仿宋_GB2312"/>
              </w:rPr>
              <w:t xml:space="preserve"> 13.作业时使用分动箱驱动，可以在横坡≥3%，纵坡≥5%的大纵坡环境和潮湿路面上稳定行走作业，不会出现打滑和溜坡</w:t>
            </w:r>
            <w:r>
              <w:br/>
            </w:r>
            <w:r>
              <w:rPr>
                <w:rFonts w:ascii="仿宋_GB2312" w:hAnsi="仿宋_GB2312" w:cs="仿宋_GB2312" w:eastAsia="仿宋_GB2312"/>
              </w:rPr>
              <w:t xml:space="preserve"> 14.须具有双重联动制动等控制系统保证设备安全可靠</w:t>
            </w:r>
            <w:r>
              <w:br/>
            </w:r>
            <w:r>
              <w:rPr>
                <w:rFonts w:ascii="仿宋_GB2312" w:hAnsi="仿宋_GB2312" w:cs="仿宋_GB2312" w:eastAsia="仿宋_GB2312"/>
              </w:rPr>
              <w:t xml:space="preserve"> 15.★须提供国家工信部的《车辆公告》、《车辆购置税免征公告》文件</w:t>
            </w:r>
            <w:r>
              <w:br/>
            </w:r>
            <w:r>
              <w:rPr>
                <w:rFonts w:ascii="仿宋_GB2312" w:hAnsi="仿宋_GB2312" w:cs="仿宋_GB2312" w:eastAsia="仿宋_GB2312"/>
              </w:rPr>
              <w:t xml:space="preserve"> 16.★在设备全生命周期，供应商须具有24小时应急响应能力，确保售后、培训等业务</w:t>
            </w:r>
          </w:p>
        </w:tc>
      </w:tr>
    </w:tbl>
    <w:p>
      <w:pPr>
        <w:pStyle w:val="null3"/>
      </w:pPr>
      <w:r>
        <w:rPr>
          <w:rFonts w:ascii="仿宋_GB2312" w:hAnsi="仿宋_GB2312" w:cs="仿宋_GB2312" w:eastAsia="仿宋_GB2312"/>
        </w:rPr>
        <w:t>标的名称：长臂挖掘机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1.★工作质量≥55000kg</w:t>
            </w:r>
          </w:p>
          <w:p>
            <w:pPr>
              <w:pStyle w:val="null3"/>
              <w:jc w:val="both"/>
            </w:pPr>
            <w:r>
              <w:rPr>
                <w:rFonts w:ascii="仿宋_GB2312" w:hAnsi="仿宋_GB2312" w:cs="仿宋_GB2312" w:eastAsia="仿宋_GB2312"/>
                <w:sz w:val="18"/>
              </w:rPr>
              <w:t>2.斗容≥0.45m³</w:t>
            </w:r>
          </w:p>
          <w:p>
            <w:pPr>
              <w:pStyle w:val="null3"/>
              <w:jc w:val="both"/>
            </w:pPr>
            <w:r>
              <w:rPr>
                <w:rFonts w:ascii="仿宋_GB2312" w:hAnsi="仿宋_GB2312" w:cs="仿宋_GB2312" w:eastAsia="仿宋_GB2312"/>
                <w:sz w:val="18"/>
              </w:rPr>
              <w:t>3.★额定功率≥320kw</w:t>
            </w:r>
          </w:p>
          <w:p>
            <w:pPr>
              <w:pStyle w:val="null3"/>
              <w:jc w:val="both"/>
            </w:pPr>
            <w:r>
              <w:rPr>
                <w:rFonts w:ascii="仿宋_GB2312" w:hAnsi="仿宋_GB2312" w:cs="仿宋_GB2312" w:eastAsia="仿宋_GB2312"/>
                <w:sz w:val="18"/>
              </w:rPr>
              <w:t>4.排量≥11.5L</w:t>
            </w:r>
          </w:p>
          <w:p>
            <w:pPr>
              <w:pStyle w:val="null3"/>
              <w:jc w:val="both"/>
            </w:pPr>
            <w:r>
              <w:rPr>
                <w:rFonts w:ascii="仿宋_GB2312" w:hAnsi="仿宋_GB2312" w:cs="仿宋_GB2312" w:eastAsia="仿宋_GB2312"/>
                <w:sz w:val="18"/>
              </w:rPr>
              <w:t>5.排放标准：国四及国四以上排放</w:t>
            </w:r>
          </w:p>
          <w:p>
            <w:pPr>
              <w:pStyle w:val="null3"/>
              <w:jc w:val="both"/>
            </w:pPr>
            <w:r>
              <w:rPr>
                <w:rFonts w:ascii="仿宋_GB2312" w:hAnsi="仿宋_GB2312" w:cs="仿宋_GB2312" w:eastAsia="仿宋_GB2312"/>
                <w:sz w:val="18"/>
              </w:rPr>
              <w:t>6.★挖掘距离≥26m</w:t>
            </w:r>
          </w:p>
          <w:p>
            <w:pPr>
              <w:pStyle w:val="null3"/>
            </w:pPr>
            <w:r>
              <w:rPr>
                <w:rFonts w:ascii="仿宋_GB2312" w:hAnsi="仿宋_GB2312" w:cs="仿宋_GB2312" w:eastAsia="仿宋_GB2312"/>
                <w:sz w:val="18"/>
              </w:rPr>
              <w:t>7.★在设备全生命周期，供应商需具有24小时应急响应能力，确保售后、培训等业务。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合同签订后50个工作日内完成交货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进度款，交货完成并经验收合格且供应商开具全额发票后，达到付款条件起30个工作日内，支付合同总金额的100.0%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的质量技术标准按国家法律法规规定的合格标准、招标文件要求的技术标准执行。由甲方和乙方共同对项目整体进行验收。其内容包括确认产品的产地、规格、型号和数量，对其产品技术指标、性能参数是否达到现行国家有关验收规范“合格”标准进行逐项检查。 （2）货物应有产品使用说明书、质量保修卡、随车维修工具清单、其它合格及证明文件、维修保养手册等和其它应具有的单证。 （3）质量符合国家法律法规规定的合格标准、招标文件、投标文件的要求。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（1）乙方从验收合格之日起，提供整机免费保修，保证产品为全新原厂设备。在保修期内，所有服务及配件全部免费，保修期外，能更及时地为用户提供备品备件。（2）质保期：1年。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（一）按《政府采购法》、《中华人民共和国民法典》中的相关条款执行。 （二）未按合同要求提供货物、质保服务或质量不能满足招标文件技术要求，在约定的条件下，乙方必须无条件更换，提高技术，完善质量，提供质保服务，否则，甲方有权解除合同，解除合同书面通知书到达乙方之日视 合同已解除，并按以下两种方式追究乙方的违约责任： （1）乙方赔偿甲方解除合同的全部损失（包括但不限于重新采购产生的费用、合同未履行导致设备不能按规划交付使用可能产生的租赁费用及其它由此造成的甲方对第三方的违约损失）； （2）乙方支付甲方违约金，违约金计算方法：以合同总价为基数，支付甲方合同总价的30%为违约金，同时，对乙方的违约行为报监管机构进行相应的处罚。 合同争议解决的方式： 本合同在履行过程中发生的争议，由甲、乙双方当事人协商解决，协商不成的依法向甲方所在地人民法院起诉，按合同约定。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3.5.1本项目非专门面向中小企业采购。若中标人为中小企业时（所投产品全部为中小企业生产时），付款方式参照《陕西省财政厅关于进一步落实政府采购支持中小企业相关政策的通知》（陕财办采〔2023〕3号）执行。 3.5.2本项目采购活动执行下列政府采购政策（具体办法详见招标文件）：（1）《国务院办公厅关于建立政府强制采购节能产品制度的通知》（国办发〔2007〕51号）；（2）《关于印发环境标志产品政府采购品目清单的通知》（财库〔2019〕18号）；（3）《关于印发节能产品政府采购品目清单的通知》（财库〔2019〕19号）；（4）《财政部 司法部关于政府采购支持监狱企业发展有关问题的通知》（财库〔2014〕68号）；（5）《关于促进残疾人就业政府采购政策的通知》（财库〔2017〕141号）；（6）《关于调整优化节能产品、环境标志产品政府采购执行机制的通知》（财库〔2019〕9号）；（7）《关于运用政府采购政策支持乡村产业振兴的通知》（财库〔2021〕19号）；（8）《政府采购促进中小企业发展管理办法》（财库〔2020〕46号）；（9）《陕西省财政厅关于印发&lt;陕西省中小企业政府采购信用融资办法&gt;的通知》（陕财办采〔2018〕23 号）；（10）陕西省财政厅《关于进一步加强政府绿色采购有关问题的通知》（陕财办采〔2021〕29号）； （11）《关于进一步加大政府采购支持中小企业力度的通知》（财库〔2022〕19号）；（12）《关于扩大政府采购支持绿色建材促进建筑品质提升政策实施范围的通知》（财库〔2022〕35号）; （13）其他需执行的政府采购政策。 3.5.3中标人在中标结果发布后3个工作日内向代理机构提交纸质版投标文件以便于存档，投标文件正本1份，副本2份，电子版文件2份（以U盘为载体）。纸质投标文件均须A4纸打印，分别各自装订成册。线下递交投标文件地点：陕西省渭南市临渭区新洲时代广场A座8楼。 如投标文件中融资相关内容与新政策要求有出入，按照最新要求执行。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关于符合本国产品标准的声明函</w:t>
            </w:r>
          </w:p>
        </w:tc>
        <w:tc>
          <w:tcPr>
            <w:tcW w:type="dxa" w:w="3322"/>
          </w:tcPr>
          <w:p>
            <w:pPr>
              <w:pStyle w:val="null3"/>
            </w:pPr>
            <w:r>
              <w:rPr>
                <w:rFonts w:ascii="仿宋_GB2312" w:hAnsi="仿宋_GB2312" w:cs="仿宋_GB2312" w:eastAsia="仿宋_GB2312"/>
              </w:rPr>
              <w:t>由供应商根据项目需求提供说明材料或者声明函，加盖公章</w:t>
            </w:r>
          </w:p>
        </w:tc>
        <w:tc>
          <w:tcPr>
            <w:tcW w:type="dxa" w:w="1661"/>
          </w:tcPr>
          <w:p>
            <w:pPr>
              <w:pStyle w:val="null3"/>
            </w:pPr>
            <w:r>
              <w:rPr>
                <w:rFonts w:ascii="仿宋_GB2312" w:hAnsi="仿宋_GB2312" w:cs="仿宋_GB2312" w:eastAsia="仿宋_GB2312"/>
              </w:rPr>
              <w:t>开标一览表 产品技术参数表 本国产品说明 关于符合本国产品标准的声明函 标的清单 中国境内生产的组件成本核算基本规则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提供2024年度或2025年度经审计的财务报告（成立时间至提交投标文件截止时间不足一年的可提供成立后任意时段的资产负债表、利润表），或提交开标前六个月内银行出具的资信证明，或信用担保机构出具的投标担保函；其他组织和自然人提供银行出具的资信证明或财务报表。 （3）税收缴纳证明：提供投标截止之日前近六个月内至少一个月的纳税证明或完税证明（增值税，印花税，城市维护建设费，企业所得税等一种或多种税种），依法免税的单位应提供相关证明材料； （4）社会保障资金缴纳证明：提供投标截止之日前近六个月内至少一个月的社会保障资金缴存单据或社保机构开具的社会保险参保缴费情况证明，依法不需要缴纳社会保障资金的单位应提供相关证明材料； （5）提供具有履行合同所必需的设备和专业技术能力的承诺； （6）参加政府采购活动前3年内在经营活动中没有重大违法记录的书面声明；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 （8）非法定代表人参加投标的，须提供法定代表人委托授权书、授权代表身份证、授权代表提供在投标单位缴纳的社保记录（近3个月内任意一个月）；法定代表人参加投标时,只需提供法定代表人身份证。 （9）本项目不接受联合体投标。 （10）具备法律、行政法规规定的其他条件(由供应商根据项目需求提供说明材料或者承诺)。</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投标单位与其他投标单位无交叉控股股东、无交叉兼任高级管理人员及涉嫌联合围标、串标行为，无采购单位和招标代理机构职工在本单位兼职的情况，不向采购单位和代理机构相关人员输送利益等行贿行为，一旦中标必须坚守诚信、认真履约等提供书面声明并加盖公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投标文件的完整性审查</w:t>
            </w:r>
          </w:p>
        </w:tc>
        <w:tc>
          <w:tcPr>
            <w:tcW w:type="dxa" w:w="3322"/>
          </w:tcPr>
          <w:p>
            <w:pPr>
              <w:pStyle w:val="null3"/>
            </w:pPr>
            <w:r>
              <w:rPr>
                <w:rFonts w:ascii="仿宋_GB2312" w:hAnsi="仿宋_GB2312" w:cs="仿宋_GB2312" w:eastAsia="仿宋_GB2312"/>
              </w:rPr>
              <w:t>投标文件是否按照招标文件要求的格式编写</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投标文件的有效性审查</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投标报价是否超过采购预算（或最高限价）；投标有效期是否符合招标文件的要求；是否满足招标文件其他要求</w:t>
            </w:r>
          </w:p>
        </w:tc>
        <w:tc>
          <w:tcPr>
            <w:tcW w:type="dxa" w:w="1661"/>
          </w:tcPr>
          <w:p>
            <w:pPr>
              <w:pStyle w:val="null3"/>
            </w:pPr>
            <w:r>
              <w:rPr>
                <w:rFonts w:ascii="仿宋_GB2312" w:hAnsi="仿宋_GB2312" w:cs="仿宋_GB2312" w:eastAsia="仿宋_GB2312"/>
              </w:rPr>
              <w:t>开标一览表 投标函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投标人对所投产品技术参数逐条进行明确响应， 并提供相关证明材料。其中：▲技术指标响应每有一项技术指标不满足招标文件技术参数要求扣1.5分；无特殊符号标识的技术指标响应每有一项技术指标不满足招标文件技术参数要求扣0.45分扣完为止。 备注：1、证明材料要求：▲技术指标证明材料以包括但不限于检测报告、产品彩页、官网截图、用戶使用说明书、产品介绍等技术支持性文件资料作为评审依据。 2、“一项 ”根据技术参数指标序号， 每负偏离一项按要求扣除相应分数； 3、未按要求提供证明材料视为负偏离。 注：投标人需对所提供内容的真实性负责。如有虚假， 将依法承担相应责任。</w:t>
            </w:r>
          </w:p>
        </w:tc>
        <w:tc>
          <w:tcPr>
            <w:tcW w:type="dxa" w:w="831"/>
          </w:tcPr>
          <w:p>
            <w:pPr>
              <w:pStyle w:val="null3"/>
              <w:jc w:val="right"/>
            </w:pPr>
            <w:r>
              <w:rPr>
                <w:rFonts w:ascii="仿宋_GB2312" w:hAnsi="仿宋_GB2312" w:cs="仿宋_GB2312" w:eastAsia="仿宋_GB2312"/>
              </w:rPr>
              <w:t>23.5000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每提供一项有效的体系认证（通过ISO9001质量管理体系认证、 ISO14001环境管理体系认证、 ISO45001职业健康安全管理体系认证）得0 .5分， 最高1 .5分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自2023年5月以来（以合同签订时间为准）， 提供①供应商所投核心产品同品牌、 同型号供货业绩的， 每提供一套完整业绩得1分，最高6分。 ②设备类似项目业绩每提供一个得1分， 最高3分。 注：1、此处业绩系指产品业绩， 不限合同签订主体。2、响应文件中提供合同扫描件或影印件、销售发票， 如合同中无法体现签订时间、产品品牌、型号等相关信息的， 须同时另附业主证明材料扫描件或影印件， 否则不得分。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结合本项目采购需求， 对投标人的培训方案①培训时间计划及培训人员安排；②培训内容设计安排；③重点难点及培训结果保障措施；④后期培训支撑服务等进行综合评审；（以序号①②③④为一项）提供完整培训方案内容齐全，描述细致得4分；每缺少一项扣1分；每有一项内容缺陷的扣0 .2分， 扣完为止。 注： 内容存在缺陷是指：①该项内容描述前后不一致；②该项内容所阐述的项目信息与本项目实际信息不一致；③该项内容引用的规定、规范错误；④该项内容阐述的方式方法明显不符合本项目实际情况；⑤该项内容描述与本项目实际情况不符；⑥该项内容套用其他项目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的项目实施方案①人员配置及分工②时间进度安排及保障方案③货源组织、运输及防护措施④安装及调试⑤货物质量保障措施。根据投标人针对上述五项内容（以序号①②③④⑤为一项）满足本项目需求的得10分；每缺少一项扣2分， 每一项存在1处内容缺陷的扣0 .5分， 扣完为止。 注： 内容存在缺陷是指：①该项内容描述前后不一致；②该项内容所阐述的项目信息与本项目实际信息不一致；③该项内容引用的规定、规范错误；④该项内容阐述的方式方法明显不符合本项目实际情况；⑤该项内容描述与本项目实际情况不符；⑥该项内容套用其他项目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结合本项目实际应用、环境等情况，对投标人的应急事故响应及处理方案①延误交货应急处理方案；②突发或紧急售后问题应急处理方案等进行综合评审；（以序号①②为一项）提供完整应急事故响应及处理方案等且内容完整， 方案先进合理的得6分， 每缺少一项的扣3分；每有一项内容缺陷的扣0 .5分， 扣完为止。 注： 内容存在缺陷是指：①该项内容描述前后不一致；②该项内容所阐述的项目信息与本项目实际信息不一致；③该项内容引用的规定、规范错误；④该项内容阐述的方式方法明显不符合本项目实际情况；⑤该项内容描述与本项目实际情况不符；⑥该项内容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所投产品质保期在满足采购文件要求的基础上，投标人应具有快速响应招标人的售后服务能力 ， 并提供完整的售后服务方案包含①具体的售后服务内容及承诺②售后回访③配件供应等方面。（以序号①②③为一项）评标委员会对以上内容进行评审，满分6分。每缺少一项的扣2分；每有一项内容缺陷的扣0 .5分，扣完为止。注：内容存在缺陷是指：①该项内容描述前后不一致；②该项内容所阐述的项目信息与本项目实际信息不一致；③该项内容引用的规定、规范错误；④该项内容阐述的方式方法明显不符合本项目实际情况；⑤该项内容描述与本项目实际情况不符；⑥该项内容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