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673AD8">
      <w:pPr>
        <w:pStyle w:val="6"/>
      </w:pPr>
      <w:r>
        <w:rPr>
          <w:rFonts w:ascii="仿宋_GB2312" w:hAnsi="仿宋_GB2312" w:eastAsia="仿宋_GB2312" w:cs="仿宋_GB2312"/>
        </w:rPr>
        <w:t>采购包1：</w:t>
      </w:r>
    </w:p>
    <w:p w14:paraId="1B8C1EE1">
      <w:pPr>
        <w:rPr>
          <w:rFonts w:hint="eastAsia" w:ascii="仿宋_GB2312" w:hAnsi="仿宋_GB2312" w:eastAsia="仿宋_GB2312" w:cs="仿宋_GB2312"/>
        </w:rPr>
      </w:pPr>
      <w:r>
        <w:rPr>
          <w:rFonts w:ascii="仿宋_GB2312" w:hAnsi="仿宋_GB2312" w:eastAsia="仿宋_GB2312" w:cs="仿宋_GB2312"/>
        </w:rPr>
        <w:t>标的名称：</w:t>
      </w:r>
      <w:r>
        <w:rPr>
          <w:rFonts w:hint="eastAsia" w:ascii="仿宋_GB2312" w:hAnsi="仿宋_GB2312" w:eastAsia="仿宋_GB2312" w:cs="仿宋_GB2312"/>
        </w:rPr>
        <w:t>高速公路监控、GIS、大屏幕投影系统运维项目</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09"/>
        <w:gridCol w:w="1073"/>
        <w:gridCol w:w="6540"/>
      </w:tblGrid>
      <w:tr w14:paraId="7F5718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1" w:type="dxa"/>
          </w:tcPr>
          <w:p w14:paraId="7B8CC329">
            <w:pPr>
              <w:pStyle w:val="6"/>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sz w:val="20"/>
                <w:szCs w:val="20"/>
              </w:rPr>
            </w:pPr>
            <w:r>
              <w:rPr>
                <w:rFonts w:hint="eastAsia" w:ascii="宋体" w:hAnsi="宋体" w:eastAsia="宋体" w:cs="宋体"/>
                <w:sz w:val="20"/>
                <w:szCs w:val="20"/>
              </w:rPr>
              <w:t xml:space="preserve"> 序号</w:t>
            </w:r>
          </w:p>
        </w:tc>
        <w:tc>
          <w:tcPr>
            <w:tcW w:w="1275" w:type="dxa"/>
          </w:tcPr>
          <w:p w14:paraId="6EC39CFE">
            <w:pPr>
              <w:pStyle w:val="6"/>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sz w:val="20"/>
                <w:szCs w:val="20"/>
              </w:rPr>
            </w:pPr>
            <w:r>
              <w:rPr>
                <w:rFonts w:hint="eastAsia" w:ascii="宋体" w:hAnsi="宋体" w:eastAsia="宋体" w:cs="宋体"/>
                <w:sz w:val="20"/>
                <w:szCs w:val="20"/>
              </w:rPr>
              <w:t xml:space="preserve"> 参数性质</w:t>
            </w:r>
          </w:p>
        </w:tc>
        <w:tc>
          <w:tcPr>
            <w:tcW w:w="5971" w:type="dxa"/>
          </w:tcPr>
          <w:p w14:paraId="42364FC5">
            <w:pPr>
              <w:pStyle w:val="6"/>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sz w:val="20"/>
                <w:szCs w:val="20"/>
              </w:rPr>
            </w:pPr>
            <w:r>
              <w:rPr>
                <w:rFonts w:hint="eastAsia" w:ascii="宋体" w:hAnsi="宋体" w:eastAsia="宋体" w:cs="宋体"/>
                <w:sz w:val="20"/>
                <w:szCs w:val="20"/>
              </w:rPr>
              <w:t xml:space="preserve"> 技术参数与性能指标</w:t>
            </w:r>
          </w:p>
        </w:tc>
      </w:tr>
      <w:tr w14:paraId="51E53E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61" w:type="dxa"/>
          </w:tcPr>
          <w:p w14:paraId="3DF65FFA">
            <w:pPr>
              <w:pStyle w:val="6"/>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w:t>
            </w:r>
          </w:p>
        </w:tc>
        <w:tc>
          <w:tcPr>
            <w:tcW w:w="1275" w:type="dxa"/>
          </w:tcPr>
          <w:p w14:paraId="36869DDE">
            <w:pPr>
              <w:pStyle w:val="6"/>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sz w:val="20"/>
                <w:szCs w:val="20"/>
              </w:rPr>
            </w:pPr>
          </w:p>
        </w:tc>
        <w:tc>
          <w:tcPr>
            <w:tcW w:w="5971" w:type="dxa"/>
          </w:tcPr>
          <w:p w14:paraId="39F6D354">
            <w:pPr>
              <w:pStyle w:val="6"/>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b/>
                <w:bCs/>
                <w:sz w:val="20"/>
                <w:szCs w:val="20"/>
                <w:lang w:eastAsia="zh-CN"/>
              </w:rPr>
            </w:pPr>
            <w:r>
              <w:rPr>
                <w:rFonts w:hint="eastAsia" w:ascii="宋体" w:hAnsi="宋体" w:eastAsia="宋体" w:cs="宋体"/>
                <w:b/>
                <w:bCs/>
                <w:sz w:val="20"/>
                <w:szCs w:val="20"/>
                <w:lang w:eastAsia="zh-CN"/>
              </w:rPr>
              <w:t>一、项目概况</w:t>
            </w:r>
          </w:p>
          <w:p w14:paraId="4FAB337D">
            <w:pPr>
              <w:pStyle w:val="6"/>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0"/>
                <w:szCs w:val="20"/>
                <w:lang w:eastAsia="zh-CN"/>
              </w:rPr>
            </w:pPr>
            <w:r>
              <w:rPr>
                <w:rFonts w:hint="eastAsia" w:ascii="宋体" w:hAnsi="宋体" w:eastAsia="宋体" w:cs="宋体"/>
                <w:sz w:val="20"/>
                <w:szCs w:val="20"/>
                <w:lang w:eastAsia="zh-CN"/>
              </w:rPr>
              <w:t>（一）基本情况</w:t>
            </w:r>
          </w:p>
          <w:p w14:paraId="337387A6">
            <w:pPr>
              <w:pStyle w:val="6"/>
              <w:keepNext w:val="0"/>
              <w:keepLines w:val="0"/>
              <w:pageBreakBefore w:val="0"/>
              <w:kinsoku/>
              <w:wordWrap/>
              <w:overflowPunct/>
              <w:topLinePunct w:val="0"/>
              <w:autoSpaceDE/>
              <w:autoSpaceDN/>
              <w:bidi w:val="0"/>
              <w:adjustRightInd/>
              <w:snapToGrid/>
              <w:spacing w:line="240" w:lineRule="auto"/>
              <w:ind w:firstLine="400" w:firstLineChars="200"/>
              <w:jc w:val="both"/>
              <w:textAlignment w:val="auto"/>
              <w:rPr>
                <w:rFonts w:hint="eastAsia" w:ascii="宋体" w:hAnsi="宋体" w:eastAsia="宋体" w:cs="宋体"/>
                <w:sz w:val="20"/>
                <w:szCs w:val="20"/>
                <w:lang w:eastAsia="zh-CN"/>
              </w:rPr>
            </w:pPr>
            <w:r>
              <w:rPr>
                <w:rFonts w:hint="eastAsia" w:ascii="宋体" w:hAnsi="宋体" w:eastAsia="宋体" w:cs="宋体"/>
                <w:sz w:val="20"/>
                <w:szCs w:val="20"/>
                <w:lang w:eastAsia="zh-CN"/>
              </w:rPr>
              <w:t>对陕西省高速公路收费中心路网运行监测系统软、硬件设施、省级视频云联网系统硬件设施及大屏幕投影系统进行有效的维护及保养，使其各系统处于良好工作状态。确保发挥其作用并稳定运行，收集、处理、显示高速公路运行信息，提高陕西省高速公路服务水平、提升高速公路网监测和应急处置能力。</w:t>
            </w:r>
          </w:p>
          <w:p w14:paraId="5971CDF8">
            <w:pPr>
              <w:pStyle w:val="6"/>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b/>
                <w:bCs/>
                <w:sz w:val="20"/>
                <w:szCs w:val="20"/>
                <w:lang w:eastAsia="zh-CN"/>
              </w:rPr>
            </w:pPr>
            <w:r>
              <w:rPr>
                <w:rFonts w:hint="eastAsia" w:ascii="宋体" w:hAnsi="宋体" w:eastAsia="宋体" w:cs="宋体"/>
                <w:b/>
                <w:bCs/>
                <w:sz w:val="20"/>
                <w:szCs w:val="20"/>
                <w:lang w:val="en-US" w:eastAsia="zh-CN"/>
              </w:rPr>
              <w:t>二、</w:t>
            </w:r>
            <w:r>
              <w:rPr>
                <w:rFonts w:hint="eastAsia" w:ascii="宋体" w:hAnsi="宋体" w:eastAsia="宋体" w:cs="宋体"/>
                <w:b/>
                <w:bCs/>
                <w:sz w:val="20"/>
                <w:szCs w:val="20"/>
                <w:lang w:eastAsia="zh-CN"/>
              </w:rPr>
              <w:t>服务内容</w:t>
            </w:r>
          </w:p>
          <w:p w14:paraId="301EFCA6">
            <w:pPr>
              <w:autoSpaceDE/>
              <w:autoSpaceDN/>
              <w:spacing w:line="240" w:lineRule="auto"/>
              <w:ind w:firstLine="400" w:firstLineChars="200"/>
              <w:jc w:val="both"/>
              <w:rPr>
                <w:rFonts w:hint="eastAsia" w:ascii="宋体" w:hAnsi="宋体" w:eastAsia="宋体" w:cs="宋体"/>
                <w:bCs/>
                <w:sz w:val="20"/>
                <w:szCs w:val="20"/>
                <w:highlight w:val="none"/>
                <w:lang w:val="en-US"/>
              </w:rPr>
            </w:pPr>
            <w:r>
              <w:rPr>
                <w:rFonts w:hint="eastAsia" w:ascii="宋体" w:hAnsi="宋体" w:eastAsia="宋体" w:cs="宋体"/>
                <w:bCs/>
                <w:sz w:val="20"/>
                <w:szCs w:val="20"/>
                <w:highlight w:val="none"/>
                <w:lang w:val="en-US"/>
              </w:rPr>
              <w:t>（一）</w:t>
            </w:r>
            <w:r>
              <w:rPr>
                <w:rFonts w:hint="eastAsia" w:ascii="宋体" w:hAnsi="宋体" w:eastAsia="宋体" w:cs="宋体"/>
                <w:bCs/>
                <w:sz w:val="20"/>
                <w:szCs w:val="20"/>
                <w:highlight w:val="none"/>
                <w:lang w:val="en-US" w:eastAsia="zh-CN"/>
              </w:rPr>
              <w:t>路网运行监测系统</w:t>
            </w:r>
            <w:r>
              <w:rPr>
                <w:rFonts w:hint="eastAsia" w:ascii="宋体" w:hAnsi="宋体" w:eastAsia="宋体" w:cs="宋体"/>
                <w:bCs/>
                <w:sz w:val="20"/>
                <w:szCs w:val="20"/>
                <w:highlight w:val="none"/>
                <w:lang w:val="en-US"/>
              </w:rPr>
              <w:t>平台软件维护</w:t>
            </w:r>
          </w:p>
          <w:p w14:paraId="5BE079DE">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1.监控软件日常维护（客户端与后台服务的检查与维护）。</w:t>
            </w:r>
          </w:p>
          <w:p w14:paraId="1524FDA4">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2.应用支撑软件日常维护（操作系统、数据库软件）。</w:t>
            </w:r>
          </w:p>
          <w:p w14:paraId="03C61B67">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3.</w:t>
            </w:r>
            <w:r>
              <w:rPr>
                <w:rFonts w:hint="eastAsia" w:ascii="宋体" w:hAnsi="宋体" w:eastAsia="宋体" w:cs="宋体"/>
                <w:sz w:val="20"/>
                <w:szCs w:val="20"/>
                <w:highlight w:val="none"/>
                <w:lang w:val="en-US" w:eastAsia="zh-CN"/>
              </w:rPr>
              <w:t>路网运行监测系统</w:t>
            </w:r>
            <w:r>
              <w:rPr>
                <w:rFonts w:hint="eastAsia" w:ascii="宋体" w:hAnsi="宋体" w:eastAsia="宋体" w:cs="宋体"/>
                <w:sz w:val="20"/>
                <w:szCs w:val="20"/>
                <w:highlight w:val="none"/>
                <w:lang w:val="en-US"/>
              </w:rPr>
              <w:t>软件数据的定期备份。</w:t>
            </w:r>
          </w:p>
          <w:p w14:paraId="69243D58">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4.重要视频数据的备份</w:t>
            </w:r>
            <w:r>
              <w:rPr>
                <w:rFonts w:hint="eastAsia" w:ascii="宋体" w:hAnsi="宋体" w:eastAsia="宋体" w:cs="宋体"/>
                <w:sz w:val="20"/>
                <w:szCs w:val="20"/>
                <w:highlight w:val="none"/>
              </w:rPr>
              <w:t>（</w:t>
            </w:r>
            <w:r>
              <w:rPr>
                <w:rFonts w:hint="eastAsia" w:ascii="宋体" w:hAnsi="宋体" w:eastAsia="宋体" w:cs="宋体"/>
                <w:sz w:val="20"/>
                <w:szCs w:val="20"/>
                <w:highlight w:val="none"/>
                <w:lang w:val="en-US"/>
              </w:rPr>
              <w:t>交通事故、自然灾害</w:t>
            </w:r>
            <w:r>
              <w:rPr>
                <w:rFonts w:hint="eastAsia" w:ascii="宋体" w:hAnsi="宋体" w:eastAsia="宋体" w:cs="宋体"/>
                <w:sz w:val="20"/>
                <w:szCs w:val="20"/>
                <w:highlight w:val="none"/>
              </w:rPr>
              <w:t>）</w:t>
            </w:r>
            <w:r>
              <w:rPr>
                <w:rFonts w:hint="eastAsia" w:ascii="宋体" w:hAnsi="宋体" w:eastAsia="宋体" w:cs="宋体"/>
                <w:sz w:val="20"/>
                <w:szCs w:val="20"/>
                <w:highlight w:val="none"/>
                <w:lang w:val="en-US"/>
              </w:rPr>
              <w:t>。</w:t>
            </w:r>
          </w:p>
          <w:p w14:paraId="5BA9245D">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5.全省监控软件功能的定期升级。</w:t>
            </w:r>
          </w:p>
          <w:p w14:paraId="5461CEB2">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6.GIS平台的定期检查与维护。</w:t>
            </w:r>
          </w:p>
          <w:p w14:paraId="60742EF0">
            <w:pPr>
              <w:widowControl/>
              <w:spacing w:line="240" w:lineRule="auto"/>
              <w:ind w:firstLine="400" w:firstLineChars="200"/>
              <w:rPr>
                <w:rFonts w:hint="eastAsia" w:ascii="宋体" w:hAnsi="宋体" w:eastAsia="宋体" w:cs="宋体"/>
                <w:bCs/>
                <w:sz w:val="20"/>
                <w:szCs w:val="20"/>
                <w:highlight w:val="none"/>
                <w:lang w:val="en-US"/>
              </w:rPr>
            </w:pPr>
            <w:r>
              <w:rPr>
                <w:rFonts w:hint="eastAsia" w:ascii="宋体" w:hAnsi="宋体" w:eastAsia="宋体" w:cs="宋体"/>
                <w:bCs/>
                <w:sz w:val="20"/>
                <w:szCs w:val="20"/>
                <w:highlight w:val="none"/>
                <w:lang w:val="en-US"/>
              </w:rPr>
              <w:t>（二）</w:t>
            </w:r>
            <w:r>
              <w:rPr>
                <w:rFonts w:hint="eastAsia" w:ascii="宋体" w:hAnsi="宋体" w:eastAsia="宋体" w:cs="宋体"/>
                <w:bCs/>
                <w:sz w:val="20"/>
                <w:szCs w:val="20"/>
                <w:highlight w:val="none"/>
                <w:lang w:val="en-US" w:eastAsia="zh-CN"/>
              </w:rPr>
              <w:t>路网运行监测系统</w:t>
            </w:r>
            <w:r>
              <w:rPr>
                <w:rFonts w:hint="eastAsia" w:ascii="宋体" w:hAnsi="宋体" w:eastAsia="宋体" w:cs="宋体"/>
                <w:bCs/>
                <w:sz w:val="20"/>
                <w:szCs w:val="20"/>
                <w:highlight w:val="none"/>
                <w:lang w:val="en-US"/>
              </w:rPr>
              <w:t>硬件维护</w:t>
            </w:r>
          </w:p>
          <w:p w14:paraId="3F83E5EE">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1.</w:t>
            </w:r>
            <w:r>
              <w:rPr>
                <w:rFonts w:hint="eastAsia" w:ascii="宋体" w:hAnsi="宋体" w:eastAsia="宋体" w:cs="宋体"/>
                <w:sz w:val="20"/>
                <w:szCs w:val="20"/>
                <w:highlight w:val="none"/>
                <w:lang w:val="en-US" w:eastAsia="zh-CN"/>
              </w:rPr>
              <w:t>路网运行监测系统</w:t>
            </w:r>
            <w:r>
              <w:rPr>
                <w:rFonts w:hint="eastAsia" w:ascii="宋体" w:hAnsi="宋体" w:eastAsia="宋体" w:cs="宋体"/>
                <w:sz w:val="20"/>
                <w:szCs w:val="20"/>
                <w:highlight w:val="none"/>
                <w:lang w:val="en-US"/>
              </w:rPr>
              <w:t>服务器及计算机的定期检查与维护。</w:t>
            </w:r>
          </w:p>
          <w:p w14:paraId="3FD70CE0">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2.网络设备的定期检查与维护（核心路由器、核心交换机及业务交换机）。</w:t>
            </w:r>
          </w:p>
          <w:p w14:paraId="3806197A">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3.根据网络使用需要，更新网络配置。</w:t>
            </w:r>
          </w:p>
          <w:p w14:paraId="4192984A">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4.网络设备配置文件定期备份。</w:t>
            </w:r>
          </w:p>
          <w:p w14:paraId="5A149DD4">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5.检查设备接地系统。</w:t>
            </w:r>
          </w:p>
          <w:p w14:paraId="6A309FDA">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6.综合布线的维护（线缆敷设、规范标签）。</w:t>
            </w:r>
          </w:p>
          <w:p w14:paraId="2ED6BFA7">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7.故障件维修或更换期间，提供良品备件临时应急使用。</w:t>
            </w:r>
          </w:p>
          <w:p w14:paraId="79309C34">
            <w:pPr>
              <w:widowControl/>
              <w:spacing w:line="240" w:lineRule="auto"/>
              <w:ind w:firstLine="400" w:firstLineChars="200"/>
              <w:jc w:val="both"/>
              <w:rPr>
                <w:rFonts w:hint="eastAsia" w:ascii="宋体" w:hAnsi="宋体" w:eastAsia="宋体" w:cs="宋体"/>
                <w:bCs/>
                <w:sz w:val="20"/>
                <w:szCs w:val="20"/>
                <w:highlight w:val="none"/>
                <w:lang w:val="en-US"/>
              </w:rPr>
            </w:pPr>
            <w:r>
              <w:rPr>
                <w:rFonts w:hint="eastAsia" w:ascii="宋体" w:hAnsi="宋体" w:eastAsia="宋体" w:cs="宋体"/>
                <w:bCs/>
                <w:sz w:val="20"/>
                <w:szCs w:val="20"/>
                <w:highlight w:val="none"/>
                <w:lang w:val="en-US"/>
              </w:rPr>
              <w:t>（三）大屏幕投影系统基本维护</w:t>
            </w:r>
          </w:p>
          <w:p w14:paraId="74ADBBA7">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1.对大屏幕投影系统3块LED屏幕、48块DLP投影拼接屏、多屏拼接控制器、拼接控制计算机、拼接控制软件进行日常维护，确保大屏幕投影系统的正常运行。</w:t>
            </w:r>
          </w:p>
          <w:p w14:paraId="71B807D0">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2.故障件维修或更换期间，提供良品备件临时应急使用。采购人承担DLP光机（DMD驱动板组件、DMD芯片、LED光源模块组件、透镜组件）的维修和更换费用，其余除DLP光机（DMD驱动板组件、DMD芯片、LED光源模块组件、透镜组件）以外的维护范围内的配件和材料费用由</w:t>
            </w:r>
            <w:r>
              <w:rPr>
                <w:rFonts w:hint="eastAsia" w:ascii="宋体" w:hAnsi="宋体" w:eastAsia="宋体" w:cs="宋体"/>
                <w:sz w:val="20"/>
                <w:szCs w:val="20"/>
                <w:highlight w:val="none"/>
                <w:lang w:val="en-US" w:eastAsia="zh-CN"/>
              </w:rPr>
              <w:t>供应商</w:t>
            </w:r>
            <w:r>
              <w:rPr>
                <w:rFonts w:hint="eastAsia" w:ascii="宋体" w:hAnsi="宋体" w:eastAsia="宋体" w:cs="宋体"/>
                <w:sz w:val="20"/>
                <w:szCs w:val="20"/>
                <w:highlight w:val="none"/>
                <w:lang w:val="en-US"/>
              </w:rPr>
              <w:t>承担。</w:t>
            </w:r>
          </w:p>
          <w:p w14:paraId="3CB77F43">
            <w:pPr>
              <w:pStyle w:val="3"/>
              <w:spacing w:line="240" w:lineRule="auto"/>
              <w:ind w:left="0" w:firstLine="400" w:firstLineChars="200"/>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3.在服务期内，若厂商发布新版本控制软件，配合其进行版本升级。</w:t>
            </w:r>
          </w:p>
          <w:p w14:paraId="6EBC20BD">
            <w:pPr>
              <w:pStyle w:val="3"/>
              <w:spacing w:line="240" w:lineRule="auto"/>
              <w:ind w:left="0" w:firstLine="400" w:firstLineChars="200"/>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4.大屏幕控制软件配置文件的定期备份。</w:t>
            </w:r>
          </w:p>
          <w:p w14:paraId="3ACFA95E">
            <w:pPr>
              <w:widowControl/>
              <w:spacing w:line="240" w:lineRule="auto"/>
              <w:ind w:firstLine="400" w:firstLineChars="200"/>
              <w:jc w:val="both"/>
              <w:rPr>
                <w:rFonts w:hint="eastAsia" w:ascii="宋体" w:hAnsi="宋体" w:eastAsia="宋体" w:cs="宋体"/>
                <w:bCs/>
                <w:sz w:val="20"/>
                <w:szCs w:val="20"/>
                <w:highlight w:val="none"/>
                <w:lang w:val="en-US"/>
              </w:rPr>
            </w:pPr>
            <w:r>
              <w:rPr>
                <w:rFonts w:hint="eastAsia" w:ascii="宋体" w:hAnsi="宋体" w:eastAsia="宋体" w:cs="宋体"/>
                <w:bCs/>
                <w:sz w:val="20"/>
                <w:szCs w:val="20"/>
                <w:highlight w:val="none"/>
                <w:lang w:val="en-US"/>
              </w:rPr>
              <w:t>（四）大屏幕投影系统精密维护</w:t>
            </w:r>
          </w:p>
          <w:p w14:paraId="05E04942">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1.DLP光学校正服务：机芯内部光路精密校准、光学校正。</w:t>
            </w:r>
          </w:p>
          <w:p w14:paraId="4C8BCDAA">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2.DLP清洁除尘服务：电源模块、显示单元清洁除尘。</w:t>
            </w:r>
          </w:p>
          <w:p w14:paraId="108042DF">
            <w:pPr>
              <w:widowControl/>
              <w:spacing w:line="240" w:lineRule="auto"/>
              <w:ind w:firstLine="400" w:firstLineChars="200"/>
              <w:jc w:val="both"/>
              <w:rPr>
                <w:rFonts w:hint="eastAsia" w:ascii="宋体" w:hAnsi="宋体" w:eastAsia="宋体" w:cs="宋体"/>
                <w:bCs/>
                <w:sz w:val="20"/>
                <w:szCs w:val="20"/>
                <w:highlight w:val="none"/>
                <w:lang w:val="en-US"/>
              </w:rPr>
            </w:pPr>
            <w:r>
              <w:rPr>
                <w:rFonts w:hint="eastAsia" w:ascii="宋体" w:hAnsi="宋体" w:eastAsia="宋体" w:cs="宋体"/>
                <w:bCs/>
                <w:sz w:val="20"/>
                <w:szCs w:val="20"/>
                <w:highlight w:val="none"/>
                <w:lang w:val="en-US"/>
              </w:rPr>
              <w:t>（五）省级视频云联网系统硬件维护</w:t>
            </w:r>
          </w:p>
          <w:p w14:paraId="2771A87B">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1.收费中心至</w:t>
            </w:r>
            <w:r>
              <w:rPr>
                <w:rFonts w:hint="eastAsia" w:ascii="宋体" w:hAnsi="宋体" w:eastAsia="宋体" w:cs="宋体"/>
                <w:bCs/>
                <w:sz w:val="20"/>
                <w:szCs w:val="20"/>
                <w:highlight w:val="none"/>
                <w:lang w:val="en-US"/>
              </w:rPr>
              <w:t>省级视频云联网系统</w:t>
            </w:r>
            <w:r>
              <w:rPr>
                <w:rFonts w:hint="eastAsia" w:ascii="宋体" w:hAnsi="宋体" w:eastAsia="宋体" w:cs="宋体"/>
                <w:sz w:val="20"/>
                <w:szCs w:val="20"/>
                <w:highlight w:val="none"/>
                <w:lang w:val="en-US"/>
              </w:rPr>
              <w:t>、路段分公司至收费中心网络链路监测。</w:t>
            </w:r>
          </w:p>
          <w:p w14:paraId="3685E0CD">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2.省级视频云联网系统涉及网络设备的定期检查与维护。</w:t>
            </w:r>
          </w:p>
          <w:p w14:paraId="37FBB187">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3.根据省级视频云联网系统网络使用需要，更新网络配置。</w:t>
            </w:r>
          </w:p>
          <w:p w14:paraId="014E6A4C">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4.省</w:t>
            </w:r>
            <w:bookmarkStart w:id="0" w:name="_GoBack"/>
            <w:bookmarkEnd w:id="0"/>
            <w:r>
              <w:rPr>
                <w:rFonts w:hint="eastAsia" w:ascii="宋体" w:hAnsi="宋体" w:eastAsia="宋体" w:cs="宋体"/>
                <w:sz w:val="20"/>
                <w:szCs w:val="20"/>
                <w:highlight w:val="none"/>
                <w:lang w:val="en-US"/>
              </w:rPr>
              <w:t>级视频云联网系统涉及的网络设备配置文件定期备份。</w:t>
            </w:r>
          </w:p>
          <w:p w14:paraId="174456F6">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5.检查省级视频云联网系统涉及的网络设备接地系统。</w:t>
            </w:r>
          </w:p>
          <w:p w14:paraId="42A59ECC">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6.省级视频云联网系统综合布线的维护（线缆敷设、规范标签）。</w:t>
            </w:r>
          </w:p>
          <w:p w14:paraId="478D27C2">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7.监控大厅精密空调的维护与保养。</w:t>
            </w:r>
          </w:p>
          <w:p w14:paraId="570A2B94">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8.采购人承担精密空调设备（压缩机、风机、电机、干燥器、控制面板、蒸发器）的维修和更换费用，其余维护范围内的配件和材料费用由</w:t>
            </w:r>
            <w:r>
              <w:rPr>
                <w:rFonts w:hint="eastAsia" w:ascii="宋体" w:hAnsi="宋体" w:eastAsia="宋体" w:cs="宋体"/>
                <w:sz w:val="20"/>
                <w:szCs w:val="20"/>
                <w:highlight w:val="none"/>
                <w:lang w:val="en-US" w:eastAsia="zh-CN"/>
              </w:rPr>
              <w:t>供应商</w:t>
            </w:r>
            <w:r>
              <w:rPr>
                <w:rFonts w:hint="eastAsia" w:ascii="宋体" w:hAnsi="宋体" w:eastAsia="宋体" w:cs="宋体"/>
                <w:sz w:val="20"/>
                <w:szCs w:val="20"/>
                <w:highlight w:val="none"/>
                <w:lang w:val="en-US"/>
              </w:rPr>
              <w:t>承担。</w:t>
            </w:r>
          </w:p>
          <w:p w14:paraId="33619AAD">
            <w:pPr>
              <w:widowControl/>
              <w:spacing w:line="240" w:lineRule="auto"/>
              <w:ind w:firstLine="400" w:firstLineChars="200"/>
              <w:jc w:val="both"/>
              <w:rPr>
                <w:rFonts w:hint="eastAsia" w:ascii="宋体" w:hAnsi="宋体" w:eastAsia="宋体" w:cs="宋体"/>
                <w:bCs/>
                <w:sz w:val="20"/>
                <w:szCs w:val="20"/>
                <w:highlight w:val="none"/>
                <w:lang w:val="en-US"/>
              </w:rPr>
            </w:pPr>
            <w:r>
              <w:rPr>
                <w:rFonts w:hint="eastAsia" w:ascii="宋体" w:hAnsi="宋体" w:eastAsia="宋体" w:cs="宋体"/>
                <w:bCs/>
                <w:sz w:val="20"/>
                <w:szCs w:val="20"/>
                <w:highlight w:val="none"/>
                <w:lang w:val="en-US"/>
              </w:rPr>
              <w:t>（六）维护清单</w:t>
            </w:r>
          </w:p>
          <w:p w14:paraId="264F4478">
            <w:pPr>
              <w:adjustRightInd w:val="0"/>
              <w:spacing w:line="240" w:lineRule="auto"/>
              <w:ind w:firstLine="400" w:firstLineChars="200"/>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1.监控、GIS系统维护清单</w:t>
            </w:r>
          </w:p>
          <w:tbl>
            <w:tblPr>
              <w:tblStyle w:val="4"/>
              <w:tblW w:w="6324" w:type="dxa"/>
              <w:jc w:val="center"/>
              <w:tblLayout w:type="autofit"/>
              <w:tblCellMar>
                <w:top w:w="0" w:type="dxa"/>
                <w:left w:w="0" w:type="dxa"/>
                <w:bottom w:w="0" w:type="dxa"/>
                <w:right w:w="0" w:type="dxa"/>
              </w:tblCellMar>
            </w:tblPr>
            <w:tblGrid>
              <w:gridCol w:w="825"/>
              <w:gridCol w:w="3474"/>
              <w:gridCol w:w="975"/>
              <w:gridCol w:w="1050"/>
            </w:tblGrid>
            <w:tr w14:paraId="050818EB">
              <w:tblPrEx>
                <w:tblCellMar>
                  <w:top w:w="0" w:type="dxa"/>
                  <w:left w:w="0" w:type="dxa"/>
                  <w:bottom w:w="0" w:type="dxa"/>
                  <w:right w:w="0" w:type="dxa"/>
                </w:tblCellMar>
              </w:tblPrEx>
              <w:trPr>
                <w:trHeight w:val="369" w:hRule="atLeast"/>
                <w:tblHeader/>
                <w:jc w:val="center"/>
              </w:trPr>
              <w:tc>
                <w:tcPr>
                  <w:tcW w:w="825" w:type="dxa"/>
                  <w:tcBorders>
                    <w:top w:val="single" w:color="auto" w:sz="4" w:space="0"/>
                    <w:left w:val="single" w:color="auto" w:sz="4" w:space="0"/>
                    <w:bottom w:val="single" w:color="auto" w:sz="4" w:space="0"/>
                    <w:right w:val="single" w:color="auto" w:sz="4" w:space="0"/>
                  </w:tcBorders>
                  <w:vAlign w:val="center"/>
                </w:tcPr>
                <w:p w14:paraId="1653A118">
                  <w:pPr>
                    <w:spacing w:line="240" w:lineRule="auto"/>
                    <w:jc w:val="center"/>
                    <w:rPr>
                      <w:rFonts w:hint="eastAsia" w:ascii="宋体" w:hAnsi="宋体" w:eastAsia="宋体" w:cs="宋体"/>
                      <w:b/>
                      <w:bCs/>
                      <w:sz w:val="20"/>
                      <w:szCs w:val="20"/>
                      <w:highlight w:val="none"/>
                    </w:rPr>
                  </w:pPr>
                  <w:r>
                    <w:rPr>
                      <w:rFonts w:hint="eastAsia" w:ascii="宋体" w:hAnsi="宋体" w:eastAsia="宋体" w:cs="宋体"/>
                      <w:b/>
                      <w:bCs/>
                      <w:sz w:val="20"/>
                      <w:szCs w:val="20"/>
                      <w:highlight w:val="none"/>
                    </w:rPr>
                    <w:t>序号</w:t>
                  </w:r>
                </w:p>
              </w:tc>
              <w:tc>
                <w:tcPr>
                  <w:tcW w:w="3474" w:type="dxa"/>
                  <w:tcBorders>
                    <w:top w:val="single" w:color="auto" w:sz="4" w:space="0"/>
                    <w:left w:val="nil"/>
                    <w:bottom w:val="single" w:color="auto" w:sz="4" w:space="0"/>
                    <w:right w:val="single" w:color="auto" w:sz="4" w:space="0"/>
                  </w:tcBorders>
                  <w:vAlign w:val="center"/>
                </w:tcPr>
                <w:p w14:paraId="4A945FA8">
                  <w:pPr>
                    <w:spacing w:line="240" w:lineRule="auto"/>
                    <w:jc w:val="center"/>
                    <w:rPr>
                      <w:rFonts w:hint="eastAsia" w:ascii="宋体" w:hAnsi="宋体" w:eastAsia="宋体" w:cs="宋体"/>
                      <w:b/>
                      <w:bCs/>
                      <w:sz w:val="20"/>
                      <w:szCs w:val="20"/>
                      <w:highlight w:val="none"/>
                    </w:rPr>
                  </w:pPr>
                  <w:r>
                    <w:rPr>
                      <w:rFonts w:hint="eastAsia" w:ascii="宋体" w:hAnsi="宋体" w:eastAsia="宋体" w:cs="宋体"/>
                      <w:b/>
                      <w:bCs/>
                      <w:sz w:val="20"/>
                      <w:szCs w:val="20"/>
                      <w:highlight w:val="none"/>
                    </w:rPr>
                    <w:t>维护内容</w:t>
                  </w:r>
                </w:p>
              </w:tc>
              <w:tc>
                <w:tcPr>
                  <w:tcW w:w="975" w:type="dxa"/>
                  <w:tcBorders>
                    <w:top w:val="single" w:color="auto" w:sz="4" w:space="0"/>
                    <w:left w:val="nil"/>
                    <w:bottom w:val="single" w:color="auto" w:sz="4" w:space="0"/>
                    <w:right w:val="single" w:color="auto" w:sz="4" w:space="0"/>
                  </w:tcBorders>
                  <w:vAlign w:val="center"/>
                </w:tcPr>
                <w:p w14:paraId="15C64088">
                  <w:pPr>
                    <w:spacing w:line="240" w:lineRule="auto"/>
                    <w:jc w:val="center"/>
                    <w:rPr>
                      <w:rFonts w:hint="eastAsia" w:ascii="宋体" w:hAnsi="宋体" w:eastAsia="宋体" w:cs="宋体"/>
                      <w:b/>
                      <w:bCs/>
                      <w:sz w:val="20"/>
                      <w:szCs w:val="20"/>
                      <w:highlight w:val="none"/>
                    </w:rPr>
                  </w:pPr>
                  <w:r>
                    <w:rPr>
                      <w:rFonts w:hint="eastAsia" w:ascii="宋体" w:hAnsi="宋体" w:eastAsia="宋体" w:cs="宋体"/>
                      <w:b/>
                      <w:bCs/>
                      <w:sz w:val="20"/>
                      <w:szCs w:val="20"/>
                      <w:highlight w:val="none"/>
                    </w:rPr>
                    <w:t>数量</w:t>
                  </w:r>
                </w:p>
              </w:tc>
              <w:tc>
                <w:tcPr>
                  <w:tcW w:w="1050" w:type="dxa"/>
                  <w:tcBorders>
                    <w:top w:val="single" w:color="auto" w:sz="4" w:space="0"/>
                    <w:left w:val="nil"/>
                    <w:bottom w:val="single" w:color="auto" w:sz="4" w:space="0"/>
                    <w:right w:val="single" w:color="auto" w:sz="4" w:space="0"/>
                  </w:tcBorders>
                  <w:vAlign w:val="center"/>
                </w:tcPr>
                <w:p w14:paraId="3C391B9B">
                  <w:pPr>
                    <w:spacing w:line="240" w:lineRule="auto"/>
                    <w:jc w:val="center"/>
                    <w:rPr>
                      <w:rFonts w:hint="eastAsia" w:ascii="宋体" w:hAnsi="宋体" w:eastAsia="宋体" w:cs="宋体"/>
                      <w:b/>
                      <w:bCs/>
                      <w:sz w:val="20"/>
                      <w:szCs w:val="20"/>
                      <w:highlight w:val="none"/>
                    </w:rPr>
                  </w:pPr>
                  <w:r>
                    <w:rPr>
                      <w:rFonts w:hint="eastAsia" w:ascii="宋体" w:hAnsi="宋体" w:eastAsia="宋体" w:cs="宋体"/>
                      <w:b/>
                      <w:bCs/>
                      <w:sz w:val="20"/>
                      <w:szCs w:val="20"/>
                      <w:highlight w:val="none"/>
                    </w:rPr>
                    <w:t>单位</w:t>
                  </w:r>
                </w:p>
              </w:tc>
            </w:tr>
            <w:tr w14:paraId="47EE0E48">
              <w:tblPrEx>
                <w:tblCellMar>
                  <w:top w:w="0" w:type="dxa"/>
                  <w:left w:w="0" w:type="dxa"/>
                  <w:bottom w:w="0" w:type="dxa"/>
                  <w:right w:w="0" w:type="dxa"/>
                </w:tblCellMar>
              </w:tblPrEx>
              <w:trPr>
                <w:cantSplit/>
                <w:trHeight w:val="369" w:hRule="atLeast"/>
                <w:jc w:val="center"/>
              </w:trPr>
              <w:tc>
                <w:tcPr>
                  <w:tcW w:w="825" w:type="dxa"/>
                  <w:tcBorders>
                    <w:top w:val="nil"/>
                    <w:left w:val="single" w:color="auto" w:sz="4" w:space="0"/>
                    <w:bottom w:val="nil"/>
                    <w:right w:val="single" w:color="auto" w:sz="4" w:space="0"/>
                  </w:tcBorders>
                  <w:vAlign w:val="center"/>
                </w:tcPr>
                <w:p w14:paraId="0176B5C7">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1</w:t>
                  </w:r>
                </w:p>
              </w:tc>
              <w:tc>
                <w:tcPr>
                  <w:tcW w:w="3474" w:type="dxa"/>
                  <w:tcBorders>
                    <w:top w:val="nil"/>
                    <w:left w:val="nil"/>
                    <w:bottom w:val="nil"/>
                    <w:right w:val="single" w:color="auto" w:sz="4" w:space="0"/>
                  </w:tcBorders>
                  <w:vAlign w:val="center"/>
                </w:tcPr>
                <w:p w14:paraId="7895520F">
                  <w:pPr>
                    <w:spacing w:line="240" w:lineRule="auto"/>
                    <w:jc w:val="center"/>
                    <w:rPr>
                      <w:rFonts w:hint="eastAsia" w:ascii="宋体" w:hAnsi="宋体" w:eastAsia="宋体" w:cs="宋体"/>
                      <w:sz w:val="20"/>
                      <w:szCs w:val="20"/>
                      <w:highlight w:val="none"/>
                      <w:lang w:val="en-US" w:eastAsia="ko-KR"/>
                    </w:rPr>
                  </w:pPr>
                  <w:r>
                    <w:rPr>
                      <w:rFonts w:hint="eastAsia" w:ascii="宋体" w:hAnsi="宋体" w:eastAsia="宋体" w:cs="宋体"/>
                      <w:sz w:val="20"/>
                      <w:szCs w:val="20"/>
                      <w:highlight w:val="none"/>
                      <w:lang w:val="en-US"/>
                    </w:rPr>
                    <w:t>交通监视软件（客户端）</w:t>
                  </w:r>
                </w:p>
              </w:tc>
              <w:tc>
                <w:tcPr>
                  <w:tcW w:w="975" w:type="dxa"/>
                  <w:tcBorders>
                    <w:top w:val="nil"/>
                    <w:left w:val="nil"/>
                    <w:bottom w:val="nil"/>
                    <w:right w:val="single" w:color="auto" w:sz="4" w:space="0"/>
                  </w:tcBorders>
                  <w:vAlign w:val="center"/>
                </w:tcPr>
                <w:p w14:paraId="442C3EA4">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1</w:t>
                  </w:r>
                </w:p>
              </w:tc>
              <w:tc>
                <w:tcPr>
                  <w:tcW w:w="1050" w:type="dxa"/>
                  <w:tcBorders>
                    <w:top w:val="nil"/>
                    <w:left w:val="nil"/>
                    <w:bottom w:val="nil"/>
                    <w:right w:val="single" w:color="auto" w:sz="4" w:space="0"/>
                  </w:tcBorders>
                  <w:vAlign w:val="center"/>
                </w:tcPr>
                <w:p w14:paraId="09E9300A">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套</w:t>
                  </w:r>
                </w:p>
              </w:tc>
            </w:tr>
            <w:tr w14:paraId="5A821ABE">
              <w:tblPrEx>
                <w:tblCellMar>
                  <w:top w:w="0" w:type="dxa"/>
                  <w:left w:w="0" w:type="dxa"/>
                  <w:bottom w:w="0" w:type="dxa"/>
                  <w:right w:w="0" w:type="dxa"/>
                </w:tblCellMar>
              </w:tblPrEx>
              <w:trPr>
                <w:trHeight w:val="369"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2CF258EE">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2</w:t>
                  </w:r>
                </w:p>
              </w:tc>
              <w:tc>
                <w:tcPr>
                  <w:tcW w:w="3474" w:type="dxa"/>
                  <w:tcBorders>
                    <w:top w:val="single" w:color="auto" w:sz="4" w:space="0"/>
                    <w:left w:val="nil"/>
                    <w:bottom w:val="single" w:color="auto" w:sz="4" w:space="0"/>
                    <w:right w:val="single" w:color="auto" w:sz="4" w:space="0"/>
                  </w:tcBorders>
                  <w:vAlign w:val="center"/>
                </w:tcPr>
                <w:p w14:paraId="5991AA2C">
                  <w:pPr>
                    <w:spacing w:line="240" w:lineRule="auto"/>
                    <w:jc w:val="center"/>
                    <w:rPr>
                      <w:rFonts w:hint="eastAsia" w:ascii="宋体" w:hAnsi="宋体" w:eastAsia="宋体" w:cs="宋体"/>
                      <w:sz w:val="20"/>
                      <w:szCs w:val="20"/>
                      <w:highlight w:val="none"/>
                      <w:lang w:val="en-US" w:eastAsia="ko-KR"/>
                    </w:rPr>
                  </w:pPr>
                  <w:r>
                    <w:rPr>
                      <w:rFonts w:hint="eastAsia" w:ascii="宋体" w:hAnsi="宋体" w:eastAsia="宋体" w:cs="宋体"/>
                      <w:sz w:val="20"/>
                      <w:szCs w:val="20"/>
                      <w:highlight w:val="none"/>
                      <w:lang w:val="en-US"/>
                    </w:rPr>
                    <w:t>指挥调度软件（客户端）</w:t>
                  </w:r>
                </w:p>
              </w:tc>
              <w:tc>
                <w:tcPr>
                  <w:tcW w:w="975" w:type="dxa"/>
                  <w:tcBorders>
                    <w:top w:val="single" w:color="auto" w:sz="4" w:space="0"/>
                    <w:left w:val="nil"/>
                    <w:bottom w:val="single" w:color="auto" w:sz="4" w:space="0"/>
                    <w:right w:val="single" w:color="auto" w:sz="4" w:space="0"/>
                  </w:tcBorders>
                  <w:vAlign w:val="center"/>
                </w:tcPr>
                <w:p w14:paraId="2743154E">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1</w:t>
                  </w:r>
                </w:p>
              </w:tc>
              <w:tc>
                <w:tcPr>
                  <w:tcW w:w="1050" w:type="dxa"/>
                  <w:tcBorders>
                    <w:top w:val="single" w:color="auto" w:sz="4" w:space="0"/>
                    <w:left w:val="nil"/>
                    <w:bottom w:val="single" w:color="auto" w:sz="4" w:space="0"/>
                    <w:right w:val="single" w:color="auto" w:sz="4" w:space="0"/>
                  </w:tcBorders>
                  <w:vAlign w:val="center"/>
                </w:tcPr>
                <w:p w14:paraId="19088CF9">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套</w:t>
                  </w:r>
                </w:p>
              </w:tc>
            </w:tr>
            <w:tr w14:paraId="13F7EF78">
              <w:tblPrEx>
                <w:tblCellMar>
                  <w:top w:w="0" w:type="dxa"/>
                  <w:left w:w="0" w:type="dxa"/>
                  <w:bottom w:w="0" w:type="dxa"/>
                  <w:right w:w="0" w:type="dxa"/>
                </w:tblCellMar>
              </w:tblPrEx>
              <w:trPr>
                <w:trHeight w:val="369"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7A12135F">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3</w:t>
                  </w:r>
                </w:p>
              </w:tc>
              <w:tc>
                <w:tcPr>
                  <w:tcW w:w="3474" w:type="dxa"/>
                  <w:tcBorders>
                    <w:top w:val="single" w:color="auto" w:sz="4" w:space="0"/>
                    <w:left w:val="nil"/>
                    <w:bottom w:val="single" w:color="auto" w:sz="4" w:space="0"/>
                    <w:right w:val="single" w:color="auto" w:sz="4" w:space="0"/>
                  </w:tcBorders>
                  <w:vAlign w:val="center"/>
                </w:tcPr>
                <w:p w14:paraId="319E1827">
                  <w:pPr>
                    <w:spacing w:line="240" w:lineRule="auto"/>
                    <w:jc w:val="center"/>
                    <w:rPr>
                      <w:rFonts w:hint="eastAsia" w:ascii="宋体" w:hAnsi="宋体" w:eastAsia="宋体" w:cs="宋体"/>
                      <w:sz w:val="20"/>
                      <w:szCs w:val="20"/>
                      <w:highlight w:val="none"/>
                      <w:lang w:val="en-US" w:eastAsia="ko-KR"/>
                    </w:rPr>
                  </w:pPr>
                  <w:r>
                    <w:rPr>
                      <w:rFonts w:hint="eastAsia" w:ascii="宋体" w:hAnsi="宋体" w:eastAsia="宋体" w:cs="宋体"/>
                      <w:sz w:val="20"/>
                      <w:szCs w:val="20"/>
                      <w:highlight w:val="none"/>
                      <w:lang w:val="en-US"/>
                    </w:rPr>
                    <w:t>事件管理软件（客户端）</w:t>
                  </w:r>
                </w:p>
              </w:tc>
              <w:tc>
                <w:tcPr>
                  <w:tcW w:w="975" w:type="dxa"/>
                  <w:tcBorders>
                    <w:top w:val="single" w:color="auto" w:sz="4" w:space="0"/>
                    <w:left w:val="nil"/>
                    <w:bottom w:val="single" w:color="auto" w:sz="4" w:space="0"/>
                    <w:right w:val="single" w:color="auto" w:sz="4" w:space="0"/>
                  </w:tcBorders>
                  <w:vAlign w:val="center"/>
                </w:tcPr>
                <w:p w14:paraId="1DD62CEA">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1</w:t>
                  </w:r>
                </w:p>
              </w:tc>
              <w:tc>
                <w:tcPr>
                  <w:tcW w:w="1050" w:type="dxa"/>
                  <w:tcBorders>
                    <w:top w:val="single" w:color="auto" w:sz="4" w:space="0"/>
                    <w:left w:val="nil"/>
                    <w:bottom w:val="single" w:color="auto" w:sz="4" w:space="0"/>
                    <w:right w:val="single" w:color="auto" w:sz="4" w:space="0"/>
                  </w:tcBorders>
                  <w:vAlign w:val="center"/>
                </w:tcPr>
                <w:p w14:paraId="7C602C7A">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套</w:t>
                  </w:r>
                </w:p>
              </w:tc>
            </w:tr>
            <w:tr w14:paraId="40D688CA">
              <w:tblPrEx>
                <w:tblCellMar>
                  <w:top w:w="0" w:type="dxa"/>
                  <w:left w:w="0" w:type="dxa"/>
                  <w:bottom w:w="0" w:type="dxa"/>
                  <w:right w:w="0" w:type="dxa"/>
                </w:tblCellMar>
              </w:tblPrEx>
              <w:trPr>
                <w:trHeight w:val="369"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197DC095">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4</w:t>
                  </w:r>
                </w:p>
              </w:tc>
              <w:tc>
                <w:tcPr>
                  <w:tcW w:w="3474" w:type="dxa"/>
                  <w:tcBorders>
                    <w:top w:val="single" w:color="auto" w:sz="4" w:space="0"/>
                    <w:left w:val="nil"/>
                    <w:bottom w:val="single" w:color="auto" w:sz="4" w:space="0"/>
                    <w:right w:val="single" w:color="auto" w:sz="4" w:space="0"/>
                  </w:tcBorders>
                  <w:vAlign w:val="center"/>
                </w:tcPr>
                <w:p w14:paraId="1842C690">
                  <w:pPr>
                    <w:spacing w:line="240" w:lineRule="auto"/>
                    <w:jc w:val="center"/>
                    <w:rPr>
                      <w:rFonts w:hint="eastAsia" w:ascii="宋体" w:hAnsi="宋体" w:eastAsia="宋体" w:cs="宋体"/>
                      <w:sz w:val="20"/>
                      <w:szCs w:val="20"/>
                      <w:highlight w:val="none"/>
                      <w:lang w:val="en-US" w:eastAsia="ko-KR"/>
                    </w:rPr>
                  </w:pPr>
                  <w:r>
                    <w:rPr>
                      <w:rFonts w:hint="eastAsia" w:ascii="宋体" w:hAnsi="宋体" w:eastAsia="宋体" w:cs="宋体"/>
                      <w:sz w:val="20"/>
                      <w:szCs w:val="20"/>
                      <w:highlight w:val="none"/>
                    </w:rPr>
                    <w:t>视频管理软件（客户端）</w:t>
                  </w:r>
                </w:p>
              </w:tc>
              <w:tc>
                <w:tcPr>
                  <w:tcW w:w="975" w:type="dxa"/>
                  <w:tcBorders>
                    <w:top w:val="single" w:color="auto" w:sz="4" w:space="0"/>
                    <w:left w:val="nil"/>
                    <w:bottom w:val="single" w:color="auto" w:sz="4" w:space="0"/>
                    <w:right w:val="single" w:color="auto" w:sz="4" w:space="0"/>
                  </w:tcBorders>
                  <w:vAlign w:val="center"/>
                </w:tcPr>
                <w:p w14:paraId="0B991F77">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2</w:t>
                  </w:r>
                </w:p>
              </w:tc>
              <w:tc>
                <w:tcPr>
                  <w:tcW w:w="1050" w:type="dxa"/>
                  <w:tcBorders>
                    <w:top w:val="single" w:color="auto" w:sz="4" w:space="0"/>
                    <w:left w:val="nil"/>
                    <w:bottom w:val="single" w:color="auto" w:sz="4" w:space="0"/>
                    <w:right w:val="single" w:color="auto" w:sz="4" w:space="0"/>
                  </w:tcBorders>
                  <w:vAlign w:val="center"/>
                </w:tcPr>
                <w:p w14:paraId="1F4EE1C5">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套</w:t>
                  </w:r>
                </w:p>
              </w:tc>
            </w:tr>
            <w:tr w14:paraId="0667566E">
              <w:tblPrEx>
                <w:tblCellMar>
                  <w:top w:w="0" w:type="dxa"/>
                  <w:left w:w="0" w:type="dxa"/>
                  <w:bottom w:w="0" w:type="dxa"/>
                  <w:right w:w="0" w:type="dxa"/>
                </w:tblCellMar>
              </w:tblPrEx>
              <w:trPr>
                <w:trHeight w:val="369"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746BCC7A">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5</w:t>
                  </w:r>
                </w:p>
              </w:tc>
              <w:tc>
                <w:tcPr>
                  <w:tcW w:w="3474" w:type="dxa"/>
                  <w:tcBorders>
                    <w:top w:val="single" w:color="auto" w:sz="4" w:space="0"/>
                    <w:left w:val="nil"/>
                    <w:bottom w:val="single" w:color="auto" w:sz="4" w:space="0"/>
                    <w:right w:val="single" w:color="auto" w:sz="4" w:space="0"/>
                  </w:tcBorders>
                  <w:vAlign w:val="center"/>
                </w:tcPr>
                <w:p w14:paraId="63447B7E">
                  <w:pPr>
                    <w:spacing w:line="240" w:lineRule="auto"/>
                    <w:jc w:val="center"/>
                    <w:rPr>
                      <w:rFonts w:hint="eastAsia" w:ascii="宋体" w:hAnsi="宋体" w:eastAsia="宋体" w:cs="宋体"/>
                      <w:sz w:val="20"/>
                      <w:szCs w:val="20"/>
                      <w:highlight w:val="none"/>
                      <w:lang w:val="en-US" w:eastAsia="ko-KR"/>
                    </w:rPr>
                  </w:pPr>
                  <w:r>
                    <w:rPr>
                      <w:rFonts w:hint="eastAsia" w:ascii="宋体" w:hAnsi="宋体" w:eastAsia="宋体" w:cs="宋体"/>
                      <w:sz w:val="20"/>
                      <w:szCs w:val="20"/>
                      <w:highlight w:val="none"/>
                    </w:rPr>
                    <w:t>一键发布系统软件（客户端）</w:t>
                  </w:r>
                </w:p>
              </w:tc>
              <w:tc>
                <w:tcPr>
                  <w:tcW w:w="975" w:type="dxa"/>
                  <w:tcBorders>
                    <w:top w:val="single" w:color="auto" w:sz="4" w:space="0"/>
                    <w:left w:val="nil"/>
                    <w:bottom w:val="single" w:color="auto" w:sz="4" w:space="0"/>
                    <w:right w:val="single" w:color="auto" w:sz="4" w:space="0"/>
                  </w:tcBorders>
                  <w:vAlign w:val="center"/>
                </w:tcPr>
                <w:p w14:paraId="0A197C95">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1</w:t>
                  </w:r>
                </w:p>
              </w:tc>
              <w:tc>
                <w:tcPr>
                  <w:tcW w:w="1050" w:type="dxa"/>
                  <w:tcBorders>
                    <w:top w:val="single" w:color="auto" w:sz="4" w:space="0"/>
                    <w:left w:val="nil"/>
                    <w:bottom w:val="single" w:color="auto" w:sz="4" w:space="0"/>
                    <w:right w:val="single" w:color="auto" w:sz="4" w:space="0"/>
                  </w:tcBorders>
                  <w:vAlign w:val="center"/>
                </w:tcPr>
                <w:p w14:paraId="55A93866">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套</w:t>
                  </w:r>
                </w:p>
              </w:tc>
            </w:tr>
            <w:tr w14:paraId="015F9581">
              <w:tblPrEx>
                <w:tblCellMar>
                  <w:top w:w="0" w:type="dxa"/>
                  <w:left w:w="0" w:type="dxa"/>
                  <w:bottom w:w="0" w:type="dxa"/>
                  <w:right w:w="0" w:type="dxa"/>
                </w:tblCellMar>
              </w:tblPrEx>
              <w:trPr>
                <w:trHeight w:val="369"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77866358">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6</w:t>
                  </w:r>
                </w:p>
              </w:tc>
              <w:tc>
                <w:tcPr>
                  <w:tcW w:w="3474" w:type="dxa"/>
                  <w:tcBorders>
                    <w:top w:val="single" w:color="auto" w:sz="4" w:space="0"/>
                    <w:left w:val="nil"/>
                    <w:bottom w:val="single" w:color="auto" w:sz="4" w:space="0"/>
                    <w:right w:val="single" w:color="auto" w:sz="4" w:space="0"/>
                  </w:tcBorders>
                  <w:vAlign w:val="center"/>
                </w:tcPr>
                <w:p w14:paraId="76D0B57A">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rPr>
                    <w:t>视频业务管理服务（Server端）</w:t>
                  </w:r>
                </w:p>
              </w:tc>
              <w:tc>
                <w:tcPr>
                  <w:tcW w:w="975" w:type="dxa"/>
                  <w:tcBorders>
                    <w:top w:val="single" w:color="auto" w:sz="4" w:space="0"/>
                    <w:left w:val="nil"/>
                    <w:bottom w:val="single" w:color="auto" w:sz="4" w:space="0"/>
                    <w:right w:val="single" w:color="auto" w:sz="4" w:space="0"/>
                  </w:tcBorders>
                  <w:vAlign w:val="center"/>
                </w:tcPr>
                <w:p w14:paraId="794F2C4D">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1</w:t>
                  </w:r>
                </w:p>
              </w:tc>
              <w:tc>
                <w:tcPr>
                  <w:tcW w:w="1050" w:type="dxa"/>
                  <w:tcBorders>
                    <w:top w:val="single" w:color="auto" w:sz="4" w:space="0"/>
                    <w:left w:val="nil"/>
                    <w:bottom w:val="single" w:color="auto" w:sz="4" w:space="0"/>
                    <w:right w:val="single" w:color="auto" w:sz="4" w:space="0"/>
                  </w:tcBorders>
                  <w:vAlign w:val="center"/>
                </w:tcPr>
                <w:p w14:paraId="12731439">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套</w:t>
                  </w:r>
                </w:p>
              </w:tc>
            </w:tr>
            <w:tr w14:paraId="6D8CE73D">
              <w:tblPrEx>
                <w:tblCellMar>
                  <w:top w:w="0" w:type="dxa"/>
                  <w:left w:w="0" w:type="dxa"/>
                  <w:bottom w:w="0" w:type="dxa"/>
                  <w:right w:w="0" w:type="dxa"/>
                </w:tblCellMar>
              </w:tblPrEx>
              <w:trPr>
                <w:trHeight w:val="369"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7689A19F">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7</w:t>
                  </w:r>
                </w:p>
              </w:tc>
              <w:tc>
                <w:tcPr>
                  <w:tcW w:w="3474" w:type="dxa"/>
                  <w:tcBorders>
                    <w:top w:val="single" w:color="auto" w:sz="4" w:space="0"/>
                    <w:left w:val="nil"/>
                    <w:bottom w:val="single" w:color="auto" w:sz="4" w:space="0"/>
                    <w:right w:val="single" w:color="auto" w:sz="4" w:space="0"/>
                  </w:tcBorders>
                  <w:vAlign w:val="center"/>
                </w:tcPr>
                <w:p w14:paraId="739A275F">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rPr>
                    <w:t>SIP信令管理服务（Server端）</w:t>
                  </w:r>
                </w:p>
              </w:tc>
              <w:tc>
                <w:tcPr>
                  <w:tcW w:w="975" w:type="dxa"/>
                  <w:tcBorders>
                    <w:top w:val="single" w:color="auto" w:sz="4" w:space="0"/>
                    <w:left w:val="nil"/>
                    <w:bottom w:val="single" w:color="auto" w:sz="4" w:space="0"/>
                    <w:right w:val="single" w:color="auto" w:sz="4" w:space="0"/>
                  </w:tcBorders>
                  <w:vAlign w:val="center"/>
                </w:tcPr>
                <w:p w14:paraId="6879808B">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1</w:t>
                  </w:r>
                </w:p>
              </w:tc>
              <w:tc>
                <w:tcPr>
                  <w:tcW w:w="1050" w:type="dxa"/>
                  <w:tcBorders>
                    <w:top w:val="single" w:color="auto" w:sz="4" w:space="0"/>
                    <w:left w:val="nil"/>
                    <w:bottom w:val="single" w:color="auto" w:sz="4" w:space="0"/>
                    <w:right w:val="single" w:color="auto" w:sz="4" w:space="0"/>
                  </w:tcBorders>
                  <w:vAlign w:val="center"/>
                </w:tcPr>
                <w:p w14:paraId="2DF13ADA">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套</w:t>
                  </w:r>
                </w:p>
              </w:tc>
            </w:tr>
            <w:tr w14:paraId="2FB26122">
              <w:tblPrEx>
                <w:tblCellMar>
                  <w:top w:w="0" w:type="dxa"/>
                  <w:left w:w="0" w:type="dxa"/>
                  <w:bottom w:w="0" w:type="dxa"/>
                  <w:right w:w="0" w:type="dxa"/>
                </w:tblCellMar>
              </w:tblPrEx>
              <w:trPr>
                <w:trHeight w:val="369"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7EDFCD73">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8</w:t>
                  </w:r>
                </w:p>
              </w:tc>
              <w:tc>
                <w:tcPr>
                  <w:tcW w:w="3474" w:type="dxa"/>
                  <w:tcBorders>
                    <w:top w:val="single" w:color="auto" w:sz="4" w:space="0"/>
                    <w:left w:val="nil"/>
                    <w:bottom w:val="single" w:color="auto" w:sz="4" w:space="0"/>
                    <w:right w:val="single" w:color="auto" w:sz="4" w:space="0"/>
                  </w:tcBorders>
                  <w:vAlign w:val="center"/>
                </w:tcPr>
                <w:p w14:paraId="711C7D61">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rPr>
                    <w:t>流媒体发布服务（Server端）</w:t>
                  </w:r>
                </w:p>
              </w:tc>
              <w:tc>
                <w:tcPr>
                  <w:tcW w:w="975" w:type="dxa"/>
                  <w:tcBorders>
                    <w:top w:val="single" w:color="auto" w:sz="4" w:space="0"/>
                    <w:left w:val="nil"/>
                    <w:bottom w:val="single" w:color="auto" w:sz="4" w:space="0"/>
                    <w:right w:val="single" w:color="auto" w:sz="4" w:space="0"/>
                  </w:tcBorders>
                  <w:vAlign w:val="center"/>
                </w:tcPr>
                <w:p w14:paraId="18A324AE">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1</w:t>
                  </w:r>
                </w:p>
              </w:tc>
              <w:tc>
                <w:tcPr>
                  <w:tcW w:w="1050" w:type="dxa"/>
                  <w:tcBorders>
                    <w:top w:val="single" w:color="auto" w:sz="4" w:space="0"/>
                    <w:left w:val="nil"/>
                    <w:bottom w:val="single" w:color="auto" w:sz="4" w:space="0"/>
                    <w:right w:val="single" w:color="auto" w:sz="4" w:space="0"/>
                  </w:tcBorders>
                  <w:vAlign w:val="center"/>
                </w:tcPr>
                <w:p w14:paraId="747F445A">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套</w:t>
                  </w:r>
                </w:p>
              </w:tc>
            </w:tr>
            <w:tr w14:paraId="76E4F0A7">
              <w:tblPrEx>
                <w:tblCellMar>
                  <w:top w:w="0" w:type="dxa"/>
                  <w:left w:w="0" w:type="dxa"/>
                  <w:bottom w:w="0" w:type="dxa"/>
                  <w:right w:w="0" w:type="dxa"/>
                </w:tblCellMar>
              </w:tblPrEx>
              <w:trPr>
                <w:trHeight w:val="369"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60B5834D">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9</w:t>
                  </w:r>
                </w:p>
              </w:tc>
              <w:tc>
                <w:tcPr>
                  <w:tcW w:w="3474" w:type="dxa"/>
                  <w:tcBorders>
                    <w:top w:val="single" w:color="auto" w:sz="4" w:space="0"/>
                    <w:left w:val="nil"/>
                    <w:bottom w:val="single" w:color="auto" w:sz="4" w:space="0"/>
                    <w:right w:val="single" w:color="auto" w:sz="4" w:space="0"/>
                  </w:tcBorders>
                  <w:vAlign w:val="center"/>
                </w:tcPr>
                <w:p w14:paraId="09C29FE2">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rPr>
                    <w:t>数字系统服务（Server端）</w:t>
                  </w:r>
                </w:p>
              </w:tc>
              <w:tc>
                <w:tcPr>
                  <w:tcW w:w="975" w:type="dxa"/>
                  <w:tcBorders>
                    <w:top w:val="single" w:color="auto" w:sz="4" w:space="0"/>
                    <w:left w:val="nil"/>
                    <w:bottom w:val="single" w:color="auto" w:sz="4" w:space="0"/>
                    <w:right w:val="single" w:color="auto" w:sz="4" w:space="0"/>
                  </w:tcBorders>
                  <w:vAlign w:val="center"/>
                </w:tcPr>
                <w:p w14:paraId="0A5985B5">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1</w:t>
                  </w:r>
                </w:p>
              </w:tc>
              <w:tc>
                <w:tcPr>
                  <w:tcW w:w="1050" w:type="dxa"/>
                  <w:tcBorders>
                    <w:top w:val="single" w:color="auto" w:sz="4" w:space="0"/>
                    <w:left w:val="nil"/>
                    <w:bottom w:val="single" w:color="auto" w:sz="4" w:space="0"/>
                    <w:right w:val="single" w:color="auto" w:sz="4" w:space="0"/>
                  </w:tcBorders>
                  <w:vAlign w:val="center"/>
                </w:tcPr>
                <w:p w14:paraId="57D5DD3A">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套</w:t>
                  </w:r>
                </w:p>
              </w:tc>
            </w:tr>
            <w:tr w14:paraId="09818FE0">
              <w:tblPrEx>
                <w:tblCellMar>
                  <w:top w:w="0" w:type="dxa"/>
                  <w:left w:w="0" w:type="dxa"/>
                  <w:bottom w:w="0" w:type="dxa"/>
                  <w:right w:w="0" w:type="dxa"/>
                </w:tblCellMar>
              </w:tblPrEx>
              <w:trPr>
                <w:trHeight w:val="369"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7134677B">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11</w:t>
                  </w:r>
                </w:p>
              </w:tc>
              <w:tc>
                <w:tcPr>
                  <w:tcW w:w="3474" w:type="dxa"/>
                  <w:tcBorders>
                    <w:top w:val="single" w:color="auto" w:sz="4" w:space="0"/>
                    <w:left w:val="nil"/>
                    <w:bottom w:val="single" w:color="auto" w:sz="4" w:space="0"/>
                    <w:right w:val="single" w:color="auto" w:sz="4" w:space="0"/>
                  </w:tcBorders>
                  <w:vAlign w:val="center"/>
                </w:tcPr>
                <w:p w14:paraId="522FFD3D">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rPr>
                    <w:t>一键发布系统服务（Server端）</w:t>
                  </w:r>
                </w:p>
              </w:tc>
              <w:tc>
                <w:tcPr>
                  <w:tcW w:w="975" w:type="dxa"/>
                  <w:tcBorders>
                    <w:top w:val="single" w:color="auto" w:sz="4" w:space="0"/>
                    <w:left w:val="nil"/>
                    <w:bottom w:val="single" w:color="auto" w:sz="4" w:space="0"/>
                    <w:right w:val="single" w:color="auto" w:sz="4" w:space="0"/>
                  </w:tcBorders>
                  <w:vAlign w:val="center"/>
                </w:tcPr>
                <w:p w14:paraId="3F4341F8">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1</w:t>
                  </w:r>
                </w:p>
              </w:tc>
              <w:tc>
                <w:tcPr>
                  <w:tcW w:w="1050" w:type="dxa"/>
                  <w:tcBorders>
                    <w:top w:val="single" w:color="auto" w:sz="4" w:space="0"/>
                    <w:left w:val="nil"/>
                    <w:bottom w:val="single" w:color="auto" w:sz="4" w:space="0"/>
                    <w:right w:val="single" w:color="auto" w:sz="4" w:space="0"/>
                  </w:tcBorders>
                  <w:vAlign w:val="center"/>
                </w:tcPr>
                <w:p w14:paraId="60FE3C73">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套</w:t>
                  </w:r>
                </w:p>
              </w:tc>
            </w:tr>
            <w:tr w14:paraId="696F7432">
              <w:tblPrEx>
                <w:tblCellMar>
                  <w:top w:w="0" w:type="dxa"/>
                  <w:left w:w="0" w:type="dxa"/>
                  <w:bottom w:w="0" w:type="dxa"/>
                  <w:right w:w="0" w:type="dxa"/>
                </w:tblCellMar>
              </w:tblPrEx>
              <w:trPr>
                <w:trHeight w:val="369"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3716F729">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12</w:t>
                  </w:r>
                </w:p>
              </w:tc>
              <w:tc>
                <w:tcPr>
                  <w:tcW w:w="3474" w:type="dxa"/>
                  <w:tcBorders>
                    <w:top w:val="single" w:color="auto" w:sz="4" w:space="0"/>
                    <w:left w:val="nil"/>
                    <w:bottom w:val="single" w:color="auto" w:sz="4" w:space="0"/>
                    <w:right w:val="single" w:color="auto" w:sz="4" w:space="0"/>
                  </w:tcBorders>
                  <w:vAlign w:val="center"/>
                </w:tcPr>
                <w:p w14:paraId="5088B378">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rPr>
                    <w:t>GIS</w:t>
                  </w:r>
                  <w:r>
                    <w:rPr>
                      <w:rFonts w:hint="eastAsia" w:ascii="宋体" w:hAnsi="宋体" w:eastAsia="宋体" w:cs="宋体"/>
                      <w:sz w:val="20"/>
                      <w:szCs w:val="20"/>
                      <w:highlight w:val="none"/>
                      <w:lang w:val="en-US"/>
                    </w:rPr>
                    <w:t>平台</w:t>
                  </w:r>
                </w:p>
              </w:tc>
              <w:tc>
                <w:tcPr>
                  <w:tcW w:w="975" w:type="dxa"/>
                  <w:tcBorders>
                    <w:top w:val="single" w:color="auto" w:sz="4" w:space="0"/>
                    <w:left w:val="nil"/>
                    <w:bottom w:val="single" w:color="auto" w:sz="4" w:space="0"/>
                    <w:right w:val="single" w:color="auto" w:sz="4" w:space="0"/>
                  </w:tcBorders>
                  <w:vAlign w:val="center"/>
                </w:tcPr>
                <w:p w14:paraId="4793C96A">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1</w:t>
                  </w:r>
                </w:p>
              </w:tc>
              <w:tc>
                <w:tcPr>
                  <w:tcW w:w="1050" w:type="dxa"/>
                  <w:tcBorders>
                    <w:top w:val="single" w:color="auto" w:sz="4" w:space="0"/>
                    <w:left w:val="nil"/>
                    <w:bottom w:val="single" w:color="auto" w:sz="4" w:space="0"/>
                    <w:right w:val="single" w:color="auto" w:sz="4" w:space="0"/>
                  </w:tcBorders>
                  <w:vAlign w:val="center"/>
                </w:tcPr>
                <w:p w14:paraId="6FEA30FE">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套</w:t>
                  </w:r>
                </w:p>
              </w:tc>
            </w:tr>
            <w:tr w14:paraId="56027AAE">
              <w:tblPrEx>
                <w:tblCellMar>
                  <w:top w:w="0" w:type="dxa"/>
                  <w:left w:w="0" w:type="dxa"/>
                  <w:bottom w:w="0" w:type="dxa"/>
                  <w:right w:w="0" w:type="dxa"/>
                </w:tblCellMar>
              </w:tblPrEx>
              <w:trPr>
                <w:trHeight w:val="369"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48A7CD6C">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rPr>
                    <w:t>13</w:t>
                  </w:r>
                </w:p>
              </w:tc>
              <w:tc>
                <w:tcPr>
                  <w:tcW w:w="3474" w:type="dxa"/>
                  <w:tcBorders>
                    <w:top w:val="single" w:color="auto" w:sz="4" w:space="0"/>
                    <w:left w:val="nil"/>
                    <w:bottom w:val="single" w:color="auto" w:sz="4" w:space="0"/>
                    <w:right w:val="single" w:color="auto" w:sz="4" w:space="0"/>
                  </w:tcBorders>
                  <w:vAlign w:val="center"/>
                </w:tcPr>
                <w:p w14:paraId="1F261C27">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rPr>
                    <w:t>数字系统</w:t>
                  </w:r>
                  <w:r>
                    <w:rPr>
                      <w:rFonts w:hint="eastAsia" w:ascii="宋体" w:hAnsi="宋体" w:eastAsia="宋体" w:cs="宋体"/>
                      <w:sz w:val="20"/>
                      <w:szCs w:val="20"/>
                      <w:highlight w:val="none"/>
                      <w:lang w:val="en-US"/>
                    </w:rPr>
                    <w:t>服务器</w:t>
                  </w:r>
                </w:p>
              </w:tc>
              <w:tc>
                <w:tcPr>
                  <w:tcW w:w="975" w:type="dxa"/>
                  <w:tcBorders>
                    <w:top w:val="single" w:color="auto" w:sz="4" w:space="0"/>
                    <w:left w:val="nil"/>
                    <w:bottom w:val="single" w:color="auto" w:sz="4" w:space="0"/>
                    <w:right w:val="single" w:color="auto" w:sz="4" w:space="0"/>
                  </w:tcBorders>
                  <w:vAlign w:val="center"/>
                </w:tcPr>
                <w:p w14:paraId="668E90DD">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rPr>
                    <w:t>1</w:t>
                  </w:r>
                </w:p>
              </w:tc>
              <w:tc>
                <w:tcPr>
                  <w:tcW w:w="1050" w:type="dxa"/>
                  <w:tcBorders>
                    <w:top w:val="single" w:color="auto" w:sz="4" w:space="0"/>
                    <w:left w:val="nil"/>
                    <w:bottom w:val="single" w:color="auto" w:sz="4" w:space="0"/>
                    <w:right w:val="single" w:color="auto" w:sz="4" w:space="0"/>
                  </w:tcBorders>
                  <w:vAlign w:val="center"/>
                </w:tcPr>
                <w:p w14:paraId="6D4FC3A2">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台</w:t>
                  </w:r>
                </w:p>
              </w:tc>
            </w:tr>
            <w:tr w14:paraId="573159E5">
              <w:tblPrEx>
                <w:tblCellMar>
                  <w:top w:w="0" w:type="dxa"/>
                  <w:left w:w="0" w:type="dxa"/>
                  <w:bottom w:w="0" w:type="dxa"/>
                  <w:right w:w="0" w:type="dxa"/>
                </w:tblCellMar>
              </w:tblPrEx>
              <w:trPr>
                <w:trHeight w:val="369"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22FB003D">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rPr>
                    <w:t>14</w:t>
                  </w:r>
                </w:p>
              </w:tc>
              <w:tc>
                <w:tcPr>
                  <w:tcW w:w="3474" w:type="dxa"/>
                  <w:tcBorders>
                    <w:top w:val="single" w:color="auto" w:sz="4" w:space="0"/>
                    <w:left w:val="nil"/>
                    <w:bottom w:val="single" w:color="auto" w:sz="4" w:space="0"/>
                    <w:right w:val="single" w:color="auto" w:sz="4" w:space="0"/>
                  </w:tcBorders>
                  <w:vAlign w:val="center"/>
                </w:tcPr>
                <w:p w14:paraId="6B28C9A7">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视频系统</w:t>
                  </w:r>
                  <w:r>
                    <w:rPr>
                      <w:rFonts w:hint="eastAsia" w:ascii="宋体" w:hAnsi="宋体" w:eastAsia="宋体" w:cs="宋体"/>
                      <w:sz w:val="20"/>
                      <w:szCs w:val="20"/>
                      <w:highlight w:val="none"/>
                      <w:lang w:val="en-US"/>
                    </w:rPr>
                    <w:t>服务器</w:t>
                  </w:r>
                </w:p>
              </w:tc>
              <w:tc>
                <w:tcPr>
                  <w:tcW w:w="975" w:type="dxa"/>
                  <w:tcBorders>
                    <w:top w:val="single" w:color="auto" w:sz="4" w:space="0"/>
                    <w:left w:val="nil"/>
                    <w:bottom w:val="single" w:color="auto" w:sz="4" w:space="0"/>
                    <w:right w:val="single" w:color="auto" w:sz="4" w:space="0"/>
                  </w:tcBorders>
                  <w:vAlign w:val="center"/>
                </w:tcPr>
                <w:p w14:paraId="341386D0">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rPr>
                    <w:t>2</w:t>
                  </w:r>
                </w:p>
              </w:tc>
              <w:tc>
                <w:tcPr>
                  <w:tcW w:w="1050" w:type="dxa"/>
                  <w:tcBorders>
                    <w:top w:val="single" w:color="auto" w:sz="4" w:space="0"/>
                    <w:left w:val="nil"/>
                    <w:bottom w:val="single" w:color="auto" w:sz="4" w:space="0"/>
                    <w:right w:val="single" w:color="auto" w:sz="4" w:space="0"/>
                  </w:tcBorders>
                  <w:vAlign w:val="center"/>
                </w:tcPr>
                <w:p w14:paraId="659D2137">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台</w:t>
                  </w:r>
                </w:p>
              </w:tc>
            </w:tr>
            <w:tr w14:paraId="423FC2EC">
              <w:tblPrEx>
                <w:tblCellMar>
                  <w:top w:w="0" w:type="dxa"/>
                  <w:left w:w="0" w:type="dxa"/>
                  <w:bottom w:w="0" w:type="dxa"/>
                  <w:right w:w="0" w:type="dxa"/>
                </w:tblCellMar>
              </w:tblPrEx>
              <w:trPr>
                <w:trHeight w:val="369"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2BD7905E">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15</w:t>
                  </w:r>
                </w:p>
              </w:tc>
              <w:tc>
                <w:tcPr>
                  <w:tcW w:w="3474" w:type="dxa"/>
                  <w:tcBorders>
                    <w:top w:val="single" w:color="auto" w:sz="4" w:space="0"/>
                    <w:left w:val="nil"/>
                    <w:bottom w:val="single" w:color="auto" w:sz="4" w:space="0"/>
                    <w:right w:val="single" w:color="auto" w:sz="4" w:space="0"/>
                  </w:tcBorders>
                  <w:vAlign w:val="center"/>
                </w:tcPr>
                <w:p w14:paraId="1669E933">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数据库服务器（MySQL、SQL Server）</w:t>
                  </w:r>
                </w:p>
              </w:tc>
              <w:tc>
                <w:tcPr>
                  <w:tcW w:w="975" w:type="dxa"/>
                  <w:tcBorders>
                    <w:top w:val="single" w:color="auto" w:sz="4" w:space="0"/>
                    <w:left w:val="nil"/>
                    <w:bottom w:val="single" w:color="auto" w:sz="4" w:space="0"/>
                    <w:right w:val="single" w:color="auto" w:sz="4" w:space="0"/>
                  </w:tcBorders>
                  <w:vAlign w:val="center"/>
                </w:tcPr>
                <w:p w14:paraId="6255039B">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2</w:t>
                  </w:r>
                </w:p>
              </w:tc>
              <w:tc>
                <w:tcPr>
                  <w:tcW w:w="1050" w:type="dxa"/>
                  <w:tcBorders>
                    <w:top w:val="single" w:color="auto" w:sz="4" w:space="0"/>
                    <w:left w:val="nil"/>
                    <w:bottom w:val="single" w:color="auto" w:sz="4" w:space="0"/>
                    <w:right w:val="single" w:color="auto" w:sz="4" w:space="0"/>
                  </w:tcBorders>
                  <w:vAlign w:val="center"/>
                </w:tcPr>
                <w:p w14:paraId="593A2690">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台</w:t>
                  </w:r>
                </w:p>
              </w:tc>
            </w:tr>
            <w:tr w14:paraId="7B78A0EE">
              <w:tblPrEx>
                <w:tblCellMar>
                  <w:top w:w="0" w:type="dxa"/>
                  <w:left w:w="0" w:type="dxa"/>
                  <w:bottom w:w="0" w:type="dxa"/>
                  <w:right w:w="0" w:type="dxa"/>
                </w:tblCellMar>
              </w:tblPrEx>
              <w:trPr>
                <w:trHeight w:val="369"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2F2FD00A">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16</w:t>
                  </w:r>
                </w:p>
              </w:tc>
              <w:tc>
                <w:tcPr>
                  <w:tcW w:w="3474" w:type="dxa"/>
                  <w:tcBorders>
                    <w:top w:val="single" w:color="auto" w:sz="4" w:space="0"/>
                    <w:left w:val="nil"/>
                    <w:bottom w:val="single" w:color="auto" w:sz="4" w:space="0"/>
                    <w:right w:val="single" w:color="auto" w:sz="4" w:space="0"/>
                  </w:tcBorders>
                  <w:vAlign w:val="center"/>
                </w:tcPr>
                <w:p w14:paraId="607BDEA0">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监控业务服务器</w:t>
                  </w:r>
                </w:p>
              </w:tc>
              <w:tc>
                <w:tcPr>
                  <w:tcW w:w="975" w:type="dxa"/>
                  <w:tcBorders>
                    <w:top w:val="single" w:color="auto" w:sz="4" w:space="0"/>
                    <w:left w:val="nil"/>
                    <w:bottom w:val="single" w:color="auto" w:sz="4" w:space="0"/>
                    <w:right w:val="single" w:color="auto" w:sz="4" w:space="0"/>
                  </w:tcBorders>
                  <w:vAlign w:val="center"/>
                </w:tcPr>
                <w:p w14:paraId="3CF30066">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15</w:t>
                  </w:r>
                </w:p>
              </w:tc>
              <w:tc>
                <w:tcPr>
                  <w:tcW w:w="1050" w:type="dxa"/>
                  <w:tcBorders>
                    <w:top w:val="single" w:color="auto" w:sz="4" w:space="0"/>
                    <w:left w:val="nil"/>
                    <w:bottom w:val="single" w:color="auto" w:sz="4" w:space="0"/>
                    <w:right w:val="single" w:color="auto" w:sz="4" w:space="0"/>
                  </w:tcBorders>
                  <w:vAlign w:val="center"/>
                </w:tcPr>
                <w:p w14:paraId="2817EDA3">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台</w:t>
                  </w:r>
                </w:p>
              </w:tc>
            </w:tr>
            <w:tr w14:paraId="31D85A37">
              <w:tblPrEx>
                <w:tblCellMar>
                  <w:top w:w="0" w:type="dxa"/>
                  <w:left w:w="0" w:type="dxa"/>
                  <w:bottom w:w="0" w:type="dxa"/>
                  <w:right w:w="0" w:type="dxa"/>
                </w:tblCellMar>
              </w:tblPrEx>
              <w:trPr>
                <w:trHeight w:val="369"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5A80AB04">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17</w:t>
                  </w:r>
                </w:p>
              </w:tc>
              <w:tc>
                <w:tcPr>
                  <w:tcW w:w="3474" w:type="dxa"/>
                  <w:tcBorders>
                    <w:top w:val="single" w:color="auto" w:sz="4" w:space="0"/>
                    <w:left w:val="nil"/>
                    <w:bottom w:val="single" w:color="auto" w:sz="4" w:space="0"/>
                    <w:right w:val="single" w:color="auto" w:sz="4" w:space="0"/>
                  </w:tcBorders>
                  <w:vAlign w:val="center"/>
                </w:tcPr>
                <w:p w14:paraId="7604FB2F">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视频管理计算机1</w:t>
                  </w:r>
                </w:p>
              </w:tc>
              <w:tc>
                <w:tcPr>
                  <w:tcW w:w="975" w:type="dxa"/>
                  <w:tcBorders>
                    <w:top w:val="single" w:color="auto" w:sz="4" w:space="0"/>
                    <w:left w:val="nil"/>
                    <w:bottom w:val="single" w:color="auto" w:sz="4" w:space="0"/>
                    <w:right w:val="single" w:color="auto" w:sz="4" w:space="0"/>
                  </w:tcBorders>
                  <w:vAlign w:val="center"/>
                </w:tcPr>
                <w:p w14:paraId="6689175D">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1</w:t>
                  </w:r>
                </w:p>
              </w:tc>
              <w:tc>
                <w:tcPr>
                  <w:tcW w:w="1050" w:type="dxa"/>
                  <w:tcBorders>
                    <w:top w:val="single" w:color="auto" w:sz="4" w:space="0"/>
                    <w:left w:val="nil"/>
                    <w:bottom w:val="single" w:color="auto" w:sz="4" w:space="0"/>
                    <w:right w:val="single" w:color="auto" w:sz="4" w:space="0"/>
                  </w:tcBorders>
                  <w:vAlign w:val="center"/>
                </w:tcPr>
                <w:p w14:paraId="2361C2F8">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台</w:t>
                  </w:r>
                </w:p>
              </w:tc>
            </w:tr>
            <w:tr w14:paraId="3C1F4CF7">
              <w:tblPrEx>
                <w:tblCellMar>
                  <w:top w:w="0" w:type="dxa"/>
                  <w:left w:w="0" w:type="dxa"/>
                  <w:bottom w:w="0" w:type="dxa"/>
                  <w:right w:w="0" w:type="dxa"/>
                </w:tblCellMar>
              </w:tblPrEx>
              <w:trPr>
                <w:trHeight w:val="369"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7C070CF9">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18</w:t>
                  </w:r>
                </w:p>
              </w:tc>
              <w:tc>
                <w:tcPr>
                  <w:tcW w:w="3474" w:type="dxa"/>
                  <w:tcBorders>
                    <w:top w:val="single" w:color="auto" w:sz="4" w:space="0"/>
                    <w:left w:val="nil"/>
                    <w:bottom w:val="single" w:color="auto" w:sz="4" w:space="0"/>
                    <w:right w:val="single" w:color="auto" w:sz="4" w:space="0"/>
                  </w:tcBorders>
                  <w:vAlign w:val="center"/>
                </w:tcPr>
                <w:p w14:paraId="0F40F352">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视频管理计算机2</w:t>
                  </w:r>
                </w:p>
              </w:tc>
              <w:tc>
                <w:tcPr>
                  <w:tcW w:w="975" w:type="dxa"/>
                  <w:tcBorders>
                    <w:top w:val="single" w:color="auto" w:sz="4" w:space="0"/>
                    <w:left w:val="nil"/>
                    <w:bottom w:val="single" w:color="auto" w:sz="4" w:space="0"/>
                    <w:right w:val="single" w:color="auto" w:sz="4" w:space="0"/>
                  </w:tcBorders>
                  <w:vAlign w:val="center"/>
                </w:tcPr>
                <w:p w14:paraId="7BF4D0E1">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1</w:t>
                  </w:r>
                </w:p>
              </w:tc>
              <w:tc>
                <w:tcPr>
                  <w:tcW w:w="1050" w:type="dxa"/>
                  <w:tcBorders>
                    <w:top w:val="single" w:color="auto" w:sz="4" w:space="0"/>
                    <w:left w:val="nil"/>
                    <w:bottom w:val="single" w:color="auto" w:sz="4" w:space="0"/>
                    <w:right w:val="single" w:color="auto" w:sz="4" w:space="0"/>
                  </w:tcBorders>
                  <w:vAlign w:val="center"/>
                </w:tcPr>
                <w:p w14:paraId="45BD7EBB">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台</w:t>
                  </w:r>
                </w:p>
              </w:tc>
            </w:tr>
            <w:tr w14:paraId="7D2D8AAD">
              <w:tblPrEx>
                <w:tblCellMar>
                  <w:top w:w="0" w:type="dxa"/>
                  <w:left w:w="0" w:type="dxa"/>
                  <w:bottom w:w="0" w:type="dxa"/>
                  <w:right w:w="0" w:type="dxa"/>
                </w:tblCellMar>
              </w:tblPrEx>
              <w:trPr>
                <w:trHeight w:val="369"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71A43BA8">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19</w:t>
                  </w:r>
                </w:p>
              </w:tc>
              <w:tc>
                <w:tcPr>
                  <w:tcW w:w="3474" w:type="dxa"/>
                  <w:tcBorders>
                    <w:top w:val="single" w:color="auto" w:sz="4" w:space="0"/>
                    <w:left w:val="nil"/>
                    <w:bottom w:val="single" w:color="auto" w:sz="4" w:space="0"/>
                    <w:right w:val="single" w:color="auto" w:sz="4" w:space="0"/>
                  </w:tcBorders>
                  <w:vAlign w:val="center"/>
                </w:tcPr>
                <w:p w14:paraId="4F84A4A2">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rPr>
                    <w:t>综合监控管理计算机</w:t>
                  </w:r>
                </w:p>
              </w:tc>
              <w:tc>
                <w:tcPr>
                  <w:tcW w:w="975" w:type="dxa"/>
                  <w:tcBorders>
                    <w:top w:val="single" w:color="auto" w:sz="4" w:space="0"/>
                    <w:left w:val="nil"/>
                    <w:bottom w:val="single" w:color="auto" w:sz="4" w:space="0"/>
                    <w:right w:val="single" w:color="auto" w:sz="4" w:space="0"/>
                  </w:tcBorders>
                  <w:vAlign w:val="center"/>
                </w:tcPr>
                <w:p w14:paraId="0CB5BD52">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1</w:t>
                  </w:r>
                </w:p>
              </w:tc>
              <w:tc>
                <w:tcPr>
                  <w:tcW w:w="1050" w:type="dxa"/>
                  <w:tcBorders>
                    <w:top w:val="single" w:color="auto" w:sz="4" w:space="0"/>
                    <w:left w:val="nil"/>
                    <w:bottom w:val="single" w:color="auto" w:sz="4" w:space="0"/>
                    <w:right w:val="single" w:color="auto" w:sz="4" w:space="0"/>
                  </w:tcBorders>
                  <w:vAlign w:val="center"/>
                </w:tcPr>
                <w:p w14:paraId="7A84F313">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台</w:t>
                  </w:r>
                </w:p>
              </w:tc>
            </w:tr>
            <w:tr w14:paraId="3EC43C51">
              <w:tblPrEx>
                <w:tblCellMar>
                  <w:top w:w="0" w:type="dxa"/>
                  <w:left w:w="0" w:type="dxa"/>
                  <w:bottom w:w="0" w:type="dxa"/>
                  <w:right w:w="0" w:type="dxa"/>
                </w:tblCellMar>
              </w:tblPrEx>
              <w:trPr>
                <w:trHeight w:val="369"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1D2FD296">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20</w:t>
                  </w:r>
                </w:p>
              </w:tc>
              <w:tc>
                <w:tcPr>
                  <w:tcW w:w="3474" w:type="dxa"/>
                  <w:tcBorders>
                    <w:top w:val="single" w:color="auto" w:sz="4" w:space="0"/>
                    <w:left w:val="nil"/>
                    <w:bottom w:val="single" w:color="auto" w:sz="4" w:space="0"/>
                    <w:right w:val="single" w:color="auto" w:sz="4" w:space="0"/>
                  </w:tcBorders>
                  <w:vAlign w:val="center"/>
                </w:tcPr>
                <w:p w14:paraId="43DEBF7A">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rPr>
                    <w:t>陕西省高速公路运行监测平台计算机</w:t>
                  </w:r>
                </w:p>
              </w:tc>
              <w:tc>
                <w:tcPr>
                  <w:tcW w:w="975" w:type="dxa"/>
                  <w:tcBorders>
                    <w:top w:val="single" w:color="auto" w:sz="4" w:space="0"/>
                    <w:left w:val="nil"/>
                    <w:bottom w:val="single" w:color="auto" w:sz="4" w:space="0"/>
                    <w:right w:val="single" w:color="auto" w:sz="4" w:space="0"/>
                  </w:tcBorders>
                  <w:vAlign w:val="center"/>
                </w:tcPr>
                <w:p w14:paraId="10655486">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1</w:t>
                  </w:r>
                </w:p>
              </w:tc>
              <w:tc>
                <w:tcPr>
                  <w:tcW w:w="1050" w:type="dxa"/>
                  <w:tcBorders>
                    <w:top w:val="single" w:color="auto" w:sz="4" w:space="0"/>
                    <w:left w:val="nil"/>
                    <w:bottom w:val="single" w:color="auto" w:sz="4" w:space="0"/>
                    <w:right w:val="single" w:color="auto" w:sz="4" w:space="0"/>
                  </w:tcBorders>
                  <w:vAlign w:val="center"/>
                </w:tcPr>
                <w:p w14:paraId="0E9203FA">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台</w:t>
                  </w:r>
                </w:p>
              </w:tc>
            </w:tr>
            <w:tr w14:paraId="51CF65FE">
              <w:tblPrEx>
                <w:tblCellMar>
                  <w:top w:w="0" w:type="dxa"/>
                  <w:left w:w="0" w:type="dxa"/>
                  <w:bottom w:w="0" w:type="dxa"/>
                  <w:right w:w="0" w:type="dxa"/>
                </w:tblCellMar>
              </w:tblPrEx>
              <w:trPr>
                <w:trHeight w:val="369"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6282E11F">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21</w:t>
                  </w:r>
                </w:p>
              </w:tc>
              <w:tc>
                <w:tcPr>
                  <w:tcW w:w="3474" w:type="dxa"/>
                  <w:tcBorders>
                    <w:top w:val="single" w:color="auto" w:sz="4" w:space="0"/>
                    <w:left w:val="nil"/>
                    <w:bottom w:val="single" w:color="auto" w:sz="4" w:space="0"/>
                    <w:right w:val="single" w:color="auto" w:sz="4" w:space="0"/>
                  </w:tcBorders>
                  <w:vAlign w:val="center"/>
                </w:tcPr>
                <w:p w14:paraId="0986BE98">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云上高速投屏计算机</w:t>
                  </w:r>
                </w:p>
              </w:tc>
              <w:tc>
                <w:tcPr>
                  <w:tcW w:w="975" w:type="dxa"/>
                  <w:tcBorders>
                    <w:top w:val="single" w:color="auto" w:sz="4" w:space="0"/>
                    <w:left w:val="nil"/>
                    <w:bottom w:val="single" w:color="auto" w:sz="4" w:space="0"/>
                    <w:right w:val="single" w:color="auto" w:sz="4" w:space="0"/>
                  </w:tcBorders>
                  <w:vAlign w:val="center"/>
                </w:tcPr>
                <w:p w14:paraId="58354F8F">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1</w:t>
                  </w:r>
                </w:p>
              </w:tc>
              <w:tc>
                <w:tcPr>
                  <w:tcW w:w="1050" w:type="dxa"/>
                  <w:tcBorders>
                    <w:top w:val="single" w:color="auto" w:sz="4" w:space="0"/>
                    <w:left w:val="nil"/>
                    <w:bottom w:val="single" w:color="auto" w:sz="4" w:space="0"/>
                    <w:right w:val="single" w:color="auto" w:sz="4" w:space="0"/>
                  </w:tcBorders>
                  <w:vAlign w:val="center"/>
                </w:tcPr>
                <w:p w14:paraId="4F6E5D46">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台</w:t>
                  </w:r>
                </w:p>
              </w:tc>
            </w:tr>
            <w:tr w14:paraId="487284C7">
              <w:tblPrEx>
                <w:tblCellMar>
                  <w:top w:w="0" w:type="dxa"/>
                  <w:left w:w="0" w:type="dxa"/>
                  <w:bottom w:w="0" w:type="dxa"/>
                  <w:right w:w="0" w:type="dxa"/>
                </w:tblCellMar>
              </w:tblPrEx>
              <w:trPr>
                <w:trHeight w:val="369"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343E5349">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22</w:t>
                  </w:r>
                </w:p>
              </w:tc>
              <w:tc>
                <w:tcPr>
                  <w:tcW w:w="3474" w:type="dxa"/>
                  <w:tcBorders>
                    <w:top w:val="single" w:color="auto" w:sz="4" w:space="0"/>
                    <w:left w:val="nil"/>
                    <w:bottom w:val="single" w:color="auto" w:sz="4" w:space="0"/>
                    <w:right w:val="single" w:color="auto" w:sz="4" w:space="0"/>
                  </w:tcBorders>
                  <w:vAlign w:val="center"/>
                </w:tcPr>
                <w:p w14:paraId="5D5EE125">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一键发布系统计算机</w:t>
                  </w:r>
                </w:p>
              </w:tc>
              <w:tc>
                <w:tcPr>
                  <w:tcW w:w="975" w:type="dxa"/>
                  <w:tcBorders>
                    <w:top w:val="single" w:color="auto" w:sz="4" w:space="0"/>
                    <w:left w:val="nil"/>
                    <w:bottom w:val="single" w:color="auto" w:sz="4" w:space="0"/>
                    <w:right w:val="single" w:color="auto" w:sz="4" w:space="0"/>
                  </w:tcBorders>
                  <w:vAlign w:val="center"/>
                </w:tcPr>
                <w:p w14:paraId="2605C9AF">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1</w:t>
                  </w:r>
                </w:p>
              </w:tc>
              <w:tc>
                <w:tcPr>
                  <w:tcW w:w="1050" w:type="dxa"/>
                  <w:tcBorders>
                    <w:top w:val="single" w:color="auto" w:sz="4" w:space="0"/>
                    <w:left w:val="nil"/>
                    <w:bottom w:val="single" w:color="auto" w:sz="4" w:space="0"/>
                    <w:right w:val="single" w:color="auto" w:sz="4" w:space="0"/>
                  </w:tcBorders>
                  <w:vAlign w:val="center"/>
                </w:tcPr>
                <w:p w14:paraId="3FF84EEB">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台</w:t>
                  </w:r>
                </w:p>
              </w:tc>
            </w:tr>
            <w:tr w14:paraId="371E23EA">
              <w:tblPrEx>
                <w:tblCellMar>
                  <w:top w:w="0" w:type="dxa"/>
                  <w:left w:w="0" w:type="dxa"/>
                  <w:bottom w:w="0" w:type="dxa"/>
                  <w:right w:w="0" w:type="dxa"/>
                </w:tblCellMar>
              </w:tblPrEx>
              <w:trPr>
                <w:trHeight w:val="369"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07D4CE64">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23</w:t>
                  </w:r>
                </w:p>
              </w:tc>
              <w:tc>
                <w:tcPr>
                  <w:tcW w:w="3474" w:type="dxa"/>
                  <w:tcBorders>
                    <w:top w:val="single" w:color="auto" w:sz="4" w:space="0"/>
                    <w:left w:val="nil"/>
                    <w:bottom w:val="single" w:color="auto" w:sz="4" w:space="0"/>
                    <w:right w:val="single" w:color="auto" w:sz="4" w:space="0"/>
                  </w:tcBorders>
                  <w:vAlign w:val="center"/>
                </w:tcPr>
                <w:p w14:paraId="60E9E63B">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网管计算机</w:t>
                  </w:r>
                </w:p>
              </w:tc>
              <w:tc>
                <w:tcPr>
                  <w:tcW w:w="975" w:type="dxa"/>
                  <w:tcBorders>
                    <w:top w:val="single" w:color="auto" w:sz="4" w:space="0"/>
                    <w:left w:val="nil"/>
                    <w:bottom w:val="single" w:color="auto" w:sz="4" w:space="0"/>
                    <w:right w:val="single" w:color="auto" w:sz="4" w:space="0"/>
                  </w:tcBorders>
                  <w:vAlign w:val="center"/>
                </w:tcPr>
                <w:p w14:paraId="02F7D250">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rPr>
                    <w:t>1</w:t>
                  </w:r>
                </w:p>
              </w:tc>
              <w:tc>
                <w:tcPr>
                  <w:tcW w:w="1050" w:type="dxa"/>
                  <w:tcBorders>
                    <w:top w:val="single" w:color="auto" w:sz="4" w:space="0"/>
                    <w:left w:val="nil"/>
                    <w:bottom w:val="single" w:color="auto" w:sz="4" w:space="0"/>
                    <w:right w:val="single" w:color="auto" w:sz="4" w:space="0"/>
                  </w:tcBorders>
                  <w:vAlign w:val="center"/>
                </w:tcPr>
                <w:p w14:paraId="426D911E">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台</w:t>
                  </w:r>
                </w:p>
              </w:tc>
            </w:tr>
            <w:tr w14:paraId="0070987A">
              <w:tblPrEx>
                <w:tblCellMar>
                  <w:top w:w="0" w:type="dxa"/>
                  <w:left w:w="0" w:type="dxa"/>
                  <w:bottom w:w="0" w:type="dxa"/>
                  <w:right w:w="0" w:type="dxa"/>
                </w:tblCellMar>
              </w:tblPrEx>
              <w:trPr>
                <w:trHeight w:val="369"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7AB7D315">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24</w:t>
                  </w:r>
                </w:p>
              </w:tc>
              <w:tc>
                <w:tcPr>
                  <w:tcW w:w="3474" w:type="dxa"/>
                  <w:tcBorders>
                    <w:top w:val="single" w:color="auto" w:sz="4" w:space="0"/>
                    <w:left w:val="nil"/>
                    <w:bottom w:val="single" w:color="auto" w:sz="4" w:space="0"/>
                    <w:right w:val="single" w:color="auto" w:sz="4" w:space="0"/>
                  </w:tcBorders>
                  <w:vAlign w:val="center"/>
                </w:tcPr>
                <w:p w14:paraId="48FBF7DC">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rPr>
                    <w:t>边界路由器</w:t>
                  </w:r>
                </w:p>
              </w:tc>
              <w:tc>
                <w:tcPr>
                  <w:tcW w:w="975" w:type="dxa"/>
                  <w:tcBorders>
                    <w:top w:val="single" w:color="auto" w:sz="4" w:space="0"/>
                    <w:left w:val="nil"/>
                    <w:bottom w:val="single" w:color="auto" w:sz="4" w:space="0"/>
                    <w:right w:val="single" w:color="auto" w:sz="4" w:space="0"/>
                  </w:tcBorders>
                  <w:vAlign w:val="center"/>
                </w:tcPr>
                <w:p w14:paraId="45E9C19B">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1</w:t>
                  </w:r>
                </w:p>
              </w:tc>
              <w:tc>
                <w:tcPr>
                  <w:tcW w:w="1050" w:type="dxa"/>
                  <w:tcBorders>
                    <w:top w:val="single" w:color="auto" w:sz="4" w:space="0"/>
                    <w:left w:val="nil"/>
                    <w:bottom w:val="single" w:color="auto" w:sz="4" w:space="0"/>
                    <w:right w:val="single" w:color="auto" w:sz="4" w:space="0"/>
                  </w:tcBorders>
                  <w:vAlign w:val="center"/>
                </w:tcPr>
                <w:p w14:paraId="6CBFB6F1">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台</w:t>
                  </w:r>
                </w:p>
              </w:tc>
            </w:tr>
            <w:tr w14:paraId="30C278A6">
              <w:tblPrEx>
                <w:tblCellMar>
                  <w:top w:w="0" w:type="dxa"/>
                  <w:left w:w="0" w:type="dxa"/>
                  <w:bottom w:w="0" w:type="dxa"/>
                  <w:right w:w="0" w:type="dxa"/>
                </w:tblCellMar>
              </w:tblPrEx>
              <w:trPr>
                <w:trHeight w:val="369"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190A5BA0">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25</w:t>
                  </w:r>
                </w:p>
              </w:tc>
              <w:tc>
                <w:tcPr>
                  <w:tcW w:w="3474" w:type="dxa"/>
                  <w:tcBorders>
                    <w:top w:val="single" w:color="auto" w:sz="4" w:space="0"/>
                    <w:left w:val="nil"/>
                    <w:bottom w:val="single" w:color="auto" w:sz="4" w:space="0"/>
                    <w:right w:val="single" w:color="auto" w:sz="4" w:space="0"/>
                  </w:tcBorders>
                  <w:vAlign w:val="center"/>
                </w:tcPr>
                <w:p w14:paraId="06421D77">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核心交换机</w:t>
                  </w:r>
                </w:p>
              </w:tc>
              <w:tc>
                <w:tcPr>
                  <w:tcW w:w="975" w:type="dxa"/>
                  <w:tcBorders>
                    <w:top w:val="single" w:color="auto" w:sz="4" w:space="0"/>
                    <w:left w:val="nil"/>
                    <w:bottom w:val="single" w:color="auto" w:sz="4" w:space="0"/>
                    <w:right w:val="single" w:color="auto" w:sz="4" w:space="0"/>
                  </w:tcBorders>
                  <w:vAlign w:val="center"/>
                </w:tcPr>
                <w:p w14:paraId="2C0F80DC">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rPr>
                    <w:t>2</w:t>
                  </w:r>
                </w:p>
              </w:tc>
              <w:tc>
                <w:tcPr>
                  <w:tcW w:w="1050" w:type="dxa"/>
                  <w:tcBorders>
                    <w:top w:val="single" w:color="auto" w:sz="4" w:space="0"/>
                    <w:left w:val="nil"/>
                    <w:bottom w:val="single" w:color="auto" w:sz="4" w:space="0"/>
                    <w:right w:val="single" w:color="auto" w:sz="4" w:space="0"/>
                  </w:tcBorders>
                  <w:vAlign w:val="center"/>
                </w:tcPr>
                <w:p w14:paraId="22DF7E5D">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台</w:t>
                  </w:r>
                </w:p>
              </w:tc>
            </w:tr>
            <w:tr w14:paraId="68D51109">
              <w:tblPrEx>
                <w:tblCellMar>
                  <w:top w:w="0" w:type="dxa"/>
                  <w:left w:w="0" w:type="dxa"/>
                  <w:bottom w:w="0" w:type="dxa"/>
                  <w:right w:w="0" w:type="dxa"/>
                </w:tblCellMar>
              </w:tblPrEx>
              <w:trPr>
                <w:trHeight w:val="369"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2DBEE604">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26</w:t>
                  </w:r>
                </w:p>
              </w:tc>
              <w:tc>
                <w:tcPr>
                  <w:tcW w:w="3474" w:type="dxa"/>
                  <w:tcBorders>
                    <w:top w:val="single" w:color="auto" w:sz="4" w:space="0"/>
                    <w:left w:val="nil"/>
                    <w:bottom w:val="single" w:color="auto" w:sz="4" w:space="0"/>
                    <w:right w:val="single" w:color="auto" w:sz="4" w:space="0"/>
                  </w:tcBorders>
                  <w:vAlign w:val="center"/>
                </w:tcPr>
                <w:p w14:paraId="0F7BB31B">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rPr>
                    <w:t>接入层交换机</w:t>
                  </w:r>
                </w:p>
              </w:tc>
              <w:tc>
                <w:tcPr>
                  <w:tcW w:w="975" w:type="dxa"/>
                  <w:tcBorders>
                    <w:top w:val="single" w:color="auto" w:sz="4" w:space="0"/>
                    <w:left w:val="nil"/>
                    <w:bottom w:val="single" w:color="auto" w:sz="4" w:space="0"/>
                    <w:right w:val="single" w:color="auto" w:sz="4" w:space="0"/>
                  </w:tcBorders>
                  <w:vAlign w:val="center"/>
                </w:tcPr>
                <w:p w14:paraId="481DFA53">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8</w:t>
                  </w:r>
                </w:p>
              </w:tc>
              <w:tc>
                <w:tcPr>
                  <w:tcW w:w="1050" w:type="dxa"/>
                  <w:tcBorders>
                    <w:top w:val="single" w:color="auto" w:sz="4" w:space="0"/>
                    <w:left w:val="nil"/>
                    <w:bottom w:val="single" w:color="auto" w:sz="4" w:space="0"/>
                    <w:right w:val="single" w:color="auto" w:sz="4" w:space="0"/>
                  </w:tcBorders>
                  <w:vAlign w:val="center"/>
                </w:tcPr>
                <w:p w14:paraId="07ED7B28">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台</w:t>
                  </w:r>
                </w:p>
              </w:tc>
            </w:tr>
            <w:tr w14:paraId="0FFE4CA6">
              <w:tblPrEx>
                <w:tblCellMar>
                  <w:top w:w="0" w:type="dxa"/>
                  <w:left w:w="0" w:type="dxa"/>
                  <w:bottom w:w="0" w:type="dxa"/>
                  <w:right w:w="0" w:type="dxa"/>
                </w:tblCellMar>
              </w:tblPrEx>
              <w:trPr>
                <w:trHeight w:val="369" w:hRule="atLeast"/>
                <w:jc w:val="center"/>
              </w:trPr>
              <w:tc>
                <w:tcPr>
                  <w:tcW w:w="825" w:type="dxa"/>
                  <w:tcBorders>
                    <w:top w:val="single" w:color="auto" w:sz="4" w:space="0"/>
                    <w:left w:val="single" w:color="auto" w:sz="4" w:space="0"/>
                    <w:bottom w:val="single" w:color="auto" w:sz="4" w:space="0"/>
                    <w:right w:val="single" w:color="auto" w:sz="4" w:space="0"/>
                  </w:tcBorders>
                  <w:vAlign w:val="center"/>
                </w:tcPr>
                <w:p w14:paraId="77EF3316">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27</w:t>
                  </w:r>
                </w:p>
              </w:tc>
              <w:tc>
                <w:tcPr>
                  <w:tcW w:w="3474" w:type="dxa"/>
                  <w:tcBorders>
                    <w:top w:val="single" w:color="auto" w:sz="4" w:space="0"/>
                    <w:left w:val="nil"/>
                    <w:bottom w:val="single" w:color="auto" w:sz="4" w:space="0"/>
                    <w:right w:val="single" w:color="auto" w:sz="4" w:space="0"/>
                  </w:tcBorders>
                  <w:vAlign w:val="bottom"/>
                </w:tcPr>
                <w:p w14:paraId="4FC18D7B">
                  <w:pPr>
                    <w:widowControl/>
                    <w:spacing w:line="240" w:lineRule="auto"/>
                    <w:jc w:val="center"/>
                    <w:textAlignment w:val="bottom"/>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高清视频解码器</w:t>
                  </w:r>
                </w:p>
              </w:tc>
              <w:tc>
                <w:tcPr>
                  <w:tcW w:w="975" w:type="dxa"/>
                  <w:tcBorders>
                    <w:top w:val="single" w:color="auto" w:sz="4" w:space="0"/>
                    <w:left w:val="nil"/>
                    <w:bottom w:val="single" w:color="auto" w:sz="4" w:space="0"/>
                    <w:right w:val="single" w:color="auto" w:sz="4" w:space="0"/>
                  </w:tcBorders>
                  <w:vAlign w:val="center"/>
                </w:tcPr>
                <w:p w14:paraId="058CAED5">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3</w:t>
                  </w:r>
                </w:p>
              </w:tc>
              <w:tc>
                <w:tcPr>
                  <w:tcW w:w="1050" w:type="dxa"/>
                  <w:tcBorders>
                    <w:top w:val="single" w:color="auto" w:sz="4" w:space="0"/>
                    <w:left w:val="nil"/>
                    <w:bottom w:val="single" w:color="auto" w:sz="4" w:space="0"/>
                    <w:right w:val="single" w:color="auto" w:sz="4" w:space="0"/>
                  </w:tcBorders>
                  <w:vAlign w:val="center"/>
                </w:tcPr>
                <w:p w14:paraId="1EC2EE46">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台</w:t>
                  </w:r>
                </w:p>
              </w:tc>
            </w:tr>
          </w:tbl>
          <w:p w14:paraId="7CA04642">
            <w:pPr>
              <w:adjustRightInd w:val="0"/>
              <w:spacing w:line="240" w:lineRule="auto"/>
              <w:ind w:firstLine="400" w:firstLineChars="200"/>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2.省级视频云联网系统维护清单</w:t>
            </w:r>
          </w:p>
          <w:tbl>
            <w:tblPr>
              <w:tblStyle w:val="4"/>
              <w:tblW w:w="6282" w:type="dxa"/>
              <w:jc w:val="center"/>
              <w:tblLayout w:type="autofit"/>
              <w:tblCellMar>
                <w:top w:w="0" w:type="dxa"/>
                <w:left w:w="0" w:type="dxa"/>
                <w:bottom w:w="0" w:type="dxa"/>
                <w:right w:w="0" w:type="dxa"/>
              </w:tblCellMar>
            </w:tblPr>
            <w:tblGrid>
              <w:gridCol w:w="822"/>
              <w:gridCol w:w="3454"/>
              <w:gridCol w:w="975"/>
              <w:gridCol w:w="1031"/>
            </w:tblGrid>
            <w:tr w14:paraId="4A9FEDB8">
              <w:tblPrEx>
                <w:tblCellMar>
                  <w:top w:w="0" w:type="dxa"/>
                  <w:left w:w="0" w:type="dxa"/>
                  <w:bottom w:w="0" w:type="dxa"/>
                  <w:right w:w="0" w:type="dxa"/>
                </w:tblCellMar>
              </w:tblPrEx>
              <w:trPr>
                <w:trHeight w:val="369" w:hRule="atLeast"/>
                <w:tblHeader/>
                <w:jc w:val="center"/>
              </w:trPr>
              <w:tc>
                <w:tcPr>
                  <w:tcW w:w="822" w:type="dxa"/>
                  <w:tcBorders>
                    <w:top w:val="single" w:color="auto" w:sz="4" w:space="0"/>
                    <w:left w:val="single" w:color="auto" w:sz="4" w:space="0"/>
                    <w:bottom w:val="single" w:color="auto" w:sz="4" w:space="0"/>
                    <w:right w:val="single" w:color="auto" w:sz="4" w:space="0"/>
                  </w:tcBorders>
                  <w:vAlign w:val="center"/>
                </w:tcPr>
                <w:p w14:paraId="7E67A570">
                  <w:pPr>
                    <w:spacing w:line="240" w:lineRule="auto"/>
                    <w:jc w:val="center"/>
                    <w:rPr>
                      <w:rFonts w:hint="eastAsia" w:ascii="宋体" w:hAnsi="宋体" w:eastAsia="宋体" w:cs="宋体"/>
                      <w:b/>
                      <w:bCs/>
                      <w:sz w:val="20"/>
                      <w:szCs w:val="20"/>
                      <w:highlight w:val="none"/>
                    </w:rPr>
                  </w:pPr>
                  <w:r>
                    <w:rPr>
                      <w:rFonts w:hint="eastAsia" w:ascii="宋体" w:hAnsi="宋体" w:eastAsia="宋体" w:cs="宋体"/>
                      <w:b/>
                      <w:bCs/>
                      <w:sz w:val="20"/>
                      <w:szCs w:val="20"/>
                      <w:highlight w:val="none"/>
                    </w:rPr>
                    <w:t>序号</w:t>
                  </w:r>
                </w:p>
              </w:tc>
              <w:tc>
                <w:tcPr>
                  <w:tcW w:w="3454" w:type="dxa"/>
                  <w:tcBorders>
                    <w:top w:val="single" w:color="auto" w:sz="4" w:space="0"/>
                    <w:left w:val="nil"/>
                    <w:bottom w:val="single" w:color="auto" w:sz="4" w:space="0"/>
                    <w:right w:val="single" w:color="auto" w:sz="4" w:space="0"/>
                  </w:tcBorders>
                  <w:vAlign w:val="center"/>
                </w:tcPr>
                <w:p w14:paraId="5467F4E4">
                  <w:pPr>
                    <w:spacing w:line="240" w:lineRule="auto"/>
                    <w:jc w:val="center"/>
                    <w:rPr>
                      <w:rFonts w:hint="eastAsia" w:ascii="宋体" w:hAnsi="宋体" w:eastAsia="宋体" w:cs="宋体"/>
                      <w:b/>
                      <w:bCs/>
                      <w:sz w:val="20"/>
                      <w:szCs w:val="20"/>
                      <w:highlight w:val="none"/>
                    </w:rPr>
                  </w:pPr>
                  <w:r>
                    <w:rPr>
                      <w:rFonts w:hint="eastAsia" w:ascii="宋体" w:hAnsi="宋体" w:eastAsia="宋体" w:cs="宋体"/>
                      <w:b/>
                      <w:bCs/>
                      <w:sz w:val="20"/>
                      <w:szCs w:val="20"/>
                      <w:highlight w:val="none"/>
                    </w:rPr>
                    <w:t>维护内容</w:t>
                  </w:r>
                </w:p>
              </w:tc>
              <w:tc>
                <w:tcPr>
                  <w:tcW w:w="975" w:type="dxa"/>
                  <w:tcBorders>
                    <w:top w:val="single" w:color="auto" w:sz="4" w:space="0"/>
                    <w:left w:val="nil"/>
                    <w:bottom w:val="single" w:color="auto" w:sz="4" w:space="0"/>
                    <w:right w:val="single" w:color="auto" w:sz="4" w:space="0"/>
                  </w:tcBorders>
                  <w:vAlign w:val="center"/>
                </w:tcPr>
                <w:p w14:paraId="01D19FEE">
                  <w:pPr>
                    <w:spacing w:line="240" w:lineRule="auto"/>
                    <w:jc w:val="center"/>
                    <w:rPr>
                      <w:rFonts w:hint="eastAsia" w:ascii="宋体" w:hAnsi="宋体" w:eastAsia="宋体" w:cs="宋体"/>
                      <w:b/>
                      <w:bCs/>
                      <w:sz w:val="20"/>
                      <w:szCs w:val="20"/>
                      <w:highlight w:val="none"/>
                    </w:rPr>
                  </w:pPr>
                  <w:r>
                    <w:rPr>
                      <w:rFonts w:hint="eastAsia" w:ascii="宋体" w:hAnsi="宋体" w:eastAsia="宋体" w:cs="宋体"/>
                      <w:b/>
                      <w:bCs/>
                      <w:sz w:val="20"/>
                      <w:szCs w:val="20"/>
                      <w:highlight w:val="none"/>
                    </w:rPr>
                    <w:t>数量</w:t>
                  </w:r>
                </w:p>
              </w:tc>
              <w:tc>
                <w:tcPr>
                  <w:tcW w:w="1031" w:type="dxa"/>
                  <w:tcBorders>
                    <w:top w:val="single" w:color="auto" w:sz="4" w:space="0"/>
                    <w:left w:val="nil"/>
                    <w:bottom w:val="single" w:color="auto" w:sz="4" w:space="0"/>
                    <w:right w:val="single" w:color="auto" w:sz="4" w:space="0"/>
                  </w:tcBorders>
                  <w:vAlign w:val="center"/>
                </w:tcPr>
                <w:p w14:paraId="40024F63">
                  <w:pPr>
                    <w:spacing w:line="240" w:lineRule="auto"/>
                    <w:jc w:val="center"/>
                    <w:rPr>
                      <w:rFonts w:hint="eastAsia" w:ascii="宋体" w:hAnsi="宋体" w:eastAsia="宋体" w:cs="宋体"/>
                      <w:b/>
                      <w:bCs/>
                      <w:sz w:val="20"/>
                      <w:szCs w:val="20"/>
                      <w:highlight w:val="none"/>
                    </w:rPr>
                  </w:pPr>
                  <w:r>
                    <w:rPr>
                      <w:rFonts w:hint="eastAsia" w:ascii="宋体" w:hAnsi="宋体" w:eastAsia="宋体" w:cs="宋体"/>
                      <w:b/>
                      <w:bCs/>
                      <w:sz w:val="20"/>
                      <w:szCs w:val="20"/>
                      <w:highlight w:val="none"/>
                    </w:rPr>
                    <w:t>单位</w:t>
                  </w:r>
                </w:p>
              </w:tc>
            </w:tr>
            <w:tr w14:paraId="507B60F4">
              <w:tblPrEx>
                <w:tblCellMar>
                  <w:top w:w="0" w:type="dxa"/>
                  <w:left w:w="0" w:type="dxa"/>
                  <w:bottom w:w="0" w:type="dxa"/>
                  <w:right w:w="0" w:type="dxa"/>
                </w:tblCellMar>
              </w:tblPrEx>
              <w:trPr>
                <w:cantSplit/>
                <w:trHeight w:val="369" w:hRule="atLeast"/>
                <w:jc w:val="center"/>
              </w:trPr>
              <w:tc>
                <w:tcPr>
                  <w:tcW w:w="822" w:type="dxa"/>
                  <w:tcBorders>
                    <w:top w:val="nil"/>
                    <w:left w:val="single" w:color="auto" w:sz="4" w:space="0"/>
                    <w:bottom w:val="nil"/>
                    <w:right w:val="single" w:color="auto" w:sz="4" w:space="0"/>
                  </w:tcBorders>
                  <w:vAlign w:val="center"/>
                </w:tcPr>
                <w:p w14:paraId="5DD96855">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1</w:t>
                  </w:r>
                </w:p>
              </w:tc>
              <w:tc>
                <w:tcPr>
                  <w:tcW w:w="3454" w:type="dxa"/>
                  <w:tcBorders>
                    <w:top w:val="nil"/>
                    <w:left w:val="nil"/>
                    <w:bottom w:val="nil"/>
                    <w:right w:val="single" w:color="auto" w:sz="4" w:space="0"/>
                  </w:tcBorders>
                  <w:vAlign w:val="center"/>
                </w:tcPr>
                <w:p w14:paraId="270C5120">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路由器</w:t>
                  </w:r>
                </w:p>
              </w:tc>
              <w:tc>
                <w:tcPr>
                  <w:tcW w:w="975" w:type="dxa"/>
                  <w:tcBorders>
                    <w:top w:val="nil"/>
                    <w:left w:val="nil"/>
                    <w:bottom w:val="nil"/>
                    <w:right w:val="single" w:color="auto" w:sz="4" w:space="0"/>
                  </w:tcBorders>
                  <w:vAlign w:val="center"/>
                </w:tcPr>
                <w:p w14:paraId="4B43FA82">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rPr>
                    <w:t>1</w:t>
                  </w:r>
                </w:p>
              </w:tc>
              <w:tc>
                <w:tcPr>
                  <w:tcW w:w="1031" w:type="dxa"/>
                  <w:tcBorders>
                    <w:top w:val="nil"/>
                    <w:left w:val="nil"/>
                    <w:bottom w:val="nil"/>
                    <w:right w:val="single" w:color="auto" w:sz="4" w:space="0"/>
                  </w:tcBorders>
                  <w:vAlign w:val="center"/>
                </w:tcPr>
                <w:p w14:paraId="56A960A0">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台</w:t>
                  </w:r>
                </w:p>
              </w:tc>
            </w:tr>
            <w:tr w14:paraId="4F7C3A34">
              <w:tblPrEx>
                <w:tblCellMar>
                  <w:top w:w="0" w:type="dxa"/>
                  <w:left w:w="0" w:type="dxa"/>
                  <w:bottom w:w="0" w:type="dxa"/>
                  <w:right w:w="0" w:type="dxa"/>
                </w:tblCellMar>
              </w:tblPrEx>
              <w:trPr>
                <w:trHeight w:val="369" w:hRule="atLeast"/>
                <w:jc w:val="center"/>
              </w:trPr>
              <w:tc>
                <w:tcPr>
                  <w:tcW w:w="822" w:type="dxa"/>
                  <w:tcBorders>
                    <w:top w:val="single" w:color="auto" w:sz="4" w:space="0"/>
                    <w:left w:val="single" w:color="auto" w:sz="4" w:space="0"/>
                    <w:bottom w:val="single" w:color="auto" w:sz="4" w:space="0"/>
                    <w:right w:val="single" w:color="auto" w:sz="4" w:space="0"/>
                  </w:tcBorders>
                  <w:vAlign w:val="center"/>
                </w:tcPr>
                <w:p w14:paraId="4BC294D9">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2</w:t>
                  </w:r>
                </w:p>
              </w:tc>
              <w:tc>
                <w:tcPr>
                  <w:tcW w:w="3454" w:type="dxa"/>
                  <w:tcBorders>
                    <w:top w:val="single" w:color="auto" w:sz="4" w:space="0"/>
                    <w:left w:val="nil"/>
                    <w:bottom w:val="single" w:color="auto" w:sz="4" w:space="0"/>
                    <w:right w:val="single" w:color="auto" w:sz="4" w:space="0"/>
                  </w:tcBorders>
                  <w:vAlign w:val="center"/>
                </w:tcPr>
                <w:p w14:paraId="043468C4">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rPr>
                    <w:t>核心</w:t>
                  </w:r>
                  <w:r>
                    <w:rPr>
                      <w:rFonts w:hint="eastAsia" w:ascii="宋体" w:hAnsi="宋体" w:eastAsia="宋体" w:cs="宋体"/>
                      <w:sz w:val="20"/>
                      <w:szCs w:val="20"/>
                      <w:highlight w:val="none"/>
                    </w:rPr>
                    <w:t>交换机</w:t>
                  </w:r>
                </w:p>
              </w:tc>
              <w:tc>
                <w:tcPr>
                  <w:tcW w:w="975" w:type="dxa"/>
                  <w:tcBorders>
                    <w:top w:val="single" w:color="auto" w:sz="4" w:space="0"/>
                    <w:left w:val="nil"/>
                    <w:bottom w:val="single" w:color="auto" w:sz="4" w:space="0"/>
                    <w:right w:val="single" w:color="auto" w:sz="4" w:space="0"/>
                  </w:tcBorders>
                  <w:vAlign w:val="center"/>
                </w:tcPr>
                <w:p w14:paraId="623A6B21">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2</w:t>
                  </w:r>
                </w:p>
              </w:tc>
              <w:tc>
                <w:tcPr>
                  <w:tcW w:w="1031" w:type="dxa"/>
                  <w:tcBorders>
                    <w:top w:val="single" w:color="auto" w:sz="4" w:space="0"/>
                    <w:left w:val="nil"/>
                    <w:bottom w:val="single" w:color="auto" w:sz="4" w:space="0"/>
                    <w:right w:val="single" w:color="auto" w:sz="4" w:space="0"/>
                  </w:tcBorders>
                  <w:vAlign w:val="center"/>
                </w:tcPr>
                <w:p w14:paraId="4D65AAA7">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台</w:t>
                  </w:r>
                </w:p>
              </w:tc>
            </w:tr>
            <w:tr w14:paraId="09C70869">
              <w:tblPrEx>
                <w:tblCellMar>
                  <w:top w:w="0" w:type="dxa"/>
                  <w:left w:w="0" w:type="dxa"/>
                  <w:bottom w:w="0" w:type="dxa"/>
                  <w:right w:w="0" w:type="dxa"/>
                </w:tblCellMar>
              </w:tblPrEx>
              <w:trPr>
                <w:trHeight w:val="369" w:hRule="atLeast"/>
                <w:jc w:val="center"/>
              </w:trPr>
              <w:tc>
                <w:tcPr>
                  <w:tcW w:w="822" w:type="dxa"/>
                  <w:tcBorders>
                    <w:top w:val="single" w:color="auto" w:sz="4" w:space="0"/>
                    <w:left w:val="single" w:color="auto" w:sz="4" w:space="0"/>
                    <w:bottom w:val="single" w:color="auto" w:sz="4" w:space="0"/>
                    <w:right w:val="single" w:color="auto" w:sz="4" w:space="0"/>
                  </w:tcBorders>
                  <w:vAlign w:val="center"/>
                </w:tcPr>
                <w:p w14:paraId="5EECD771">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3</w:t>
                  </w:r>
                </w:p>
              </w:tc>
              <w:tc>
                <w:tcPr>
                  <w:tcW w:w="3454" w:type="dxa"/>
                  <w:tcBorders>
                    <w:top w:val="single" w:color="auto" w:sz="4" w:space="0"/>
                    <w:left w:val="nil"/>
                    <w:bottom w:val="single" w:color="auto" w:sz="4" w:space="0"/>
                    <w:right w:val="single" w:color="auto" w:sz="4" w:space="0"/>
                  </w:tcBorders>
                  <w:vAlign w:val="center"/>
                </w:tcPr>
                <w:p w14:paraId="4EBAA2BF">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上云交换机</w:t>
                  </w:r>
                </w:p>
              </w:tc>
              <w:tc>
                <w:tcPr>
                  <w:tcW w:w="975" w:type="dxa"/>
                  <w:tcBorders>
                    <w:top w:val="single" w:color="auto" w:sz="4" w:space="0"/>
                    <w:left w:val="nil"/>
                    <w:bottom w:val="single" w:color="auto" w:sz="4" w:space="0"/>
                    <w:right w:val="single" w:color="auto" w:sz="4" w:space="0"/>
                  </w:tcBorders>
                  <w:vAlign w:val="center"/>
                </w:tcPr>
                <w:p w14:paraId="2DB2BE3D">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1</w:t>
                  </w:r>
                </w:p>
              </w:tc>
              <w:tc>
                <w:tcPr>
                  <w:tcW w:w="1031" w:type="dxa"/>
                  <w:tcBorders>
                    <w:top w:val="single" w:color="auto" w:sz="4" w:space="0"/>
                    <w:left w:val="nil"/>
                    <w:bottom w:val="single" w:color="auto" w:sz="4" w:space="0"/>
                    <w:right w:val="single" w:color="auto" w:sz="4" w:space="0"/>
                  </w:tcBorders>
                  <w:vAlign w:val="center"/>
                </w:tcPr>
                <w:p w14:paraId="360CEDCA">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台</w:t>
                  </w:r>
                </w:p>
              </w:tc>
            </w:tr>
            <w:tr w14:paraId="3D82C774">
              <w:tblPrEx>
                <w:tblCellMar>
                  <w:top w:w="0" w:type="dxa"/>
                  <w:left w:w="0" w:type="dxa"/>
                  <w:bottom w:w="0" w:type="dxa"/>
                  <w:right w:w="0" w:type="dxa"/>
                </w:tblCellMar>
              </w:tblPrEx>
              <w:trPr>
                <w:trHeight w:val="369" w:hRule="atLeast"/>
                <w:jc w:val="center"/>
              </w:trPr>
              <w:tc>
                <w:tcPr>
                  <w:tcW w:w="822" w:type="dxa"/>
                  <w:tcBorders>
                    <w:top w:val="single" w:color="auto" w:sz="4" w:space="0"/>
                    <w:left w:val="single" w:color="auto" w:sz="4" w:space="0"/>
                    <w:bottom w:val="single" w:color="auto" w:sz="4" w:space="0"/>
                    <w:right w:val="single" w:color="auto" w:sz="4" w:space="0"/>
                  </w:tcBorders>
                  <w:vAlign w:val="center"/>
                </w:tcPr>
                <w:p w14:paraId="3BDFA68A">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4</w:t>
                  </w:r>
                </w:p>
              </w:tc>
              <w:tc>
                <w:tcPr>
                  <w:tcW w:w="3454" w:type="dxa"/>
                  <w:tcBorders>
                    <w:top w:val="single" w:color="auto" w:sz="4" w:space="0"/>
                    <w:left w:val="nil"/>
                    <w:bottom w:val="single" w:color="auto" w:sz="4" w:space="0"/>
                    <w:right w:val="single" w:color="auto" w:sz="4" w:space="0"/>
                  </w:tcBorders>
                  <w:vAlign w:val="center"/>
                </w:tcPr>
                <w:p w14:paraId="2182A6FA">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服务器汇聚交换机</w:t>
                  </w:r>
                </w:p>
              </w:tc>
              <w:tc>
                <w:tcPr>
                  <w:tcW w:w="975" w:type="dxa"/>
                  <w:tcBorders>
                    <w:top w:val="single" w:color="auto" w:sz="4" w:space="0"/>
                    <w:left w:val="nil"/>
                    <w:bottom w:val="single" w:color="auto" w:sz="4" w:space="0"/>
                    <w:right w:val="single" w:color="auto" w:sz="4" w:space="0"/>
                  </w:tcBorders>
                  <w:vAlign w:val="center"/>
                </w:tcPr>
                <w:p w14:paraId="04C174C8">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1</w:t>
                  </w:r>
                </w:p>
              </w:tc>
              <w:tc>
                <w:tcPr>
                  <w:tcW w:w="1031" w:type="dxa"/>
                  <w:tcBorders>
                    <w:top w:val="single" w:color="auto" w:sz="4" w:space="0"/>
                    <w:left w:val="nil"/>
                    <w:bottom w:val="single" w:color="auto" w:sz="4" w:space="0"/>
                    <w:right w:val="single" w:color="auto" w:sz="4" w:space="0"/>
                  </w:tcBorders>
                  <w:vAlign w:val="center"/>
                </w:tcPr>
                <w:p w14:paraId="63DCAFB9">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台</w:t>
                  </w:r>
                </w:p>
              </w:tc>
            </w:tr>
            <w:tr w14:paraId="61D72AAB">
              <w:tblPrEx>
                <w:tblCellMar>
                  <w:top w:w="0" w:type="dxa"/>
                  <w:left w:w="0" w:type="dxa"/>
                  <w:bottom w:w="0" w:type="dxa"/>
                  <w:right w:w="0" w:type="dxa"/>
                </w:tblCellMar>
              </w:tblPrEx>
              <w:trPr>
                <w:trHeight w:val="369" w:hRule="atLeast"/>
                <w:jc w:val="center"/>
              </w:trPr>
              <w:tc>
                <w:tcPr>
                  <w:tcW w:w="822" w:type="dxa"/>
                  <w:tcBorders>
                    <w:top w:val="single" w:color="auto" w:sz="4" w:space="0"/>
                    <w:left w:val="single" w:color="auto" w:sz="4" w:space="0"/>
                    <w:bottom w:val="single" w:color="auto" w:sz="4" w:space="0"/>
                    <w:right w:val="single" w:color="auto" w:sz="4" w:space="0"/>
                  </w:tcBorders>
                  <w:vAlign w:val="center"/>
                </w:tcPr>
                <w:p w14:paraId="45837D31">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5</w:t>
                  </w:r>
                </w:p>
              </w:tc>
              <w:tc>
                <w:tcPr>
                  <w:tcW w:w="3454" w:type="dxa"/>
                  <w:tcBorders>
                    <w:top w:val="single" w:color="auto" w:sz="4" w:space="0"/>
                    <w:left w:val="nil"/>
                    <w:bottom w:val="single" w:color="auto" w:sz="4" w:space="0"/>
                    <w:right w:val="single" w:color="auto" w:sz="4" w:space="0"/>
                  </w:tcBorders>
                  <w:vAlign w:val="center"/>
                </w:tcPr>
                <w:p w14:paraId="2A31187B">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安全业务接入交换机</w:t>
                  </w:r>
                </w:p>
              </w:tc>
              <w:tc>
                <w:tcPr>
                  <w:tcW w:w="975" w:type="dxa"/>
                  <w:tcBorders>
                    <w:top w:val="single" w:color="auto" w:sz="4" w:space="0"/>
                    <w:left w:val="nil"/>
                    <w:bottom w:val="single" w:color="auto" w:sz="4" w:space="0"/>
                    <w:right w:val="single" w:color="auto" w:sz="4" w:space="0"/>
                  </w:tcBorders>
                  <w:vAlign w:val="center"/>
                </w:tcPr>
                <w:p w14:paraId="367A6A84">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1</w:t>
                  </w:r>
                </w:p>
              </w:tc>
              <w:tc>
                <w:tcPr>
                  <w:tcW w:w="1031" w:type="dxa"/>
                  <w:tcBorders>
                    <w:top w:val="single" w:color="auto" w:sz="4" w:space="0"/>
                    <w:left w:val="nil"/>
                    <w:bottom w:val="single" w:color="auto" w:sz="4" w:space="0"/>
                    <w:right w:val="single" w:color="auto" w:sz="4" w:space="0"/>
                  </w:tcBorders>
                  <w:vAlign w:val="center"/>
                </w:tcPr>
                <w:p w14:paraId="2AD5ACF3">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台</w:t>
                  </w:r>
                </w:p>
              </w:tc>
            </w:tr>
            <w:tr w14:paraId="394E65A3">
              <w:tblPrEx>
                <w:tblCellMar>
                  <w:top w:w="0" w:type="dxa"/>
                  <w:left w:w="0" w:type="dxa"/>
                  <w:bottom w:w="0" w:type="dxa"/>
                  <w:right w:w="0" w:type="dxa"/>
                </w:tblCellMar>
              </w:tblPrEx>
              <w:trPr>
                <w:trHeight w:val="369" w:hRule="atLeast"/>
                <w:jc w:val="center"/>
              </w:trPr>
              <w:tc>
                <w:tcPr>
                  <w:tcW w:w="822" w:type="dxa"/>
                  <w:tcBorders>
                    <w:top w:val="single" w:color="auto" w:sz="4" w:space="0"/>
                    <w:left w:val="single" w:color="auto" w:sz="4" w:space="0"/>
                    <w:bottom w:val="single" w:color="auto" w:sz="4" w:space="0"/>
                    <w:right w:val="single" w:color="auto" w:sz="4" w:space="0"/>
                  </w:tcBorders>
                  <w:vAlign w:val="center"/>
                </w:tcPr>
                <w:p w14:paraId="46D01062">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6</w:t>
                  </w:r>
                </w:p>
              </w:tc>
              <w:tc>
                <w:tcPr>
                  <w:tcW w:w="3454" w:type="dxa"/>
                  <w:tcBorders>
                    <w:top w:val="single" w:color="auto" w:sz="4" w:space="0"/>
                    <w:left w:val="nil"/>
                    <w:bottom w:val="single" w:color="auto" w:sz="4" w:space="0"/>
                    <w:right w:val="single" w:color="auto" w:sz="4" w:space="0"/>
                  </w:tcBorders>
                  <w:vAlign w:val="center"/>
                </w:tcPr>
                <w:p w14:paraId="7E00897E">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终端管理交换机</w:t>
                  </w:r>
                </w:p>
              </w:tc>
              <w:tc>
                <w:tcPr>
                  <w:tcW w:w="975" w:type="dxa"/>
                  <w:tcBorders>
                    <w:top w:val="single" w:color="auto" w:sz="4" w:space="0"/>
                    <w:left w:val="nil"/>
                    <w:bottom w:val="single" w:color="auto" w:sz="4" w:space="0"/>
                    <w:right w:val="single" w:color="auto" w:sz="4" w:space="0"/>
                  </w:tcBorders>
                  <w:vAlign w:val="center"/>
                </w:tcPr>
                <w:p w14:paraId="42ABD118">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1</w:t>
                  </w:r>
                </w:p>
              </w:tc>
              <w:tc>
                <w:tcPr>
                  <w:tcW w:w="1031" w:type="dxa"/>
                  <w:tcBorders>
                    <w:top w:val="single" w:color="auto" w:sz="4" w:space="0"/>
                    <w:left w:val="nil"/>
                    <w:bottom w:val="single" w:color="auto" w:sz="4" w:space="0"/>
                    <w:right w:val="single" w:color="auto" w:sz="4" w:space="0"/>
                  </w:tcBorders>
                  <w:vAlign w:val="center"/>
                </w:tcPr>
                <w:p w14:paraId="0B5CFF1B">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台</w:t>
                  </w:r>
                </w:p>
              </w:tc>
            </w:tr>
            <w:tr w14:paraId="6A127054">
              <w:tblPrEx>
                <w:tblCellMar>
                  <w:top w:w="0" w:type="dxa"/>
                  <w:left w:w="0" w:type="dxa"/>
                  <w:bottom w:w="0" w:type="dxa"/>
                  <w:right w:w="0" w:type="dxa"/>
                </w:tblCellMar>
              </w:tblPrEx>
              <w:trPr>
                <w:trHeight w:val="369" w:hRule="atLeast"/>
                <w:jc w:val="center"/>
              </w:trPr>
              <w:tc>
                <w:tcPr>
                  <w:tcW w:w="822" w:type="dxa"/>
                  <w:tcBorders>
                    <w:top w:val="single" w:color="auto" w:sz="4" w:space="0"/>
                    <w:left w:val="single" w:color="auto" w:sz="4" w:space="0"/>
                    <w:bottom w:val="single" w:color="auto" w:sz="4" w:space="0"/>
                    <w:right w:val="single" w:color="auto" w:sz="4" w:space="0"/>
                  </w:tcBorders>
                  <w:vAlign w:val="center"/>
                </w:tcPr>
                <w:p w14:paraId="2C96133E">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7</w:t>
                  </w:r>
                </w:p>
              </w:tc>
              <w:tc>
                <w:tcPr>
                  <w:tcW w:w="3454" w:type="dxa"/>
                  <w:tcBorders>
                    <w:top w:val="single" w:color="auto" w:sz="4" w:space="0"/>
                    <w:left w:val="nil"/>
                    <w:bottom w:val="single" w:color="auto" w:sz="4" w:space="0"/>
                    <w:right w:val="single" w:color="auto" w:sz="4" w:space="0"/>
                  </w:tcBorders>
                  <w:vAlign w:val="center"/>
                </w:tcPr>
                <w:p w14:paraId="11191BA5">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监控大厅精密空调</w:t>
                  </w:r>
                </w:p>
              </w:tc>
              <w:tc>
                <w:tcPr>
                  <w:tcW w:w="975" w:type="dxa"/>
                  <w:tcBorders>
                    <w:top w:val="single" w:color="auto" w:sz="4" w:space="0"/>
                    <w:left w:val="nil"/>
                    <w:bottom w:val="single" w:color="auto" w:sz="4" w:space="0"/>
                    <w:right w:val="single" w:color="auto" w:sz="4" w:space="0"/>
                  </w:tcBorders>
                  <w:vAlign w:val="center"/>
                </w:tcPr>
                <w:p w14:paraId="22CEDA65">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2</w:t>
                  </w:r>
                </w:p>
              </w:tc>
              <w:tc>
                <w:tcPr>
                  <w:tcW w:w="1031" w:type="dxa"/>
                  <w:tcBorders>
                    <w:top w:val="single" w:color="auto" w:sz="4" w:space="0"/>
                    <w:left w:val="nil"/>
                    <w:bottom w:val="single" w:color="auto" w:sz="4" w:space="0"/>
                    <w:right w:val="single" w:color="auto" w:sz="4" w:space="0"/>
                  </w:tcBorders>
                  <w:vAlign w:val="center"/>
                </w:tcPr>
                <w:p w14:paraId="34A644E6">
                  <w:pPr>
                    <w:spacing w:line="240" w:lineRule="auto"/>
                    <w:jc w:val="center"/>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台</w:t>
                  </w:r>
                </w:p>
              </w:tc>
            </w:tr>
          </w:tbl>
          <w:p w14:paraId="218A86CC">
            <w:pPr>
              <w:adjustRightInd w:val="0"/>
              <w:spacing w:line="240" w:lineRule="auto"/>
              <w:ind w:firstLine="400" w:firstLineChars="200"/>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3.大屏幕投影维护清单</w:t>
            </w:r>
          </w:p>
          <w:tbl>
            <w:tblPr>
              <w:tblStyle w:val="4"/>
              <w:tblW w:w="6291" w:type="dxa"/>
              <w:jc w:val="center"/>
              <w:tblLayout w:type="autofit"/>
              <w:tblCellMar>
                <w:top w:w="0" w:type="dxa"/>
                <w:left w:w="0" w:type="dxa"/>
                <w:bottom w:w="0" w:type="dxa"/>
                <w:right w:w="0" w:type="dxa"/>
              </w:tblCellMar>
            </w:tblPr>
            <w:tblGrid>
              <w:gridCol w:w="822"/>
              <w:gridCol w:w="3422"/>
              <w:gridCol w:w="993"/>
              <w:gridCol w:w="1054"/>
            </w:tblGrid>
            <w:tr w14:paraId="4C2CE6DD">
              <w:tblPrEx>
                <w:tblCellMar>
                  <w:top w:w="0" w:type="dxa"/>
                  <w:left w:w="0" w:type="dxa"/>
                  <w:bottom w:w="0" w:type="dxa"/>
                  <w:right w:w="0" w:type="dxa"/>
                </w:tblCellMar>
              </w:tblPrEx>
              <w:trPr>
                <w:trHeight w:val="369" w:hRule="atLeast"/>
                <w:tblHeader/>
                <w:jc w:val="center"/>
              </w:trPr>
              <w:tc>
                <w:tcPr>
                  <w:tcW w:w="822" w:type="dxa"/>
                  <w:tcBorders>
                    <w:top w:val="single" w:color="auto" w:sz="4" w:space="0"/>
                    <w:left w:val="single" w:color="auto" w:sz="4" w:space="0"/>
                    <w:bottom w:val="single" w:color="auto" w:sz="4" w:space="0"/>
                    <w:right w:val="single" w:color="auto" w:sz="4" w:space="0"/>
                  </w:tcBorders>
                  <w:vAlign w:val="center"/>
                </w:tcPr>
                <w:p w14:paraId="4E81009D">
                  <w:pPr>
                    <w:spacing w:line="240" w:lineRule="auto"/>
                    <w:jc w:val="center"/>
                    <w:rPr>
                      <w:rFonts w:hint="eastAsia" w:ascii="宋体" w:hAnsi="宋体" w:eastAsia="宋体" w:cs="宋体"/>
                      <w:b/>
                      <w:bCs/>
                      <w:sz w:val="20"/>
                      <w:szCs w:val="20"/>
                      <w:highlight w:val="none"/>
                    </w:rPr>
                  </w:pPr>
                  <w:r>
                    <w:rPr>
                      <w:rFonts w:hint="eastAsia" w:ascii="宋体" w:hAnsi="宋体" w:eastAsia="宋体" w:cs="宋体"/>
                      <w:b/>
                      <w:bCs/>
                      <w:sz w:val="20"/>
                      <w:szCs w:val="20"/>
                      <w:highlight w:val="none"/>
                    </w:rPr>
                    <w:t>序号</w:t>
                  </w:r>
                </w:p>
              </w:tc>
              <w:tc>
                <w:tcPr>
                  <w:tcW w:w="3422" w:type="dxa"/>
                  <w:tcBorders>
                    <w:top w:val="single" w:color="auto" w:sz="4" w:space="0"/>
                    <w:left w:val="nil"/>
                    <w:bottom w:val="single" w:color="auto" w:sz="4" w:space="0"/>
                    <w:right w:val="single" w:color="auto" w:sz="4" w:space="0"/>
                  </w:tcBorders>
                  <w:vAlign w:val="center"/>
                </w:tcPr>
                <w:p w14:paraId="1B6FEB6C">
                  <w:pPr>
                    <w:spacing w:line="240" w:lineRule="auto"/>
                    <w:jc w:val="center"/>
                    <w:rPr>
                      <w:rFonts w:hint="eastAsia" w:ascii="宋体" w:hAnsi="宋体" w:eastAsia="宋体" w:cs="宋体"/>
                      <w:b/>
                      <w:bCs/>
                      <w:sz w:val="20"/>
                      <w:szCs w:val="20"/>
                      <w:highlight w:val="none"/>
                    </w:rPr>
                  </w:pPr>
                  <w:r>
                    <w:rPr>
                      <w:rFonts w:hint="eastAsia" w:ascii="宋体" w:hAnsi="宋体" w:eastAsia="宋体" w:cs="宋体"/>
                      <w:b/>
                      <w:bCs/>
                      <w:sz w:val="20"/>
                      <w:szCs w:val="20"/>
                      <w:highlight w:val="none"/>
                    </w:rPr>
                    <w:t>维护内容</w:t>
                  </w:r>
                </w:p>
              </w:tc>
              <w:tc>
                <w:tcPr>
                  <w:tcW w:w="993" w:type="dxa"/>
                  <w:tcBorders>
                    <w:top w:val="single" w:color="auto" w:sz="4" w:space="0"/>
                    <w:left w:val="nil"/>
                    <w:bottom w:val="single" w:color="auto" w:sz="4" w:space="0"/>
                    <w:right w:val="single" w:color="auto" w:sz="4" w:space="0"/>
                  </w:tcBorders>
                  <w:vAlign w:val="center"/>
                </w:tcPr>
                <w:p w14:paraId="2A4F1B44">
                  <w:pPr>
                    <w:spacing w:line="240" w:lineRule="auto"/>
                    <w:jc w:val="center"/>
                    <w:rPr>
                      <w:rFonts w:hint="eastAsia" w:ascii="宋体" w:hAnsi="宋体" w:eastAsia="宋体" w:cs="宋体"/>
                      <w:b/>
                      <w:bCs/>
                      <w:sz w:val="20"/>
                      <w:szCs w:val="20"/>
                      <w:highlight w:val="none"/>
                    </w:rPr>
                  </w:pPr>
                  <w:r>
                    <w:rPr>
                      <w:rFonts w:hint="eastAsia" w:ascii="宋体" w:hAnsi="宋体" w:eastAsia="宋体" w:cs="宋体"/>
                      <w:b/>
                      <w:bCs/>
                      <w:sz w:val="20"/>
                      <w:szCs w:val="20"/>
                      <w:highlight w:val="none"/>
                    </w:rPr>
                    <w:t>数量</w:t>
                  </w:r>
                </w:p>
              </w:tc>
              <w:tc>
                <w:tcPr>
                  <w:tcW w:w="1054" w:type="dxa"/>
                  <w:tcBorders>
                    <w:top w:val="single" w:color="auto" w:sz="4" w:space="0"/>
                    <w:left w:val="nil"/>
                    <w:bottom w:val="single" w:color="auto" w:sz="4" w:space="0"/>
                    <w:right w:val="single" w:color="auto" w:sz="4" w:space="0"/>
                  </w:tcBorders>
                  <w:vAlign w:val="center"/>
                </w:tcPr>
                <w:p w14:paraId="33C49A15">
                  <w:pPr>
                    <w:spacing w:line="240" w:lineRule="auto"/>
                    <w:jc w:val="center"/>
                    <w:rPr>
                      <w:rFonts w:hint="eastAsia" w:ascii="宋体" w:hAnsi="宋体" w:eastAsia="宋体" w:cs="宋体"/>
                      <w:b/>
                      <w:bCs/>
                      <w:sz w:val="20"/>
                      <w:szCs w:val="20"/>
                      <w:highlight w:val="none"/>
                    </w:rPr>
                  </w:pPr>
                  <w:r>
                    <w:rPr>
                      <w:rFonts w:hint="eastAsia" w:ascii="宋体" w:hAnsi="宋体" w:eastAsia="宋体" w:cs="宋体"/>
                      <w:b/>
                      <w:bCs/>
                      <w:sz w:val="20"/>
                      <w:szCs w:val="20"/>
                      <w:highlight w:val="none"/>
                    </w:rPr>
                    <w:t>单位</w:t>
                  </w:r>
                </w:p>
              </w:tc>
            </w:tr>
            <w:tr w14:paraId="513FBA8F">
              <w:tblPrEx>
                <w:tblCellMar>
                  <w:top w:w="0" w:type="dxa"/>
                  <w:left w:w="0" w:type="dxa"/>
                  <w:bottom w:w="0" w:type="dxa"/>
                  <w:right w:w="0" w:type="dxa"/>
                </w:tblCellMar>
              </w:tblPrEx>
              <w:trPr>
                <w:cantSplit/>
                <w:trHeight w:val="369" w:hRule="atLeast"/>
                <w:jc w:val="center"/>
              </w:trPr>
              <w:tc>
                <w:tcPr>
                  <w:tcW w:w="822" w:type="dxa"/>
                  <w:tcBorders>
                    <w:top w:val="nil"/>
                    <w:left w:val="single" w:color="auto" w:sz="4" w:space="0"/>
                    <w:bottom w:val="nil"/>
                    <w:right w:val="single" w:color="auto" w:sz="4" w:space="0"/>
                  </w:tcBorders>
                  <w:vAlign w:val="center"/>
                </w:tcPr>
                <w:p w14:paraId="6D82AAA4">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1</w:t>
                  </w:r>
                </w:p>
              </w:tc>
              <w:tc>
                <w:tcPr>
                  <w:tcW w:w="3422" w:type="dxa"/>
                  <w:tcBorders>
                    <w:top w:val="nil"/>
                    <w:left w:val="nil"/>
                    <w:bottom w:val="nil"/>
                    <w:right w:val="single" w:color="auto" w:sz="4" w:space="0"/>
                  </w:tcBorders>
                  <w:vAlign w:val="center"/>
                </w:tcPr>
                <w:p w14:paraId="4A12D8A6">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DLP显示单元</w:t>
                  </w:r>
                </w:p>
              </w:tc>
              <w:tc>
                <w:tcPr>
                  <w:tcW w:w="993" w:type="dxa"/>
                  <w:tcBorders>
                    <w:top w:val="nil"/>
                    <w:left w:val="nil"/>
                    <w:bottom w:val="nil"/>
                    <w:right w:val="single" w:color="auto" w:sz="4" w:space="0"/>
                  </w:tcBorders>
                  <w:vAlign w:val="center"/>
                </w:tcPr>
                <w:p w14:paraId="544B33A9">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48</w:t>
                  </w:r>
                </w:p>
              </w:tc>
              <w:tc>
                <w:tcPr>
                  <w:tcW w:w="1054" w:type="dxa"/>
                  <w:tcBorders>
                    <w:top w:val="nil"/>
                    <w:left w:val="nil"/>
                    <w:bottom w:val="nil"/>
                    <w:right w:val="single" w:color="auto" w:sz="4" w:space="0"/>
                  </w:tcBorders>
                  <w:vAlign w:val="center"/>
                </w:tcPr>
                <w:p w14:paraId="4FAB31FD">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套</w:t>
                  </w:r>
                </w:p>
              </w:tc>
            </w:tr>
            <w:tr w14:paraId="7F59A243">
              <w:tblPrEx>
                <w:tblCellMar>
                  <w:top w:w="0" w:type="dxa"/>
                  <w:left w:w="0" w:type="dxa"/>
                  <w:bottom w:w="0" w:type="dxa"/>
                  <w:right w:w="0" w:type="dxa"/>
                </w:tblCellMar>
              </w:tblPrEx>
              <w:trPr>
                <w:trHeight w:val="369" w:hRule="atLeast"/>
                <w:jc w:val="center"/>
              </w:trPr>
              <w:tc>
                <w:tcPr>
                  <w:tcW w:w="822" w:type="dxa"/>
                  <w:tcBorders>
                    <w:top w:val="single" w:color="auto" w:sz="4" w:space="0"/>
                    <w:left w:val="single" w:color="auto" w:sz="4" w:space="0"/>
                    <w:bottom w:val="single" w:color="auto" w:sz="4" w:space="0"/>
                    <w:right w:val="single" w:color="auto" w:sz="4" w:space="0"/>
                  </w:tcBorders>
                  <w:vAlign w:val="center"/>
                </w:tcPr>
                <w:p w14:paraId="504AEEE9">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rPr>
                    <w:t>2</w:t>
                  </w:r>
                </w:p>
              </w:tc>
              <w:tc>
                <w:tcPr>
                  <w:tcW w:w="3422" w:type="dxa"/>
                  <w:tcBorders>
                    <w:top w:val="single" w:color="auto" w:sz="4" w:space="0"/>
                    <w:left w:val="nil"/>
                    <w:bottom w:val="single" w:color="auto" w:sz="4" w:space="0"/>
                    <w:right w:val="single" w:color="auto" w:sz="4" w:space="0"/>
                  </w:tcBorders>
                  <w:vAlign w:val="center"/>
                </w:tcPr>
                <w:p w14:paraId="28EA9FA8">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大屏幕管理计算机</w:t>
                  </w:r>
                </w:p>
              </w:tc>
              <w:tc>
                <w:tcPr>
                  <w:tcW w:w="993" w:type="dxa"/>
                  <w:tcBorders>
                    <w:top w:val="single" w:color="auto" w:sz="4" w:space="0"/>
                    <w:left w:val="nil"/>
                    <w:bottom w:val="single" w:color="auto" w:sz="4" w:space="0"/>
                    <w:right w:val="single" w:color="auto" w:sz="4" w:space="0"/>
                  </w:tcBorders>
                  <w:vAlign w:val="center"/>
                </w:tcPr>
                <w:p w14:paraId="09CC69C9">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1</w:t>
                  </w:r>
                </w:p>
              </w:tc>
              <w:tc>
                <w:tcPr>
                  <w:tcW w:w="1054" w:type="dxa"/>
                  <w:tcBorders>
                    <w:top w:val="single" w:color="auto" w:sz="4" w:space="0"/>
                    <w:left w:val="nil"/>
                    <w:bottom w:val="single" w:color="auto" w:sz="4" w:space="0"/>
                    <w:right w:val="single" w:color="auto" w:sz="4" w:space="0"/>
                  </w:tcBorders>
                  <w:vAlign w:val="center"/>
                </w:tcPr>
                <w:p w14:paraId="234DD17D">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台</w:t>
                  </w:r>
                </w:p>
              </w:tc>
            </w:tr>
            <w:tr w14:paraId="7BD0ADFA">
              <w:tblPrEx>
                <w:tblCellMar>
                  <w:top w:w="0" w:type="dxa"/>
                  <w:left w:w="0" w:type="dxa"/>
                  <w:bottom w:w="0" w:type="dxa"/>
                  <w:right w:w="0" w:type="dxa"/>
                </w:tblCellMar>
              </w:tblPrEx>
              <w:trPr>
                <w:trHeight w:val="369" w:hRule="atLeast"/>
                <w:jc w:val="center"/>
              </w:trPr>
              <w:tc>
                <w:tcPr>
                  <w:tcW w:w="822" w:type="dxa"/>
                  <w:tcBorders>
                    <w:top w:val="single" w:color="auto" w:sz="4" w:space="0"/>
                    <w:left w:val="single" w:color="auto" w:sz="4" w:space="0"/>
                    <w:bottom w:val="single" w:color="auto" w:sz="4" w:space="0"/>
                    <w:right w:val="single" w:color="auto" w:sz="4" w:space="0"/>
                  </w:tcBorders>
                  <w:vAlign w:val="center"/>
                </w:tcPr>
                <w:p w14:paraId="4CD39C92">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rPr>
                    <w:t>3</w:t>
                  </w:r>
                </w:p>
              </w:tc>
              <w:tc>
                <w:tcPr>
                  <w:tcW w:w="3422" w:type="dxa"/>
                  <w:tcBorders>
                    <w:top w:val="single" w:color="auto" w:sz="4" w:space="0"/>
                    <w:left w:val="nil"/>
                    <w:bottom w:val="single" w:color="auto" w:sz="4" w:space="0"/>
                    <w:right w:val="single" w:color="auto" w:sz="4" w:space="0"/>
                  </w:tcBorders>
                  <w:vAlign w:val="center"/>
                </w:tcPr>
                <w:p w14:paraId="60B31DE6">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LED屏幕管理计算机</w:t>
                  </w:r>
                </w:p>
              </w:tc>
              <w:tc>
                <w:tcPr>
                  <w:tcW w:w="993" w:type="dxa"/>
                  <w:tcBorders>
                    <w:top w:val="single" w:color="auto" w:sz="4" w:space="0"/>
                    <w:left w:val="nil"/>
                    <w:bottom w:val="single" w:color="auto" w:sz="4" w:space="0"/>
                    <w:right w:val="single" w:color="auto" w:sz="4" w:space="0"/>
                  </w:tcBorders>
                  <w:vAlign w:val="center"/>
                </w:tcPr>
                <w:p w14:paraId="35E4DAF0">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1</w:t>
                  </w:r>
                </w:p>
              </w:tc>
              <w:tc>
                <w:tcPr>
                  <w:tcW w:w="1054" w:type="dxa"/>
                  <w:tcBorders>
                    <w:top w:val="single" w:color="auto" w:sz="4" w:space="0"/>
                    <w:left w:val="nil"/>
                    <w:bottom w:val="single" w:color="auto" w:sz="4" w:space="0"/>
                    <w:right w:val="single" w:color="auto" w:sz="4" w:space="0"/>
                  </w:tcBorders>
                  <w:vAlign w:val="center"/>
                </w:tcPr>
                <w:p w14:paraId="3DB1F79F">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台</w:t>
                  </w:r>
                </w:p>
              </w:tc>
            </w:tr>
            <w:tr w14:paraId="3C0A3BCC">
              <w:tblPrEx>
                <w:tblCellMar>
                  <w:top w:w="0" w:type="dxa"/>
                  <w:left w:w="0" w:type="dxa"/>
                  <w:bottom w:w="0" w:type="dxa"/>
                  <w:right w:w="0" w:type="dxa"/>
                </w:tblCellMar>
              </w:tblPrEx>
              <w:trPr>
                <w:trHeight w:val="369" w:hRule="atLeast"/>
                <w:jc w:val="center"/>
              </w:trPr>
              <w:tc>
                <w:tcPr>
                  <w:tcW w:w="822" w:type="dxa"/>
                  <w:tcBorders>
                    <w:top w:val="single" w:color="auto" w:sz="4" w:space="0"/>
                    <w:left w:val="single" w:color="auto" w:sz="4" w:space="0"/>
                    <w:bottom w:val="single" w:color="auto" w:sz="4" w:space="0"/>
                    <w:right w:val="single" w:color="auto" w:sz="4" w:space="0"/>
                  </w:tcBorders>
                  <w:vAlign w:val="center"/>
                </w:tcPr>
                <w:p w14:paraId="24182AAC">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rPr>
                    <w:t>4</w:t>
                  </w:r>
                </w:p>
              </w:tc>
              <w:tc>
                <w:tcPr>
                  <w:tcW w:w="3422" w:type="dxa"/>
                  <w:tcBorders>
                    <w:top w:val="single" w:color="auto" w:sz="4" w:space="0"/>
                    <w:left w:val="nil"/>
                    <w:bottom w:val="single" w:color="auto" w:sz="4" w:space="0"/>
                    <w:right w:val="single" w:color="auto" w:sz="4" w:space="0"/>
                  </w:tcBorders>
                  <w:vAlign w:val="center"/>
                </w:tcPr>
                <w:p w14:paraId="243726A7">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大屏幕投影系统控制器</w:t>
                  </w:r>
                </w:p>
              </w:tc>
              <w:tc>
                <w:tcPr>
                  <w:tcW w:w="993" w:type="dxa"/>
                  <w:tcBorders>
                    <w:top w:val="single" w:color="auto" w:sz="4" w:space="0"/>
                    <w:left w:val="nil"/>
                    <w:bottom w:val="single" w:color="auto" w:sz="4" w:space="0"/>
                    <w:right w:val="single" w:color="auto" w:sz="4" w:space="0"/>
                  </w:tcBorders>
                  <w:vAlign w:val="center"/>
                </w:tcPr>
                <w:p w14:paraId="53EA41B0">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1</w:t>
                  </w:r>
                </w:p>
              </w:tc>
              <w:tc>
                <w:tcPr>
                  <w:tcW w:w="1054" w:type="dxa"/>
                  <w:tcBorders>
                    <w:top w:val="single" w:color="auto" w:sz="4" w:space="0"/>
                    <w:left w:val="nil"/>
                    <w:bottom w:val="single" w:color="auto" w:sz="4" w:space="0"/>
                    <w:right w:val="single" w:color="auto" w:sz="4" w:space="0"/>
                  </w:tcBorders>
                  <w:vAlign w:val="center"/>
                </w:tcPr>
                <w:p w14:paraId="54E139A4">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台</w:t>
                  </w:r>
                </w:p>
              </w:tc>
            </w:tr>
            <w:tr w14:paraId="00A3F938">
              <w:tblPrEx>
                <w:tblCellMar>
                  <w:top w:w="0" w:type="dxa"/>
                  <w:left w:w="0" w:type="dxa"/>
                  <w:bottom w:w="0" w:type="dxa"/>
                  <w:right w:w="0" w:type="dxa"/>
                </w:tblCellMar>
              </w:tblPrEx>
              <w:trPr>
                <w:trHeight w:val="369" w:hRule="atLeast"/>
                <w:jc w:val="center"/>
              </w:trPr>
              <w:tc>
                <w:tcPr>
                  <w:tcW w:w="822" w:type="dxa"/>
                  <w:tcBorders>
                    <w:top w:val="single" w:color="auto" w:sz="4" w:space="0"/>
                    <w:left w:val="single" w:color="auto" w:sz="4" w:space="0"/>
                    <w:bottom w:val="single" w:color="auto" w:sz="4" w:space="0"/>
                    <w:right w:val="single" w:color="auto" w:sz="4" w:space="0"/>
                  </w:tcBorders>
                  <w:vAlign w:val="center"/>
                </w:tcPr>
                <w:p w14:paraId="62D2B328">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rPr>
                    <w:t>5</w:t>
                  </w:r>
                </w:p>
              </w:tc>
              <w:tc>
                <w:tcPr>
                  <w:tcW w:w="3422" w:type="dxa"/>
                  <w:tcBorders>
                    <w:top w:val="single" w:color="auto" w:sz="4" w:space="0"/>
                    <w:left w:val="nil"/>
                    <w:bottom w:val="single" w:color="auto" w:sz="4" w:space="0"/>
                    <w:right w:val="single" w:color="auto" w:sz="4" w:space="0"/>
                  </w:tcBorders>
                  <w:vAlign w:val="center"/>
                </w:tcPr>
                <w:p w14:paraId="1292AD7B">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LED屏幕</w:t>
                  </w:r>
                </w:p>
              </w:tc>
              <w:tc>
                <w:tcPr>
                  <w:tcW w:w="993" w:type="dxa"/>
                  <w:tcBorders>
                    <w:top w:val="single" w:color="auto" w:sz="4" w:space="0"/>
                    <w:left w:val="nil"/>
                    <w:bottom w:val="single" w:color="auto" w:sz="4" w:space="0"/>
                    <w:right w:val="single" w:color="auto" w:sz="4" w:space="0"/>
                  </w:tcBorders>
                  <w:vAlign w:val="center"/>
                </w:tcPr>
                <w:p w14:paraId="2F329B97">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3</w:t>
                  </w:r>
                </w:p>
              </w:tc>
              <w:tc>
                <w:tcPr>
                  <w:tcW w:w="1054" w:type="dxa"/>
                  <w:tcBorders>
                    <w:top w:val="single" w:color="auto" w:sz="4" w:space="0"/>
                    <w:left w:val="nil"/>
                    <w:bottom w:val="single" w:color="auto" w:sz="4" w:space="0"/>
                    <w:right w:val="single" w:color="auto" w:sz="4" w:space="0"/>
                  </w:tcBorders>
                  <w:vAlign w:val="center"/>
                </w:tcPr>
                <w:p w14:paraId="2CFC47A9">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套</w:t>
                  </w:r>
                </w:p>
              </w:tc>
            </w:tr>
            <w:tr w14:paraId="61CC8EFE">
              <w:tblPrEx>
                <w:tblCellMar>
                  <w:top w:w="0" w:type="dxa"/>
                  <w:left w:w="0" w:type="dxa"/>
                  <w:bottom w:w="0" w:type="dxa"/>
                  <w:right w:w="0" w:type="dxa"/>
                </w:tblCellMar>
              </w:tblPrEx>
              <w:trPr>
                <w:trHeight w:val="369" w:hRule="atLeast"/>
                <w:jc w:val="center"/>
              </w:trPr>
              <w:tc>
                <w:tcPr>
                  <w:tcW w:w="822" w:type="dxa"/>
                  <w:tcBorders>
                    <w:top w:val="single" w:color="auto" w:sz="4" w:space="0"/>
                    <w:left w:val="single" w:color="auto" w:sz="4" w:space="0"/>
                    <w:bottom w:val="single" w:color="auto" w:sz="4" w:space="0"/>
                    <w:right w:val="single" w:color="auto" w:sz="4" w:space="0"/>
                  </w:tcBorders>
                  <w:vAlign w:val="center"/>
                </w:tcPr>
                <w:p w14:paraId="303F999F">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val="en-US"/>
                    </w:rPr>
                    <w:t>6</w:t>
                  </w:r>
                </w:p>
              </w:tc>
              <w:tc>
                <w:tcPr>
                  <w:tcW w:w="3422" w:type="dxa"/>
                  <w:tcBorders>
                    <w:top w:val="single" w:color="auto" w:sz="4" w:space="0"/>
                    <w:left w:val="nil"/>
                    <w:bottom w:val="single" w:color="auto" w:sz="4" w:space="0"/>
                    <w:right w:val="single" w:color="auto" w:sz="4" w:space="0"/>
                  </w:tcBorders>
                  <w:vAlign w:val="center"/>
                </w:tcPr>
                <w:p w14:paraId="07A073EE">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LED屏幕管理管理软件</w:t>
                  </w:r>
                </w:p>
              </w:tc>
              <w:tc>
                <w:tcPr>
                  <w:tcW w:w="993" w:type="dxa"/>
                  <w:tcBorders>
                    <w:top w:val="single" w:color="auto" w:sz="4" w:space="0"/>
                    <w:left w:val="nil"/>
                    <w:bottom w:val="single" w:color="auto" w:sz="4" w:space="0"/>
                    <w:right w:val="single" w:color="auto" w:sz="4" w:space="0"/>
                  </w:tcBorders>
                  <w:vAlign w:val="center"/>
                </w:tcPr>
                <w:p w14:paraId="77BD9D68">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1</w:t>
                  </w:r>
                </w:p>
              </w:tc>
              <w:tc>
                <w:tcPr>
                  <w:tcW w:w="1054" w:type="dxa"/>
                  <w:tcBorders>
                    <w:top w:val="single" w:color="auto" w:sz="4" w:space="0"/>
                    <w:left w:val="nil"/>
                    <w:bottom w:val="single" w:color="auto" w:sz="4" w:space="0"/>
                    <w:right w:val="single" w:color="auto" w:sz="4" w:space="0"/>
                  </w:tcBorders>
                  <w:vAlign w:val="center"/>
                </w:tcPr>
                <w:p w14:paraId="4B36254D">
                  <w:pPr>
                    <w:spacing w:line="240" w:lineRule="auto"/>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套</w:t>
                  </w:r>
                </w:p>
              </w:tc>
            </w:tr>
          </w:tbl>
          <w:p w14:paraId="19CBB06C">
            <w:pPr>
              <w:widowControl/>
              <w:spacing w:line="240" w:lineRule="auto"/>
              <w:ind w:firstLine="400" w:firstLineChars="200"/>
              <w:jc w:val="both"/>
              <w:rPr>
                <w:rFonts w:hint="eastAsia" w:ascii="宋体" w:hAnsi="宋体" w:eastAsia="宋体" w:cs="宋体"/>
                <w:bCs/>
                <w:sz w:val="20"/>
                <w:szCs w:val="20"/>
                <w:highlight w:val="none"/>
                <w:lang w:val="en-US"/>
              </w:rPr>
            </w:pPr>
            <w:r>
              <w:rPr>
                <w:rFonts w:hint="eastAsia" w:ascii="宋体" w:hAnsi="宋体" w:eastAsia="宋体" w:cs="宋体"/>
                <w:bCs/>
                <w:sz w:val="20"/>
                <w:szCs w:val="20"/>
                <w:highlight w:val="none"/>
                <w:lang w:val="en-US"/>
              </w:rPr>
              <w:t>（七）其它服务内容</w:t>
            </w:r>
          </w:p>
          <w:p w14:paraId="202A86E5">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1.按照监控业务展示需求，对视频拼接方案进行调整。</w:t>
            </w:r>
          </w:p>
          <w:p w14:paraId="1659A586">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2.定期更换大屏幕投影系统机房线缆槽防鼠设施，做好鼠患防治工作。</w:t>
            </w:r>
          </w:p>
          <w:p w14:paraId="529F3DDF">
            <w:pPr>
              <w:pStyle w:val="3"/>
              <w:spacing w:line="240" w:lineRule="auto"/>
              <w:ind w:left="0" w:firstLine="400" w:firstLineChars="200"/>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3.承担陕西省高速公路新通车路段</w:t>
            </w:r>
            <w:r>
              <w:rPr>
                <w:rFonts w:hint="eastAsia" w:ascii="宋体" w:hAnsi="宋体" w:eastAsia="宋体" w:cs="宋体"/>
                <w:sz w:val="20"/>
                <w:szCs w:val="20"/>
                <w:highlight w:val="none"/>
                <w:lang w:val="en-US" w:eastAsia="zh-CN"/>
              </w:rPr>
              <w:t>路网运行监测系统</w:t>
            </w:r>
            <w:r>
              <w:rPr>
                <w:rFonts w:hint="eastAsia" w:ascii="宋体" w:hAnsi="宋体" w:eastAsia="宋体" w:cs="宋体"/>
                <w:sz w:val="20"/>
                <w:szCs w:val="20"/>
                <w:highlight w:val="none"/>
                <w:lang w:val="en-US"/>
              </w:rPr>
              <w:t>、视频云联网系统接入省中心的技术支持、调试及系统调整和网络配置工作。</w:t>
            </w:r>
          </w:p>
          <w:p w14:paraId="4CD66DD5">
            <w:pPr>
              <w:widowControl/>
              <w:spacing w:line="240" w:lineRule="auto"/>
              <w:ind w:firstLine="400" w:firstLineChars="200"/>
              <w:rPr>
                <w:rFonts w:hint="eastAsia" w:ascii="宋体" w:hAnsi="宋体" w:eastAsia="宋体" w:cs="宋体"/>
                <w:bCs/>
                <w:sz w:val="20"/>
                <w:szCs w:val="20"/>
                <w:highlight w:val="none"/>
                <w:lang w:val="en-US"/>
              </w:rPr>
            </w:pPr>
            <w:r>
              <w:rPr>
                <w:rFonts w:hint="eastAsia" w:ascii="宋体" w:hAnsi="宋体" w:eastAsia="宋体" w:cs="宋体"/>
                <w:bCs/>
                <w:sz w:val="20"/>
                <w:szCs w:val="20"/>
                <w:highlight w:val="none"/>
                <w:lang w:val="en-US"/>
              </w:rPr>
              <w:t>（八）培训及值守</w:t>
            </w:r>
          </w:p>
          <w:p w14:paraId="2027A972">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1.针对采购人的技术培训，不少于2次。</w:t>
            </w:r>
          </w:p>
          <w:p w14:paraId="6081D21C">
            <w:pPr>
              <w:widowControl/>
              <w:spacing w:line="240" w:lineRule="auto"/>
              <w:ind w:firstLine="400" w:firstLineChars="200"/>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培训内容：省中心</w:t>
            </w:r>
            <w:r>
              <w:rPr>
                <w:rFonts w:hint="eastAsia" w:ascii="宋体" w:hAnsi="宋体" w:eastAsia="宋体" w:cs="宋体"/>
                <w:sz w:val="20"/>
                <w:szCs w:val="20"/>
                <w:highlight w:val="none"/>
                <w:lang w:val="en-US" w:eastAsia="zh-CN"/>
              </w:rPr>
              <w:t>路网运行监测系统</w:t>
            </w:r>
            <w:r>
              <w:rPr>
                <w:rFonts w:hint="eastAsia" w:ascii="宋体" w:hAnsi="宋体" w:eastAsia="宋体" w:cs="宋体"/>
                <w:sz w:val="20"/>
                <w:szCs w:val="20"/>
                <w:highlight w:val="none"/>
                <w:lang w:val="en-US"/>
              </w:rPr>
              <w:t>和</w:t>
            </w:r>
            <w:r>
              <w:rPr>
                <w:rFonts w:hint="eastAsia" w:ascii="宋体" w:hAnsi="宋体" w:eastAsia="宋体" w:cs="宋体"/>
                <w:sz w:val="20"/>
                <w:szCs w:val="20"/>
                <w:highlight w:val="none"/>
              </w:rPr>
              <w:t>一键发布系统软件操作及使用中需要注意的问题等。</w:t>
            </w:r>
            <w:r>
              <w:rPr>
                <w:rFonts w:hint="eastAsia" w:ascii="宋体" w:hAnsi="宋体" w:eastAsia="宋体" w:cs="宋体"/>
                <w:sz w:val="20"/>
                <w:szCs w:val="20"/>
                <w:highlight w:val="none"/>
                <w:lang w:val="en-US"/>
              </w:rPr>
              <w:t>大屏幕投影系统的构成、软件操作及使用中需要注意的问题等。同时提交相应的培训计划、培训材料和培训记录。</w:t>
            </w:r>
          </w:p>
          <w:p w14:paraId="069C2584">
            <w:pPr>
              <w:pStyle w:val="6"/>
              <w:keepNext w:val="0"/>
              <w:keepLines w:val="0"/>
              <w:pageBreakBefore w:val="0"/>
              <w:numPr>
                <w:ilvl w:val="0"/>
                <w:numId w:val="0"/>
              </w:numPr>
              <w:kinsoku/>
              <w:wordWrap/>
              <w:overflowPunct/>
              <w:topLinePunct w:val="0"/>
              <w:autoSpaceDE/>
              <w:autoSpaceDN/>
              <w:bidi w:val="0"/>
              <w:adjustRightInd/>
              <w:snapToGrid/>
              <w:spacing w:line="240" w:lineRule="auto"/>
              <w:ind w:firstLine="400" w:firstLineChars="200"/>
              <w:jc w:val="both"/>
              <w:textAlignment w:val="auto"/>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eastAsia="zh-CN"/>
              </w:rPr>
              <w:t>2.</w:t>
            </w:r>
            <w:r>
              <w:rPr>
                <w:rFonts w:hint="eastAsia" w:ascii="宋体" w:hAnsi="宋体" w:eastAsia="宋体" w:cs="宋体"/>
                <w:sz w:val="20"/>
                <w:szCs w:val="20"/>
                <w:highlight w:val="none"/>
                <w:lang w:val="en-US"/>
              </w:rPr>
              <w:t>安排专人值守，与采购人共同做好重要节假日（春节、清明节、劳动节、国庆节等）及周末的技术保障工作。</w:t>
            </w:r>
          </w:p>
          <w:p w14:paraId="35D9E215">
            <w:pPr>
              <w:spacing w:line="240" w:lineRule="auto"/>
              <w:rPr>
                <w:rFonts w:hint="eastAsia" w:ascii="宋体" w:hAnsi="宋体" w:eastAsia="宋体" w:cs="宋体"/>
                <w:b/>
                <w:bCs/>
                <w:sz w:val="20"/>
                <w:szCs w:val="20"/>
                <w:highlight w:val="none"/>
                <w:lang w:val="en-US"/>
              </w:rPr>
            </w:pPr>
            <w:r>
              <w:rPr>
                <w:rFonts w:hint="eastAsia" w:ascii="宋体" w:hAnsi="宋体" w:eastAsia="宋体" w:cs="宋体"/>
                <w:b/>
                <w:bCs/>
                <w:sz w:val="20"/>
                <w:szCs w:val="20"/>
                <w:highlight w:val="none"/>
                <w:lang w:val="en-US"/>
              </w:rPr>
              <w:t>三、服务要求</w:t>
            </w:r>
          </w:p>
          <w:p w14:paraId="01E72EF7">
            <w:pPr>
              <w:spacing w:line="240" w:lineRule="auto"/>
              <w:ind w:firstLine="400" w:firstLineChars="200"/>
              <w:rPr>
                <w:rFonts w:hint="eastAsia" w:ascii="宋体" w:hAnsi="宋体" w:eastAsia="宋体" w:cs="宋体"/>
                <w:sz w:val="20"/>
                <w:szCs w:val="20"/>
                <w:highlight w:val="none"/>
                <w:lang w:val="en-US"/>
              </w:rPr>
            </w:pPr>
            <w:r>
              <w:rPr>
                <w:rFonts w:hint="eastAsia" w:ascii="宋体" w:hAnsi="宋体" w:eastAsia="宋体" w:cs="宋体"/>
                <w:sz w:val="20"/>
                <w:szCs w:val="20"/>
                <w:highlight w:val="none"/>
              </w:rPr>
              <w:t>（一）服务基本要求</w:t>
            </w:r>
          </w:p>
          <w:p w14:paraId="3909CCA4">
            <w:pPr>
              <w:spacing w:line="240" w:lineRule="auto"/>
              <w:ind w:firstLine="400" w:firstLineChars="200"/>
              <w:rPr>
                <w:rFonts w:hint="eastAsia" w:ascii="宋体" w:hAnsi="宋体" w:eastAsia="宋体" w:cs="宋体"/>
                <w:sz w:val="20"/>
                <w:szCs w:val="20"/>
                <w:highlight w:val="none"/>
              </w:rPr>
            </w:pPr>
            <w:r>
              <w:rPr>
                <w:rFonts w:hint="eastAsia" w:ascii="宋体" w:hAnsi="宋体" w:eastAsia="宋体" w:cs="宋体"/>
                <w:sz w:val="20"/>
                <w:szCs w:val="20"/>
                <w:highlight w:val="none"/>
              </w:rPr>
              <w:t>1.服务时间</w:t>
            </w:r>
          </w:p>
          <w:p w14:paraId="56679828">
            <w:pPr>
              <w:pStyle w:val="3"/>
              <w:spacing w:line="24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t>本项目运维服务时间要求为202</w:t>
            </w:r>
            <w:r>
              <w:rPr>
                <w:rFonts w:hint="eastAsia" w:ascii="宋体" w:hAnsi="宋体" w:eastAsia="宋体" w:cs="宋体"/>
                <w:sz w:val="20"/>
                <w:szCs w:val="20"/>
                <w:highlight w:val="none"/>
                <w:lang w:val="en-US"/>
              </w:rPr>
              <w:t>6</w:t>
            </w:r>
            <w:r>
              <w:rPr>
                <w:rFonts w:hint="eastAsia" w:ascii="宋体" w:hAnsi="宋体" w:eastAsia="宋体" w:cs="宋体"/>
                <w:sz w:val="20"/>
                <w:szCs w:val="20"/>
                <w:highlight w:val="none"/>
              </w:rPr>
              <w:t>年</w:t>
            </w:r>
            <w:r>
              <w:rPr>
                <w:rFonts w:hint="eastAsia" w:ascii="宋体" w:hAnsi="宋体" w:eastAsia="宋体" w:cs="宋体"/>
                <w:sz w:val="20"/>
                <w:szCs w:val="20"/>
                <w:highlight w:val="none"/>
                <w:lang w:val="en-US" w:eastAsia="zh-CN"/>
              </w:rPr>
              <w:t>7</w:t>
            </w:r>
            <w:r>
              <w:rPr>
                <w:rFonts w:hint="eastAsia" w:ascii="宋体" w:hAnsi="宋体" w:eastAsia="宋体" w:cs="宋体"/>
                <w:sz w:val="20"/>
                <w:szCs w:val="20"/>
                <w:highlight w:val="none"/>
              </w:rPr>
              <w:t>月</w:t>
            </w:r>
            <w:r>
              <w:rPr>
                <w:rFonts w:hint="eastAsia" w:ascii="宋体" w:hAnsi="宋体" w:eastAsia="宋体" w:cs="宋体"/>
                <w:sz w:val="20"/>
                <w:szCs w:val="20"/>
                <w:highlight w:val="none"/>
                <w:lang w:val="en-US" w:eastAsia="zh-CN"/>
              </w:rPr>
              <w:t>1</w:t>
            </w:r>
            <w:r>
              <w:rPr>
                <w:rFonts w:hint="eastAsia" w:ascii="宋体" w:hAnsi="宋体" w:eastAsia="宋体" w:cs="宋体"/>
                <w:sz w:val="20"/>
                <w:szCs w:val="20"/>
                <w:highlight w:val="none"/>
              </w:rPr>
              <w:t>日至202</w:t>
            </w:r>
            <w:r>
              <w:rPr>
                <w:rFonts w:hint="eastAsia" w:ascii="宋体" w:hAnsi="宋体" w:eastAsia="宋体" w:cs="宋体"/>
                <w:sz w:val="20"/>
                <w:szCs w:val="20"/>
                <w:highlight w:val="none"/>
                <w:lang w:val="en-US"/>
              </w:rPr>
              <w:t>7</w:t>
            </w:r>
            <w:r>
              <w:rPr>
                <w:rFonts w:hint="eastAsia" w:ascii="宋体" w:hAnsi="宋体" w:eastAsia="宋体" w:cs="宋体"/>
                <w:sz w:val="20"/>
                <w:szCs w:val="20"/>
                <w:highlight w:val="none"/>
              </w:rPr>
              <w:t>年</w:t>
            </w:r>
            <w:r>
              <w:rPr>
                <w:rFonts w:hint="eastAsia" w:ascii="宋体" w:hAnsi="宋体" w:eastAsia="宋体" w:cs="宋体"/>
                <w:sz w:val="20"/>
                <w:szCs w:val="20"/>
                <w:highlight w:val="none"/>
                <w:lang w:val="en-US" w:eastAsia="zh-CN"/>
              </w:rPr>
              <w:t>6</w:t>
            </w:r>
            <w:r>
              <w:rPr>
                <w:rFonts w:hint="eastAsia" w:ascii="宋体" w:hAnsi="宋体" w:eastAsia="宋体" w:cs="宋体"/>
                <w:sz w:val="20"/>
                <w:szCs w:val="20"/>
                <w:highlight w:val="none"/>
              </w:rPr>
              <w:t>月</w:t>
            </w:r>
            <w:r>
              <w:rPr>
                <w:rFonts w:hint="eastAsia" w:ascii="宋体" w:hAnsi="宋体" w:eastAsia="宋体" w:cs="宋体"/>
                <w:sz w:val="20"/>
                <w:szCs w:val="20"/>
                <w:highlight w:val="none"/>
                <w:lang w:val="en-US" w:eastAsia="zh-CN"/>
              </w:rPr>
              <w:t>30</w:t>
            </w:r>
            <w:r>
              <w:rPr>
                <w:rFonts w:hint="eastAsia" w:ascii="宋体" w:hAnsi="宋体" w:eastAsia="宋体" w:cs="宋体"/>
                <w:sz w:val="20"/>
                <w:szCs w:val="20"/>
                <w:highlight w:val="none"/>
              </w:rPr>
              <w:t>日。</w:t>
            </w:r>
          </w:p>
          <w:p w14:paraId="2137F144">
            <w:pPr>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2.服务地点</w:t>
            </w:r>
          </w:p>
          <w:p w14:paraId="454211A9">
            <w:pPr>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陕西省高速公路收费中心</w:t>
            </w:r>
          </w:p>
          <w:p w14:paraId="75C56293">
            <w:pPr>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3.技术支持服务</w:t>
            </w:r>
          </w:p>
          <w:p w14:paraId="22E0E1DE">
            <w:pPr>
              <w:widowControl/>
              <w:spacing w:line="240" w:lineRule="auto"/>
              <w:ind w:firstLine="400" w:firstLineChars="200"/>
              <w:rPr>
                <w:rFonts w:hint="eastAsia" w:ascii="宋体" w:hAnsi="宋体" w:eastAsia="宋体" w:cs="宋体"/>
                <w:bCs/>
                <w:sz w:val="20"/>
                <w:szCs w:val="20"/>
                <w:highlight w:val="none"/>
                <w:lang w:val="en-US"/>
              </w:rPr>
            </w:pPr>
            <w:r>
              <w:rPr>
                <w:rFonts w:hint="eastAsia" w:ascii="宋体" w:hAnsi="宋体" w:eastAsia="宋体" w:cs="宋体"/>
                <w:bCs/>
                <w:sz w:val="20"/>
                <w:szCs w:val="20"/>
                <w:highlight w:val="none"/>
                <w:lang w:val="en-US"/>
              </w:rPr>
              <w:t>（1）</w:t>
            </w:r>
            <w:r>
              <w:rPr>
                <w:rFonts w:hint="eastAsia" w:ascii="宋体" w:hAnsi="宋体" w:eastAsia="宋体" w:cs="宋体"/>
                <w:bCs/>
                <w:sz w:val="20"/>
                <w:szCs w:val="20"/>
                <w:highlight w:val="none"/>
                <w:lang w:val="en-US" w:eastAsia="zh-CN"/>
              </w:rPr>
              <w:t>路网运行监测系统</w:t>
            </w:r>
            <w:r>
              <w:rPr>
                <w:rFonts w:hint="eastAsia" w:ascii="宋体" w:hAnsi="宋体" w:eastAsia="宋体" w:cs="宋体"/>
                <w:bCs/>
                <w:sz w:val="20"/>
                <w:szCs w:val="20"/>
                <w:highlight w:val="none"/>
                <w:lang w:val="en-US"/>
              </w:rPr>
              <w:t>平台软件维护要求</w:t>
            </w:r>
          </w:p>
          <w:p w14:paraId="77A8885B">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①监控软件日常维护（客户端与后台服务的检查与维护）。对视频管理、交通监视、事件管理、指挥调度、一键发布5套客户端软件及视频业务管理、SIP信令管理、流媒体发布、数字系统业务、一键发布系统5套核心后台服务进行日常检查与维护。</w:t>
            </w:r>
          </w:p>
          <w:p w14:paraId="33EF737C">
            <w:pPr>
              <w:pStyle w:val="2"/>
              <w:numPr>
                <w:ilvl w:val="4"/>
                <w:numId w:val="0"/>
              </w:numPr>
              <w:spacing w:line="240" w:lineRule="auto"/>
              <w:ind w:firstLine="400" w:firstLineChars="20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(a)每周对5套客户端软件、5套核心后台服务运行情况进行检查与记录，对发现的问题及时处理，确保客户端软件及后台服务正常运行，将检查及处理结果记录在周巡检表中。</w:t>
            </w:r>
          </w:p>
          <w:p w14:paraId="3347A9EB">
            <w:pPr>
              <w:pStyle w:val="2"/>
              <w:numPr>
                <w:ilvl w:val="4"/>
                <w:numId w:val="0"/>
              </w:numPr>
              <w:spacing w:line="240" w:lineRule="auto"/>
              <w:ind w:firstLine="400" w:firstLineChars="20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(b)根据业务使用情况，对全省各路段</w:t>
            </w:r>
            <w:r>
              <w:rPr>
                <w:rFonts w:hint="eastAsia" w:ascii="宋体" w:hAnsi="宋体" w:eastAsia="宋体" w:cs="宋体"/>
                <w:b w:val="0"/>
                <w:bCs w:val="0"/>
                <w:sz w:val="20"/>
                <w:szCs w:val="20"/>
                <w:highlight w:val="none"/>
                <w:lang w:val="en-US" w:eastAsia="zh-CN"/>
              </w:rPr>
              <w:t>路网运行监测系统</w:t>
            </w:r>
            <w:r>
              <w:rPr>
                <w:rFonts w:hint="eastAsia" w:ascii="宋体" w:hAnsi="宋体" w:eastAsia="宋体" w:cs="宋体"/>
                <w:b w:val="0"/>
                <w:bCs w:val="0"/>
                <w:sz w:val="20"/>
                <w:szCs w:val="20"/>
                <w:highlight w:val="none"/>
                <w:lang w:val="en-US"/>
              </w:rPr>
              <w:t>摄像机、情报板、交调设备、微波车辆检测器、门架交调等外场设备的基础信息进行更新与维护，确保省</w:t>
            </w:r>
            <w:r>
              <w:rPr>
                <w:rFonts w:hint="eastAsia" w:ascii="宋体" w:hAnsi="宋体" w:eastAsia="宋体" w:cs="宋体"/>
                <w:b w:val="0"/>
                <w:bCs w:val="0"/>
                <w:sz w:val="20"/>
                <w:szCs w:val="20"/>
                <w:highlight w:val="none"/>
                <w:lang w:val="en-US" w:eastAsia="zh-CN"/>
              </w:rPr>
              <w:t>路网运行监测系统</w:t>
            </w:r>
            <w:r>
              <w:rPr>
                <w:rFonts w:hint="eastAsia" w:ascii="宋体" w:hAnsi="宋体" w:eastAsia="宋体" w:cs="宋体"/>
                <w:b w:val="0"/>
                <w:bCs w:val="0"/>
                <w:sz w:val="20"/>
                <w:szCs w:val="20"/>
                <w:highlight w:val="none"/>
                <w:lang w:val="en-US"/>
              </w:rPr>
              <w:t>平台与各路段</w:t>
            </w:r>
            <w:r>
              <w:rPr>
                <w:rFonts w:hint="eastAsia" w:ascii="宋体" w:hAnsi="宋体" w:eastAsia="宋体" w:cs="宋体"/>
                <w:b w:val="0"/>
                <w:bCs w:val="0"/>
                <w:sz w:val="20"/>
                <w:szCs w:val="20"/>
                <w:highlight w:val="none"/>
                <w:lang w:val="en-US" w:eastAsia="zh-CN"/>
              </w:rPr>
              <w:t>路网运行监测系统</w:t>
            </w:r>
            <w:r>
              <w:rPr>
                <w:rFonts w:hint="eastAsia" w:ascii="宋体" w:hAnsi="宋体" w:eastAsia="宋体" w:cs="宋体"/>
                <w:b w:val="0"/>
                <w:bCs w:val="0"/>
                <w:sz w:val="20"/>
                <w:szCs w:val="20"/>
                <w:highlight w:val="none"/>
                <w:lang w:val="en-US"/>
              </w:rPr>
              <w:t>外场设备数据的一致性。</w:t>
            </w:r>
          </w:p>
          <w:p w14:paraId="00D177B4">
            <w:pPr>
              <w:pStyle w:val="2"/>
              <w:numPr>
                <w:ilvl w:val="0"/>
                <w:numId w:val="0"/>
              </w:numPr>
              <w:spacing w:line="240" w:lineRule="auto"/>
              <w:ind w:firstLine="400" w:firstLineChars="200"/>
              <w:rPr>
                <w:rFonts w:hint="eastAsia" w:ascii="宋体" w:hAnsi="宋体" w:eastAsia="宋体" w:cs="宋体"/>
                <w:b w:val="0"/>
                <w:sz w:val="20"/>
                <w:szCs w:val="20"/>
                <w:highlight w:val="none"/>
                <w:lang w:val="en-US"/>
              </w:rPr>
            </w:pPr>
            <w:r>
              <w:rPr>
                <w:rFonts w:hint="eastAsia" w:ascii="宋体" w:hAnsi="宋体" w:eastAsia="宋体" w:cs="宋体"/>
                <w:b w:val="0"/>
                <w:sz w:val="20"/>
                <w:szCs w:val="20"/>
                <w:highlight w:val="none"/>
                <w:lang w:val="en-US"/>
              </w:rPr>
              <w:t>②应用支撑软件日常维护（操作系统、数据库软件）。对27套操作系统（1套Windows Server 2016 DataCenter、1套Windows Server 2012 R2 DataCenter、2套Windows Server 2012 Standard、16套Ubuntu Server 18.04.4 LTS、4套Windows10 专业版、3套Windows11 专业版）、3套数据库系统（1套SQL Server 2012、2套MySQL5.7）进行日常检查与维护。</w:t>
            </w:r>
          </w:p>
          <w:p w14:paraId="2551775A">
            <w:pPr>
              <w:pStyle w:val="2"/>
              <w:numPr>
                <w:ilvl w:val="0"/>
                <w:numId w:val="0"/>
              </w:numPr>
              <w:spacing w:line="240" w:lineRule="auto"/>
              <w:ind w:firstLine="400" w:firstLineChars="200"/>
              <w:rPr>
                <w:rFonts w:hint="eastAsia" w:ascii="宋体" w:hAnsi="宋体" w:eastAsia="宋体" w:cs="宋体"/>
                <w:b w:val="0"/>
                <w:sz w:val="20"/>
                <w:szCs w:val="20"/>
                <w:highlight w:val="none"/>
                <w:lang w:val="en-US"/>
              </w:rPr>
            </w:pPr>
            <w:r>
              <w:rPr>
                <w:rFonts w:hint="eastAsia" w:ascii="宋体" w:hAnsi="宋体" w:eastAsia="宋体" w:cs="宋体"/>
                <w:b w:val="0"/>
                <w:sz w:val="20"/>
                <w:szCs w:val="20"/>
                <w:highlight w:val="none"/>
                <w:lang w:val="en-US"/>
              </w:rPr>
              <w:t>(a)每周巡检27套操作系统的运行情况，对系统日志、安全日志进行检查，查看日志是否存在异常记录并及时进行处理，将检查及处理结果记录在周巡检表中。</w:t>
            </w:r>
          </w:p>
          <w:p w14:paraId="770BE7CD">
            <w:pPr>
              <w:pStyle w:val="2"/>
              <w:numPr>
                <w:ilvl w:val="4"/>
                <w:numId w:val="0"/>
              </w:numPr>
              <w:spacing w:line="240" w:lineRule="auto"/>
              <w:ind w:firstLine="400" w:firstLineChars="200"/>
              <w:rPr>
                <w:rFonts w:hint="eastAsia" w:ascii="宋体" w:hAnsi="宋体" w:eastAsia="宋体" w:cs="宋体"/>
                <w:b w:val="0"/>
                <w:sz w:val="20"/>
                <w:szCs w:val="20"/>
                <w:highlight w:val="none"/>
                <w:lang w:val="en-US"/>
              </w:rPr>
            </w:pPr>
            <w:r>
              <w:rPr>
                <w:rFonts w:hint="eastAsia" w:ascii="宋体" w:hAnsi="宋体" w:eastAsia="宋体" w:cs="宋体"/>
                <w:b w:val="0"/>
                <w:sz w:val="20"/>
                <w:szCs w:val="20"/>
                <w:highlight w:val="none"/>
                <w:lang w:val="en-US"/>
              </w:rPr>
              <w:t>(b)每周巡检3套数据库系统的运行情况，对数据库CPU和I/O的使用情况、数据库空间的使用情况、数据库错误日志进行检查与处理，将检查及处理结果记录在周巡检表中。</w:t>
            </w:r>
          </w:p>
          <w:p w14:paraId="7C4EF2F5">
            <w:pPr>
              <w:pStyle w:val="2"/>
              <w:numPr>
                <w:ilvl w:val="4"/>
                <w:numId w:val="0"/>
              </w:numPr>
              <w:spacing w:line="240" w:lineRule="auto"/>
              <w:ind w:firstLine="400" w:firstLineChars="20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(c)每月对操作系统磁盘碎片进行整理、清理系统垃圾文件、检查系统配置，并将检查及处理结果记录在月巡检表中。</w:t>
            </w:r>
          </w:p>
          <w:p w14:paraId="5BD1B126">
            <w:pPr>
              <w:pStyle w:val="2"/>
              <w:numPr>
                <w:ilvl w:val="4"/>
                <w:numId w:val="0"/>
              </w:numPr>
              <w:spacing w:line="240" w:lineRule="auto"/>
              <w:ind w:firstLine="400" w:firstLineChars="20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(d)每月对数据库资源使用情况、磁盘空间使用情况进行检查，对数据库日志进行收缩处理，对占用的无效空间进行清理，并将检查及处理结果记录在月巡检表中。</w:t>
            </w:r>
          </w:p>
          <w:p w14:paraId="6C0A1751">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③</w:t>
            </w:r>
            <w:r>
              <w:rPr>
                <w:rFonts w:hint="eastAsia" w:ascii="宋体" w:hAnsi="宋体" w:eastAsia="宋体" w:cs="宋体"/>
                <w:sz w:val="20"/>
                <w:szCs w:val="20"/>
                <w:highlight w:val="none"/>
                <w:lang w:val="en-US" w:eastAsia="zh-CN"/>
              </w:rPr>
              <w:t>路网运行监测系统</w:t>
            </w:r>
            <w:r>
              <w:rPr>
                <w:rFonts w:hint="eastAsia" w:ascii="宋体" w:hAnsi="宋体" w:eastAsia="宋体" w:cs="宋体"/>
                <w:sz w:val="20"/>
                <w:szCs w:val="20"/>
                <w:highlight w:val="none"/>
                <w:lang w:val="en-US"/>
              </w:rPr>
              <w:t>软件数据的定期备份。</w:t>
            </w:r>
          </w:p>
          <w:p w14:paraId="207F145C">
            <w:pPr>
              <w:pStyle w:val="2"/>
              <w:numPr>
                <w:ilvl w:val="4"/>
                <w:numId w:val="0"/>
              </w:numPr>
              <w:spacing w:line="240" w:lineRule="auto"/>
              <w:ind w:firstLine="400" w:firstLineChars="20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(a)每月对视频系统、数字系统、一键发布系统数据库文件进行1次完整备份。</w:t>
            </w:r>
          </w:p>
          <w:p w14:paraId="62634536">
            <w:pPr>
              <w:pStyle w:val="2"/>
              <w:numPr>
                <w:ilvl w:val="4"/>
                <w:numId w:val="0"/>
              </w:numPr>
              <w:spacing w:line="240" w:lineRule="auto"/>
              <w:ind w:firstLine="400" w:firstLineChars="20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(b)每月对视频系统、数字系统、一键发布系统的配置文件进行1次备份。</w:t>
            </w:r>
          </w:p>
          <w:p w14:paraId="4B31ABE1">
            <w:pPr>
              <w:pStyle w:val="2"/>
              <w:numPr>
                <w:ilvl w:val="4"/>
                <w:numId w:val="0"/>
              </w:numPr>
              <w:spacing w:line="240" w:lineRule="auto"/>
              <w:ind w:left="66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(c)每月对5项核心后台服务数据进行1次备份。</w:t>
            </w:r>
          </w:p>
          <w:p w14:paraId="7FE5B76E">
            <w:pPr>
              <w:pStyle w:val="2"/>
              <w:numPr>
                <w:ilvl w:val="4"/>
                <w:numId w:val="0"/>
              </w:numPr>
              <w:spacing w:line="240" w:lineRule="auto"/>
              <w:ind w:firstLine="400" w:firstLineChars="20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(d)每月向采购人提交1次记录于光盘介质的备份数据（数据库、配置文件及后台服务数据）。</w:t>
            </w:r>
          </w:p>
          <w:p w14:paraId="6752E645">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④重要视频数据的备份。</w:t>
            </w:r>
          </w:p>
          <w:p w14:paraId="644055CB">
            <w:pPr>
              <w:pStyle w:val="3"/>
              <w:spacing w:line="240" w:lineRule="auto"/>
              <w:ind w:left="0" w:firstLine="400" w:firstLineChars="200"/>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每月对全省各路段上报的事件信息进行筛选，将交通事故与自然灾害类型的视频数据进行存储。</w:t>
            </w:r>
          </w:p>
          <w:p w14:paraId="7062D9F0">
            <w:pPr>
              <w:pStyle w:val="3"/>
              <w:spacing w:line="240" w:lineRule="auto"/>
              <w:ind w:left="0" w:firstLine="400" w:firstLineChars="200"/>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⑤全省监控软件功能的定期升级。</w:t>
            </w:r>
          </w:p>
          <w:p w14:paraId="305D9BCE">
            <w:pPr>
              <w:pStyle w:val="2"/>
              <w:numPr>
                <w:ilvl w:val="4"/>
                <w:numId w:val="0"/>
              </w:numPr>
              <w:spacing w:line="240" w:lineRule="auto"/>
              <w:ind w:firstLine="400" w:firstLineChars="20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(a)每年对全省监控软件（省中心、路段监控中心）功能升级2次。</w:t>
            </w:r>
          </w:p>
          <w:p w14:paraId="3E914548">
            <w:pPr>
              <w:pStyle w:val="2"/>
              <w:numPr>
                <w:ilvl w:val="4"/>
                <w:numId w:val="0"/>
              </w:numPr>
              <w:spacing w:line="240" w:lineRule="auto"/>
              <w:ind w:firstLine="400" w:firstLineChars="20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(b)每年6月底完成第1次全省软件升级，12月底完成第2次全省软件升级。</w:t>
            </w:r>
          </w:p>
          <w:p w14:paraId="2031A7BF">
            <w:pPr>
              <w:pStyle w:val="2"/>
              <w:numPr>
                <w:ilvl w:val="4"/>
                <w:numId w:val="0"/>
              </w:numPr>
              <w:spacing w:line="240" w:lineRule="auto"/>
              <w:ind w:firstLine="400" w:firstLineChars="20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(c)每次软件升级前，向采购人提交软件升级说明文档，经采购人审核通过后再进行软件升级。</w:t>
            </w:r>
          </w:p>
          <w:p w14:paraId="2E1C13B9">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⑥GIS平台的定期检查与维护。</w:t>
            </w:r>
          </w:p>
          <w:p w14:paraId="41EB2685">
            <w:pPr>
              <w:pStyle w:val="2"/>
              <w:numPr>
                <w:ilvl w:val="4"/>
                <w:numId w:val="0"/>
              </w:numPr>
              <w:spacing w:line="240" w:lineRule="auto"/>
              <w:ind w:firstLine="400" w:firstLineChars="20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(a)每周对GIS平台地图缩放、数据加载、图层过滤等功能运行情况进行检查与记录，运行情况进行检查与记录，对发现的问题及时处理，确保GIS平台正常运行，将检查及处理结果记录在周巡检表中。</w:t>
            </w:r>
          </w:p>
          <w:p w14:paraId="31BE197A">
            <w:pPr>
              <w:pStyle w:val="2"/>
              <w:numPr>
                <w:ilvl w:val="4"/>
                <w:numId w:val="0"/>
              </w:numPr>
              <w:spacing w:line="240" w:lineRule="auto"/>
              <w:ind w:firstLine="400" w:firstLineChars="20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(b)对全省高速公路道路线形、收费站、服务区、隧道、桥梁、互通立交GIS基础数据进行更新与维护。</w:t>
            </w:r>
          </w:p>
          <w:p w14:paraId="2877FCF5">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⑦按月提交维护报告。</w:t>
            </w:r>
          </w:p>
          <w:p w14:paraId="1B9CFDE5">
            <w:pPr>
              <w:widowControl/>
              <w:tabs>
                <w:tab w:val="left" w:pos="312"/>
              </w:tabs>
              <w:spacing w:line="240" w:lineRule="auto"/>
              <w:ind w:firstLine="400" w:firstLineChars="200"/>
              <w:jc w:val="both"/>
              <w:rPr>
                <w:rFonts w:hint="eastAsia" w:ascii="宋体" w:hAnsi="宋体" w:eastAsia="宋体" w:cs="宋体"/>
                <w:bCs/>
                <w:sz w:val="20"/>
                <w:szCs w:val="20"/>
                <w:highlight w:val="none"/>
                <w:lang w:val="en-US"/>
              </w:rPr>
            </w:pPr>
            <w:r>
              <w:rPr>
                <w:rFonts w:hint="eastAsia" w:ascii="宋体" w:hAnsi="宋体" w:eastAsia="宋体" w:cs="宋体"/>
                <w:bCs/>
                <w:sz w:val="20"/>
                <w:szCs w:val="20"/>
                <w:highlight w:val="none"/>
                <w:lang w:val="en-US"/>
              </w:rPr>
              <w:t>（2）</w:t>
            </w:r>
            <w:r>
              <w:rPr>
                <w:rFonts w:hint="eastAsia" w:ascii="宋体" w:hAnsi="宋体" w:eastAsia="宋体" w:cs="宋体"/>
                <w:bCs/>
                <w:sz w:val="20"/>
                <w:szCs w:val="20"/>
                <w:highlight w:val="none"/>
                <w:lang w:val="en-US" w:eastAsia="zh-CN"/>
              </w:rPr>
              <w:t>路网运行监测系统</w:t>
            </w:r>
            <w:r>
              <w:rPr>
                <w:rFonts w:hint="eastAsia" w:ascii="宋体" w:hAnsi="宋体" w:eastAsia="宋体" w:cs="宋体"/>
                <w:bCs/>
                <w:sz w:val="20"/>
                <w:szCs w:val="20"/>
                <w:highlight w:val="none"/>
                <w:lang w:val="en-US"/>
              </w:rPr>
              <w:t>硬件维护要求</w:t>
            </w:r>
          </w:p>
          <w:p w14:paraId="49658628">
            <w:pPr>
              <w:pStyle w:val="3"/>
              <w:spacing w:line="240" w:lineRule="auto"/>
              <w:ind w:left="0" w:firstLine="400" w:firstLineChars="200"/>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①</w:t>
            </w:r>
            <w:r>
              <w:rPr>
                <w:rFonts w:hint="eastAsia" w:ascii="宋体" w:hAnsi="宋体" w:eastAsia="宋体" w:cs="宋体"/>
                <w:sz w:val="20"/>
                <w:szCs w:val="20"/>
                <w:highlight w:val="none"/>
                <w:lang w:val="en-US" w:eastAsia="zh-CN"/>
              </w:rPr>
              <w:t>路网运行监测系统</w:t>
            </w:r>
            <w:r>
              <w:rPr>
                <w:rFonts w:hint="eastAsia" w:ascii="宋体" w:hAnsi="宋体" w:eastAsia="宋体" w:cs="宋体"/>
                <w:sz w:val="20"/>
                <w:szCs w:val="20"/>
                <w:highlight w:val="none"/>
                <w:lang w:val="en-US"/>
              </w:rPr>
              <w:t>服务器及计算机的定期检查与维护。对20台服务器、7台计算机进行日常检查与维护。每天两次对服务器及计算机的面板指示灯状态进行巡检，对发现的故障进行排查和处理，并记录于月维护报告中。</w:t>
            </w:r>
          </w:p>
          <w:p w14:paraId="1A9EA757">
            <w:pPr>
              <w:pStyle w:val="2"/>
              <w:numPr>
                <w:ilvl w:val="4"/>
                <w:numId w:val="0"/>
              </w:numPr>
              <w:spacing w:line="240" w:lineRule="auto"/>
              <w:ind w:firstLine="400" w:firstLineChars="20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(a)每周对服务器及计算机的电源、风扇、硬盘、CPU、内存、网卡运行情况进行检查与记录，对发现的异常状态或故障进行排查和处理，并将检查及处理结果记录在周巡检表中。</w:t>
            </w:r>
          </w:p>
          <w:p w14:paraId="0A18CFF9">
            <w:pPr>
              <w:pStyle w:val="2"/>
              <w:numPr>
                <w:ilvl w:val="4"/>
                <w:numId w:val="0"/>
              </w:numPr>
              <w:spacing w:line="240" w:lineRule="auto"/>
              <w:ind w:firstLine="400" w:firstLineChars="20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(b)每半年对服务器及计算机进行1次除尘清理，避免灰尘堆积对服务器及计算机散热造成影响。</w:t>
            </w:r>
          </w:p>
          <w:p w14:paraId="10C1D574">
            <w:pPr>
              <w:pStyle w:val="3"/>
              <w:spacing w:line="240" w:lineRule="auto"/>
              <w:ind w:left="0" w:firstLine="400" w:firstLineChars="200"/>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②网络设备的定期检查与维护（核心路由器、核心交换机及业务交换机）。对1台核心路由器、2台核心交换机、8台业务交换机进行日常检查与维护。</w:t>
            </w:r>
          </w:p>
          <w:p w14:paraId="42C65FAF">
            <w:pPr>
              <w:pStyle w:val="2"/>
              <w:numPr>
                <w:ilvl w:val="4"/>
                <w:numId w:val="0"/>
              </w:numPr>
              <w:spacing w:line="240" w:lineRule="auto"/>
              <w:ind w:firstLine="400" w:firstLineChars="20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(a)每天两次对网络设备的面板指示灯状态进行检查，对发现的异常状态或故障进行排查和处理，并记录于月维护报告中。</w:t>
            </w:r>
          </w:p>
          <w:p w14:paraId="33850FEE">
            <w:pPr>
              <w:pStyle w:val="2"/>
              <w:numPr>
                <w:ilvl w:val="4"/>
                <w:numId w:val="0"/>
              </w:numPr>
              <w:spacing w:line="240" w:lineRule="auto"/>
              <w:ind w:firstLine="400" w:firstLineChars="20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(b)每天两次对省中心至全省各路段的监控网络运行情况进行监测，及时向采购人通报全省</w:t>
            </w:r>
            <w:r>
              <w:rPr>
                <w:rFonts w:hint="eastAsia" w:ascii="宋体" w:hAnsi="宋体" w:eastAsia="宋体" w:cs="宋体"/>
                <w:b w:val="0"/>
                <w:bCs w:val="0"/>
                <w:sz w:val="20"/>
                <w:szCs w:val="20"/>
                <w:highlight w:val="none"/>
                <w:lang w:val="en-US" w:eastAsia="zh-CN"/>
              </w:rPr>
              <w:t>路网运行监测系统</w:t>
            </w:r>
            <w:r>
              <w:rPr>
                <w:rFonts w:hint="eastAsia" w:ascii="宋体" w:hAnsi="宋体" w:eastAsia="宋体" w:cs="宋体"/>
                <w:b w:val="0"/>
                <w:bCs w:val="0"/>
                <w:sz w:val="20"/>
                <w:szCs w:val="20"/>
                <w:highlight w:val="none"/>
                <w:lang w:val="en-US"/>
              </w:rPr>
              <w:t>网络运行情况，做好网络中断原因的排查和处理工作，并记录于月维护报告中。</w:t>
            </w:r>
          </w:p>
          <w:p w14:paraId="48B3AEF0">
            <w:pPr>
              <w:pStyle w:val="2"/>
              <w:numPr>
                <w:ilvl w:val="4"/>
                <w:numId w:val="0"/>
              </w:numPr>
              <w:spacing w:line="240" w:lineRule="auto"/>
              <w:ind w:firstLine="400" w:firstLineChars="20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(c)每周对网络设备的电源、风扇、CPU、内存、端口、日志及网络运行情况进行检查与记录，对发现的异常状态或故障进行排查和处理，并将检查及处理结果记录在周巡检表中。</w:t>
            </w:r>
          </w:p>
          <w:p w14:paraId="77AA8400">
            <w:pPr>
              <w:pStyle w:val="3"/>
              <w:spacing w:line="240" w:lineRule="auto"/>
              <w:ind w:left="0" w:firstLine="400" w:firstLineChars="200"/>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③根据网络使用需要，更新网络配置。</w:t>
            </w:r>
          </w:p>
          <w:p w14:paraId="0DA2EB91">
            <w:pPr>
              <w:pStyle w:val="2"/>
              <w:numPr>
                <w:ilvl w:val="4"/>
                <w:numId w:val="0"/>
              </w:numPr>
              <w:spacing w:line="240" w:lineRule="auto"/>
              <w:ind w:firstLine="400" w:firstLineChars="20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(a)根据业务使用需要，对</w:t>
            </w:r>
            <w:r>
              <w:rPr>
                <w:rFonts w:hint="eastAsia" w:ascii="宋体" w:hAnsi="宋体" w:eastAsia="宋体" w:cs="宋体"/>
                <w:b w:val="0"/>
                <w:bCs w:val="0"/>
                <w:sz w:val="20"/>
                <w:szCs w:val="20"/>
                <w:highlight w:val="none"/>
                <w:lang w:val="en-US" w:eastAsia="zh-CN"/>
              </w:rPr>
              <w:t>路网运行监测系统</w:t>
            </w:r>
            <w:r>
              <w:rPr>
                <w:rFonts w:hint="eastAsia" w:ascii="宋体" w:hAnsi="宋体" w:eastAsia="宋体" w:cs="宋体"/>
                <w:b w:val="0"/>
                <w:bCs w:val="0"/>
                <w:sz w:val="20"/>
                <w:szCs w:val="20"/>
                <w:highlight w:val="none"/>
                <w:lang w:val="en-US"/>
              </w:rPr>
              <w:t>网络拓扑、网络配置进行调整，满足业务使用要求。</w:t>
            </w:r>
          </w:p>
          <w:p w14:paraId="20ABB6F0">
            <w:pPr>
              <w:pStyle w:val="2"/>
              <w:numPr>
                <w:ilvl w:val="4"/>
                <w:numId w:val="0"/>
              </w:numPr>
              <w:spacing w:line="240" w:lineRule="auto"/>
              <w:ind w:firstLine="400" w:firstLineChars="20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(b)网络设备配置调整之前需要对配置文件进行备份保存，配置完成并测试通过后再次进行保存。</w:t>
            </w:r>
          </w:p>
          <w:p w14:paraId="6F2775A8">
            <w:pPr>
              <w:pStyle w:val="2"/>
              <w:numPr>
                <w:ilvl w:val="4"/>
                <w:numId w:val="0"/>
              </w:numPr>
              <w:spacing w:line="240" w:lineRule="auto"/>
              <w:ind w:firstLine="400" w:firstLineChars="20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(c)网络配置调整后，如网络拓扑结构发生变化，应及时进行更新网络拓扑图及设备连接图。</w:t>
            </w:r>
          </w:p>
          <w:p w14:paraId="08F1F234">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④网络设备配置文件定期备份。</w:t>
            </w:r>
          </w:p>
          <w:p w14:paraId="5DB15F06">
            <w:pPr>
              <w:pStyle w:val="2"/>
              <w:numPr>
                <w:ilvl w:val="4"/>
                <w:numId w:val="0"/>
              </w:numPr>
              <w:spacing w:line="240" w:lineRule="auto"/>
              <w:ind w:left="66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(a)每月对网络设备配置文件备份1次。</w:t>
            </w:r>
          </w:p>
          <w:p w14:paraId="0F6B377A">
            <w:pPr>
              <w:pStyle w:val="2"/>
              <w:numPr>
                <w:ilvl w:val="4"/>
                <w:numId w:val="0"/>
              </w:numPr>
              <w:spacing w:line="240" w:lineRule="auto"/>
              <w:ind w:firstLine="400" w:firstLineChars="200"/>
              <w:rPr>
                <w:rFonts w:hint="eastAsia" w:ascii="宋体" w:hAnsi="宋体" w:eastAsia="宋体" w:cs="宋体"/>
                <w:sz w:val="20"/>
                <w:szCs w:val="20"/>
                <w:highlight w:val="none"/>
                <w:lang w:val="en-US"/>
              </w:rPr>
            </w:pPr>
            <w:r>
              <w:rPr>
                <w:rFonts w:hint="eastAsia" w:ascii="宋体" w:hAnsi="宋体" w:eastAsia="宋体" w:cs="宋体"/>
                <w:b w:val="0"/>
                <w:bCs w:val="0"/>
                <w:sz w:val="20"/>
                <w:szCs w:val="20"/>
                <w:highlight w:val="none"/>
                <w:lang w:val="en-US"/>
              </w:rPr>
              <w:t>(b)每月向采购人提交1次记录于光盘介质的网络设备配置备份数据。</w:t>
            </w:r>
          </w:p>
          <w:p w14:paraId="2CF5BE95">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⑤检查并完善接地系统。每月检查设备地线连接处是否紧固、接地引线有无锈蚀，如果发现问题应及时处理并将检查及处理结果记录在月巡检表中。</w:t>
            </w:r>
          </w:p>
          <w:p w14:paraId="25E0B58F">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⑥综合布线的维护。</w:t>
            </w:r>
          </w:p>
          <w:p w14:paraId="1F1C76D5">
            <w:pPr>
              <w:pStyle w:val="2"/>
              <w:numPr>
                <w:ilvl w:val="4"/>
                <w:numId w:val="0"/>
              </w:numPr>
              <w:spacing w:line="240" w:lineRule="auto"/>
              <w:ind w:left="66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(a)根据业务需求，完成机房内的网络线缆敷设工作。</w:t>
            </w:r>
          </w:p>
          <w:p w14:paraId="512CD9FF">
            <w:pPr>
              <w:pStyle w:val="2"/>
              <w:numPr>
                <w:ilvl w:val="4"/>
                <w:numId w:val="0"/>
              </w:numPr>
              <w:spacing w:line="240" w:lineRule="auto"/>
              <w:ind w:left="66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(b)电源线缆与网络线缆分开敷设，做到整齐、有序。</w:t>
            </w:r>
          </w:p>
          <w:p w14:paraId="50828562">
            <w:pPr>
              <w:pStyle w:val="2"/>
              <w:numPr>
                <w:ilvl w:val="4"/>
                <w:numId w:val="0"/>
              </w:numPr>
              <w:spacing w:line="240" w:lineRule="auto"/>
              <w:ind w:left="66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(c)机柜内部线缆标签清晰、准确。</w:t>
            </w:r>
          </w:p>
          <w:p w14:paraId="6E8BCDB2">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⑦故障件维修或更换期间，提供良品备件临时应急使用。避免因维修或更换故障件而导致硬件设备长时间停机对业务正常使用造成影响。</w:t>
            </w:r>
          </w:p>
          <w:p w14:paraId="1A1905B3">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⑧按月提交维护报告。</w:t>
            </w:r>
          </w:p>
          <w:p w14:paraId="068FBB92">
            <w:pPr>
              <w:pStyle w:val="3"/>
              <w:spacing w:line="240" w:lineRule="auto"/>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（3）省级视频云联网系统硬件维护要求</w:t>
            </w:r>
          </w:p>
          <w:p w14:paraId="5436E424">
            <w:pPr>
              <w:pStyle w:val="3"/>
              <w:spacing w:line="240" w:lineRule="auto"/>
              <w:ind w:left="0" w:firstLine="400" w:firstLineChars="200"/>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①网络设备的定期检查与维护（路由器1台、交换机6台）。对路由器1台、核心交换机2台、上云交换机1台、服务器汇聚交换机1台、安全业务接入交换机1台、终端管理交换机1台进行日常检查与维护。</w:t>
            </w:r>
          </w:p>
          <w:p w14:paraId="0273AC94">
            <w:pPr>
              <w:pStyle w:val="2"/>
              <w:numPr>
                <w:ilvl w:val="4"/>
                <w:numId w:val="0"/>
              </w:numPr>
              <w:spacing w:line="240" w:lineRule="auto"/>
              <w:ind w:firstLine="400" w:firstLineChars="20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(a)每天两次对网络设备的面板指示灯状态进行检查，对发现的异常状态或故障进行排查和处理，并记录于月维护报告中。</w:t>
            </w:r>
          </w:p>
          <w:p w14:paraId="0D78B0F0">
            <w:pPr>
              <w:pStyle w:val="2"/>
              <w:numPr>
                <w:ilvl w:val="4"/>
                <w:numId w:val="0"/>
              </w:numPr>
              <w:spacing w:line="240" w:lineRule="auto"/>
              <w:ind w:firstLine="400" w:firstLineChars="20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(b)每天两次对省中心至省级视频云联网系统及全省各路段的网络运</w:t>
            </w:r>
            <w:r>
              <w:rPr>
                <w:rFonts w:hint="eastAsia" w:ascii="宋体" w:hAnsi="宋体" w:eastAsia="宋体" w:cs="宋体"/>
                <w:b w:val="0"/>
                <w:sz w:val="20"/>
                <w:szCs w:val="20"/>
                <w:highlight w:val="none"/>
                <w:lang w:val="en-US"/>
              </w:rPr>
              <w:t>行情况进行监测，及时向采购人通报全省</w:t>
            </w:r>
            <w:r>
              <w:rPr>
                <w:rFonts w:hint="eastAsia" w:ascii="宋体" w:hAnsi="宋体" w:eastAsia="宋体" w:cs="宋体"/>
                <w:b w:val="0"/>
                <w:sz w:val="20"/>
                <w:szCs w:val="20"/>
                <w:highlight w:val="none"/>
                <w:lang w:val="en-US" w:eastAsia="zh-CN"/>
              </w:rPr>
              <w:t>路网运行监测系统</w:t>
            </w:r>
            <w:r>
              <w:rPr>
                <w:rFonts w:hint="eastAsia" w:ascii="宋体" w:hAnsi="宋体" w:eastAsia="宋体" w:cs="宋体"/>
                <w:b w:val="0"/>
                <w:sz w:val="20"/>
                <w:szCs w:val="20"/>
                <w:highlight w:val="none"/>
                <w:lang w:val="en-US"/>
              </w:rPr>
              <w:t>、省级视频云联网系统网络运行情况，做好网络中断原因的排查和处理工作，并记录于月维护报告中。</w:t>
            </w:r>
          </w:p>
          <w:p w14:paraId="660E5A09">
            <w:pPr>
              <w:pStyle w:val="2"/>
              <w:numPr>
                <w:ilvl w:val="4"/>
                <w:numId w:val="0"/>
              </w:numPr>
              <w:spacing w:line="240" w:lineRule="auto"/>
              <w:ind w:firstLine="400" w:firstLineChars="20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(c)每周对网络设备的电源、风扇、CPU、内存、端口、日志及网络运行情况进行检查与记录，对发现的异常状态或故障进行排查和处理，并将检查及处理结果记录在周巡检表中。</w:t>
            </w:r>
          </w:p>
          <w:p w14:paraId="135E0FE3">
            <w:pPr>
              <w:pStyle w:val="3"/>
              <w:spacing w:line="240" w:lineRule="auto"/>
              <w:ind w:left="0" w:firstLine="400" w:firstLineChars="200"/>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②根据网络使用需要，更新网络配置。</w:t>
            </w:r>
          </w:p>
          <w:p w14:paraId="6599D69E">
            <w:pPr>
              <w:pStyle w:val="2"/>
              <w:numPr>
                <w:ilvl w:val="4"/>
                <w:numId w:val="0"/>
              </w:numPr>
              <w:spacing w:line="240" w:lineRule="auto"/>
              <w:ind w:firstLine="400" w:firstLineChars="200"/>
              <w:rPr>
                <w:rFonts w:hint="eastAsia" w:ascii="宋体" w:hAnsi="宋体" w:eastAsia="宋体" w:cs="宋体"/>
                <w:sz w:val="20"/>
                <w:szCs w:val="20"/>
                <w:highlight w:val="none"/>
                <w:lang w:val="en-US"/>
              </w:rPr>
            </w:pPr>
            <w:r>
              <w:rPr>
                <w:rFonts w:hint="eastAsia" w:ascii="宋体" w:hAnsi="宋体" w:eastAsia="宋体" w:cs="宋体"/>
                <w:b w:val="0"/>
                <w:bCs w:val="0"/>
                <w:sz w:val="20"/>
                <w:szCs w:val="20"/>
                <w:highlight w:val="none"/>
                <w:lang w:val="en-US"/>
              </w:rPr>
              <w:t>(a)根据业务使用需要，对省级视频云联网系统网络拓扑、网络配置进行调整，满足业务使用要求。</w:t>
            </w:r>
          </w:p>
          <w:p w14:paraId="61045B91">
            <w:pPr>
              <w:pStyle w:val="2"/>
              <w:numPr>
                <w:ilvl w:val="4"/>
                <w:numId w:val="0"/>
              </w:numPr>
              <w:spacing w:line="240" w:lineRule="auto"/>
              <w:ind w:firstLine="400" w:firstLineChars="20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(b)网络设备配置调整之前需要对配置文件进行备份保存，配置完成并测试通过后再次进行保存。</w:t>
            </w:r>
          </w:p>
          <w:p w14:paraId="21A9CE77">
            <w:pPr>
              <w:pStyle w:val="2"/>
              <w:numPr>
                <w:ilvl w:val="4"/>
                <w:numId w:val="0"/>
              </w:numPr>
              <w:spacing w:line="240" w:lineRule="auto"/>
              <w:ind w:firstLine="400" w:firstLineChars="20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(c)网络配置调整后，如网络拓扑结构发生变化，应及时进行更新网络拓扑图及设备连接图。</w:t>
            </w:r>
          </w:p>
          <w:p w14:paraId="330154BF">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③网络设备配置文件定期备份。</w:t>
            </w:r>
          </w:p>
          <w:p w14:paraId="250573C9">
            <w:pPr>
              <w:pStyle w:val="2"/>
              <w:numPr>
                <w:ilvl w:val="4"/>
                <w:numId w:val="0"/>
              </w:numPr>
              <w:spacing w:line="240" w:lineRule="auto"/>
              <w:ind w:left="66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(a)每月对网络设备配置文件备份1次。</w:t>
            </w:r>
          </w:p>
          <w:p w14:paraId="67CE2414">
            <w:pPr>
              <w:pStyle w:val="2"/>
              <w:numPr>
                <w:ilvl w:val="4"/>
                <w:numId w:val="0"/>
              </w:numPr>
              <w:spacing w:line="240" w:lineRule="auto"/>
              <w:ind w:left="66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(b)每月向采购人提交1次记录于光盘介质的网络设备配置备份文件。</w:t>
            </w:r>
          </w:p>
          <w:p w14:paraId="6B3338C5">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④检查并完善接地系统。每月检查设备接地线连接处是否紧固、接地引线有无锈蚀，如果发现问题应及时处理并将检查及处理结果记录在月巡检表中。</w:t>
            </w:r>
          </w:p>
          <w:p w14:paraId="1FDA995D">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⑤综合布线的维护。</w:t>
            </w:r>
          </w:p>
          <w:p w14:paraId="6E40A2E6">
            <w:pPr>
              <w:pStyle w:val="2"/>
              <w:numPr>
                <w:ilvl w:val="4"/>
                <w:numId w:val="0"/>
              </w:numPr>
              <w:spacing w:line="240" w:lineRule="auto"/>
              <w:ind w:left="66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(a)根据业务需求，完成机房内的网络线缆敷设工作。</w:t>
            </w:r>
          </w:p>
          <w:p w14:paraId="62297F21">
            <w:pPr>
              <w:pStyle w:val="2"/>
              <w:numPr>
                <w:ilvl w:val="4"/>
                <w:numId w:val="0"/>
              </w:numPr>
              <w:spacing w:line="240" w:lineRule="auto"/>
              <w:ind w:left="66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(b)电源线缆与网络线缆分开敷设，做到整齐、有序。</w:t>
            </w:r>
          </w:p>
          <w:p w14:paraId="11F1C7F8">
            <w:pPr>
              <w:pStyle w:val="2"/>
              <w:numPr>
                <w:ilvl w:val="4"/>
                <w:numId w:val="0"/>
              </w:numPr>
              <w:spacing w:line="240" w:lineRule="auto"/>
              <w:ind w:left="66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(c)机柜内部线缆标签清晰、准确。</w:t>
            </w:r>
          </w:p>
          <w:p w14:paraId="62B82524">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⑥监控大厅精密空调的维护与保养</w:t>
            </w:r>
          </w:p>
          <w:p w14:paraId="7A252B8E">
            <w:pPr>
              <w:pStyle w:val="2"/>
              <w:numPr>
                <w:ilvl w:val="4"/>
                <w:numId w:val="0"/>
              </w:numPr>
              <w:spacing w:line="240" w:lineRule="auto"/>
              <w:ind w:firstLine="400" w:firstLineChars="20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(a)每天两次对设备面板指示灯状态进行检查与记录，对发现的异常状态或故障进行排查和处理，并将检查及处理结果记录在周巡检表中。</w:t>
            </w:r>
          </w:p>
          <w:p w14:paraId="30A1C032">
            <w:pPr>
              <w:pStyle w:val="2"/>
              <w:numPr>
                <w:ilvl w:val="4"/>
                <w:numId w:val="0"/>
              </w:numPr>
              <w:spacing w:line="240" w:lineRule="auto"/>
              <w:ind w:firstLine="400" w:firstLineChars="20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(b)每季度对设备进行表面清洁、机内除尘并更换过滤网及外机清洗。</w:t>
            </w:r>
          </w:p>
          <w:p w14:paraId="14619840">
            <w:pPr>
              <w:pStyle w:val="2"/>
              <w:numPr>
                <w:ilvl w:val="4"/>
                <w:numId w:val="0"/>
              </w:numPr>
              <w:spacing w:line="240" w:lineRule="auto"/>
              <w:ind w:firstLine="400" w:firstLineChars="20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(c)每季度检查主要部件及易损件（压缩机、风机、电机、干燥器、控制面板、蒸发器）的工作状态，并及时提出改造维修方案提交采购人。</w:t>
            </w:r>
          </w:p>
          <w:p w14:paraId="1ABDCA30">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⑦按月提交维护报告。</w:t>
            </w:r>
          </w:p>
          <w:p w14:paraId="0E4D66B0">
            <w:pPr>
              <w:widowControl/>
              <w:spacing w:line="240" w:lineRule="auto"/>
              <w:ind w:firstLine="400" w:firstLineChars="200"/>
              <w:jc w:val="both"/>
              <w:rPr>
                <w:rFonts w:hint="eastAsia" w:ascii="宋体" w:hAnsi="宋体" w:eastAsia="宋体" w:cs="宋体"/>
                <w:bCs/>
                <w:sz w:val="20"/>
                <w:szCs w:val="20"/>
                <w:highlight w:val="none"/>
                <w:lang w:val="en-US"/>
              </w:rPr>
            </w:pPr>
            <w:r>
              <w:rPr>
                <w:rFonts w:hint="eastAsia" w:ascii="宋体" w:hAnsi="宋体" w:eastAsia="宋体" w:cs="宋体"/>
                <w:bCs/>
                <w:sz w:val="20"/>
                <w:szCs w:val="20"/>
                <w:highlight w:val="none"/>
                <w:lang w:val="en-US"/>
              </w:rPr>
              <w:t>（4）大屏幕投影系统基本维护要求</w:t>
            </w:r>
          </w:p>
          <w:p w14:paraId="22DFD8DC">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①每天两次对大屏幕投影系统1块LED屏幕、48块DLP投影拼接屏的显示情况进行检查，对发现的故障进行排查和处理，并记录于月维护报告中。</w:t>
            </w:r>
          </w:p>
          <w:p w14:paraId="67B9A44F">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②每周对大屏幕投影系统控制器电源、风扇、硬盘、CPU、内存、网卡和2块LED屏幕运行状态进行检查与记录，发现问题及时通知厂商处理；对2台计算机发现的异常故障进行排查和处理，并将检查及处理结果记录在周巡检表中。</w:t>
            </w:r>
          </w:p>
          <w:p w14:paraId="225480C4">
            <w:pPr>
              <w:pStyle w:val="3"/>
              <w:spacing w:line="240" w:lineRule="auto"/>
              <w:ind w:left="0" w:firstLine="400" w:firstLineChars="200"/>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③故障件维修或更换期间，提供良品备件临时应急使用。避免因维修或更换故障件而导致硬件设备长时间停机对业务正常使用造成影响。</w:t>
            </w:r>
          </w:p>
          <w:p w14:paraId="0380759E">
            <w:pPr>
              <w:spacing w:line="240" w:lineRule="auto"/>
              <w:ind w:firstLine="400" w:firstLineChars="200"/>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④每月对大屏幕投影系统控制软件配置文件备份1次。</w:t>
            </w:r>
          </w:p>
          <w:p w14:paraId="4A1DDFF7">
            <w:pPr>
              <w:widowControl/>
              <w:spacing w:line="240" w:lineRule="auto"/>
              <w:ind w:firstLine="400" w:firstLineChars="200"/>
              <w:jc w:val="both"/>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⑤按月提交维护报告。</w:t>
            </w:r>
          </w:p>
          <w:p w14:paraId="6F5B1B99">
            <w:pPr>
              <w:widowControl/>
              <w:spacing w:line="240" w:lineRule="auto"/>
              <w:ind w:firstLine="400" w:firstLineChars="200"/>
              <w:jc w:val="both"/>
              <w:rPr>
                <w:rFonts w:hint="eastAsia" w:ascii="宋体" w:hAnsi="宋体" w:eastAsia="宋体" w:cs="宋体"/>
                <w:bCs/>
                <w:sz w:val="20"/>
                <w:szCs w:val="20"/>
                <w:highlight w:val="none"/>
                <w:lang w:val="en-US"/>
              </w:rPr>
            </w:pPr>
            <w:r>
              <w:rPr>
                <w:rFonts w:hint="eastAsia" w:ascii="宋体" w:hAnsi="宋体" w:eastAsia="宋体" w:cs="宋体"/>
                <w:bCs/>
                <w:sz w:val="20"/>
                <w:szCs w:val="20"/>
                <w:highlight w:val="none"/>
                <w:lang w:val="en-US"/>
              </w:rPr>
              <w:t>（5）大屏幕投影系统精密维护要求</w:t>
            </w:r>
          </w:p>
          <w:p w14:paraId="31ADC016">
            <w:pPr>
              <w:spacing w:line="240" w:lineRule="auto"/>
              <w:ind w:firstLine="400" w:firstLineChars="200"/>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①每年对大屏幕投影系统进行光学校正2次，每半年1次。</w:t>
            </w:r>
          </w:p>
          <w:p w14:paraId="1D19EB30">
            <w:pPr>
              <w:pStyle w:val="2"/>
              <w:numPr>
                <w:ilvl w:val="4"/>
                <w:numId w:val="0"/>
              </w:numPr>
              <w:spacing w:line="240" w:lineRule="auto"/>
              <w:ind w:firstLine="400" w:firstLineChars="20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(a)对每台投影机光路校准、性能调试、基色亮度和色调进行调整;对每个显示单元光路进行校正;对全屏机投影机基色一致性进行调整、校正。</w:t>
            </w:r>
          </w:p>
          <w:p w14:paraId="7E44E501">
            <w:pPr>
              <w:pStyle w:val="2"/>
              <w:numPr>
                <w:ilvl w:val="4"/>
                <w:numId w:val="0"/>
              </w:numPr>
              <w:spacing w:line="240" w:lineRule="auto"/>
              <w:ind w:firstLine="400" w:firstLineChars="20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(b)更换投影机内部光路老化严重的光学部件，同时对投影机内部光路进行光学校正;对每台投影机机械位置进行调整、校正。</w:t>
            </w:r>
          </w:p>
          <w:p w14:paraId="743FA1E1">
            <w:pPr>
              <w:pStyle w:val="2"/>
              <w:numPr>
                <w:ilvl w:val="4"/>
                <w:numId w:val="0"/>
              </w:numPr>
              <w:spacing w:line="240" w:lineRule="auto"/>
              <w:ind w:firstLine="400" w:firstLineChars="20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(c)在系统光学校正完成后，对显示单元进行检测，调整设备参数，使设备整体显示效果接近一致。</w:t>
            </w:r>
          </w:p>
          <w:p w14:paraId="0A8CE406">
            <w:pPr>
              <w:pStyle w:val="2"/>
              <w:numPr>
                <w:ilvl w:val="4"/>
                <w:numId w:val="0"/>
              </w:numPr>
              <w:spacing w:line="240" w:lineRule="auto"/>
              <w:ind w:left="66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(d)维护情况反应在当月的维护报告中。</w:t>
            </w:r>
          </w:p>
          <w:p w14:paraId="1A99E03D">
            <w:pPr>
              <w:spacing w:line="240" w:lineRule="auto"/>
              <w:ind w:firstLine="400" w:firstLineChars="200"/>
              <w:rPr>
                <w:rFonts w:hint="eastAsia" w:ascii="宋体" w:hAnsi="宋体" w:eastAsia="宋体" w:cs="宋体"/>
                <w:sz w:val="20"/>
                <w:szCs w:val="20"/>
                <w:highlight w:val="none"/>
                <w:lang w:val="en-US"/>
              </w:rPr>
            </w:pPr>
            <w:r>
              <w:rPr>
                <w:rFonts w:hint="eastAsia" w:ascii="宋体" w:hAnsi="宋体" w:eastAsia="宋体" w:cs="宋体"/>
                <w:sz w:val="20"/>
                <w:szCs w:val="20"/>
                <w:highlight w:val="none"/>
                <w:lang w:val="en-US"/>
              </w:rPr>
              <w:t>②每年对大屏幕投影系统进行清洁除尘4次，每季度1次。</w:t>
            </w:r>
          </w:p>
          <w:p w14:paraId="130E68E1">
            <w:pPr>
              <w:pStyle w:val="2"/>
              <w:numPr>
                <w:ilvl w:val="4"/>
                <w:numId w:val="0"/>
              </w:numPr>
              <w:spacing w:line="240" w:lineRule="auto"/>
              <w:ind w:firstLine="400" w:firstLineChars="20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(a)对滤尘网进行清洁或更换;对投影机内部老化散热部件进行更换。</w:t>
            </w:r>
          </w:p>
          <w:p w14:paraId="11C69909">
            <w:pPr>
              <w:pStyle w:val="2"/>
              <w:numPr>
                <w:ilvl w:val="4"/>
                <w:numId w:val="0"/>
              </w:numPr>
              <w:spacing w:line="240" w:lineRule="auto"/>
              <w:ind w:firstLine="400" w:firstLineChars="200"/>
              <w:rPr>
                <w:rFonts w:hint="eastAsia" w:ascii="宋体" w:hAnsi="宋体" w:eastAsia="宋体" w:cs="宋体"/>
                <w:b w:val="0"/>
                <w:bCs w:val="0"/>
                <w:color w:val="auto"/>
                <w:sz w:val="20"/>
                <w:szCs w:val="20"/>
                <w:highlight w:val="none"/>
                <w:lang w:val="en-US"/>
              </w:rPr>
            </w:pPr>
            <w:r>
              <w:rPr>
                <w:rFonts w:hint="eastAsia" w:ascii="宋体" w:hAnsi="宋体" w:eastAsia="宋体" w:cs="宋体"/>
                <w:b w:val="0"/>
                <w:bCs w:val="0"/>
                <w:color w:val="auto"/>
                <w:sz w:val="20"/>
                <w:szCs w:val="20"/>
                <w:highlight w:val="none"/>
                <w:lang w:val="en-US"/>
              </w:rPr>
              <w:t>(b)对显示单元进行清洁除尘;对背投箱内部进行清洁除尘;对投影机内部光路及板卡进行清洁除尘;对光学镜头进行清洁除尘;使用专用清洁用品对屏幕进行专业清洁除尘。</w:t>
            </w:r>
          </w:p>
          <w:p w14:paraId="380FD136">
            <w:pPr>
              <w:pStyle w:val="2"/>
              <w:numPr>
                <w:ilvl w:val="4"/>
                <w:numId w:val="0"/>
              </w:numPr>
              <w:spacing w:line="240" w:lineRule="auto"/>
              <w:ind w:firstLine="400" w:firstLineChars="200"/>
              <w:rPr>
                <w:rFonts w:hint="eastAsia" w:ascii="宋体" w:hAnsi="宋体" w:eastAsia="宋体" w:cs="宋体"/>
                <w:b w:val="0"/>
                <w:bCs w:val="0"/>
                <w:color w:val="auto"/>
                <w:sz w:val="20"/>
                <w:szCs w:val="20"/>
                <w:highlight w:val="none"/>
                <w:lang w:val="en-US"/>
              </w:rPr>
            </w:pPr>
            <w:r>
              <w:rPr>
                <w:rFonts w:hint="eastAsia" w:ascii="宋体" w:hAnsi="宋体" w:eastAsia="宋体" w:cs="宋体"/>
                <w:b w:val="0"/>
                <w:bCs w:val="0"/>
                <w:color w:val="auto"/>
                <w:sz w:val="20"/>
                <w:szCs w:val="20"/>
                <w:highlight w:val="none"/>
                <w:lang w:val="en-US"/>
              </w:rPr>
              <w:t>(c)在系统清洁除尘完成后，对显示单元进行检测，调整设备参数，使设备整体显示效果接近一致。</w:t>
            </w:r>
          </w:p>
          <w:p w14:paraId="47528A87">
            <w:pPr>
              <w:pStyle w:val="2"/>
              <w:numPr>
                <w:ilvl w:val="4"/>
                <w:numId w:val="0"/>
              </w:numPr>
              <w:spacing w:line="240" w:lineRule="auto"/>
              <w:ind w:left="660"/>
              <w:rPr>
                <w:rFonts w:hint="eastAsia" w:ascii="宋体" w:hAnsi="宋体" w:eastAsia="宋体" w:cs="宋体"/>
                <w:b w:val="0"/>
                <w:bCs w:val="0"/>
                <w:color w:val="auto"/>
                <w:sz w:val="20"/>
                <w:szCs w:val="20"/>
                <w:highlight w:val="none"/>
                <w:lang w:val="en-US"/>
              </w:rPr>
            </w:pPr>
            <w:r>
              <w:rPr>
                <w:rFonts w:hint="eastAsia" w:ascii="宋体" w:hAnsi="宋体" w:eastAsia="宋体" w:cs="宋体"/>
                <w:b w:val="0"/>
                <w:bCs w:val="0"/>
                <w:color w:val="auto"/>
                <w:sz w:val="20"/>
                <w:szCs w:val="20"/>
                <w:highlight w:val="none"/>
                <w:lang w:val="en-US"/>
              </w:rPr>
              <w:t>(d)维护情况反应在当月的维护报告中。</w:t>
            </w:r>
          </w:p>
          <w:p w14:paraId="6694E6D3">
            <w:pPr>
              <w:pStyle w:val="2"/>
              <w:numPr>
                <w:ilvl w:val="4"/>
                <w:numId w:val="0"/>
              </w:numPr>
              <w:spacing w:line="240" w:lineRule="auto"/>
              <w:ind w:firstLine="400" w:firstLineChars="200"/>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4.配件更换应急服务</w:t>
            </w:r>
          </w:p>
          <w:p w14:paraId="24EA0397">
            <w:pPr>
              <w:pStyle w:val="2"/>
              <w:numPr>
                <w:ilvl w:val="4"/>
                <w:numId w:val="0"/>
              </w:numPr>
              <w:spacing w:line="240" w:lineRule="auto"/>
              <w:ind w:firstLine="400" w:firstLineChars="200"/>
              <w:rPr>
                <w:rFonts w:hint="eastAsia" w:ascii="宋体" w:hAnsi="宋体" w:eastAsia="宋体" w:cs="宋体"/>
                <w:b w:val="0"/>
                <w:bCs w:val="0"/>
                <w:sz w:val="20"/>
                <w:szCs w:val="20"/>
                <w:highlight w:val="none"/>
                <w:lang w:val="en-US" w:eastAsia="zh-CN"/>
              </w:rPr>
            </w:pPr>
            <w:r>
              <w:rPr>
                <w:rFonts w:hint="eastAsia" w:ascii="宋体" w:hAnsi="宋体" w:eastAsia="宋体" w:cs="宋体"/>
                <w:b w:val="0"/>
                <w:bCs w:val="0"/>
                <w:sz w:val="20"/>
                <w:szCs w:val="20"/>
                <w:highlight w:val="none"/>
                <w:lang w:val="en-US" w:eastAsia="zh-CN"/>
              </w:rPr>
              <w:t>系统维护过程中涉及硬件故障的原因分析、排除及临时需要的设备配件由乙方负责，需要维修或更换的硬件由甲方负责采购。其中本项目实施过程中所需的辅料辅材及价值低于3000元的低值易耗品由供应商负责维修及更换工作，采购人不在另行支付。</w:t>
            </w:r>
          </w:p>
          <w:p w14:paraId="708AE410">
            <w:pPr>
              <w:autoSpaceDE/>
              <w:autoSpaceDN/>
              <w:spacing w:line="240" w:lineRule="auto"/>
              <w:ind w:firstLine="400" w:firstLineChars="200"/>
              <w:jc w:val="both"/>
              <w:rPr>
                <w:rFonts w:hint="eastAsia" w:ascii="宋体" w:hAnsi="宋体" w:eastAsia="宋体" w:cs="宋体"/>
                <w:kern w:val="2"/>
                <w:sz w:val="20"/>
                <w:szCs w:val="20"/>
                <w:highlight w:val="none"/>
                <w:lang w:val="en-US" w:bidi="ar-SA"/>
              </w:rPr>
            </w:pPr>
            <w:r>
              <w:rPr>
                <w:rFonts w:hint="eastAsia" w:ascii="宋体" w:hAnsi="宋体" w:eastAsia="宋体" w:cs="宋体"/>
                <w:kern w:val="2"/>
                <w:sz w:val="20"/>
                <w:szCs w:val="20"/>
                <w:highlight w:val="none"/>
                <w:lang w:val="en-US" w:bidi="ar-SA"/>
              </w:rPr>
              <w:t>（二）服务指标要求</w:t>
            </w:r>
          </w:p>
          <w:p w14:paraId="62927F3D">
            <w:pPr>
              <w:spacing w:line="240" w:lineRule="auto"/>
              <w:ind w:firstLine="400" w:firstLineChars="200"/>
              <w:rPr>
                <w:rFonts w:hint="eastAsia" w:ascii="宋体" w:hAnsi="宋体" w:eastAsia="宋体" w:cs="宋体"/>
                <w:bCs/>
                <w:sz w:val="20"/>
                <w:szCs w:val="20"/>
                <w:highlight w:val="none"/>
                <w:lang w:val="en-US"/>
              </w:rPr>
            </w:pPr>
            <w:r>
              <w:rPr>
                <w:rFonts w:hint="eastAsia" w:ascii="宋体" w:hAnsi="宋体" w:eastAsia="宋体" w:cs="宋体"/>
                <w:bCs/>
                <w:sz w:val="20"/>
                <w:szCs w:val="20"/>
                <w:highlight w:val="none"/>
                <w:lang w:val="en-US"/>
              </w:rPr>
              <w:t>1.质量指标。</w:t>
            </w:r>
          </w:p>
          <w:p w14:paraId="070CFC06">
            <w:pPr>
              <w:pStyle w:val="2"/>
              <w:numPr>
                <w:ilvl w:val="4"/>
                <w:numId w:val="0"/>
              </w:numPr>
              <w:spacing w:line="240" w:lineRule="auto"/>
              <w:ind w:left="661"/>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（1）系统正常运行率≥95%，计算公式为：</w:t>
            </w:r>
          </w:p>
          <w:p w14:paraId="103DA438">
            <w:pPr>
              <w:spacing w:line="240" w:lineRule="auto"/>
              <w:ind w:firstLine="600" w:firstLineChars="300"/>
              <w:rPr>
                <w:rFonts w:hint="eastAsia" w:ascii="宋体" w:hAnsi="宋体" w:eastAsia="宋体" w:cs="宋体"/>
                <w:sz w:val="20"/>
                <w:szCs w:val="20"/>
                <w:highlight w:val="none"/>
              </w:rPr>
            </w:pPr>
            <w:r>
              <w:rPr>
                <w:rFonts w:hint="eastAsia" w:ascii="宋体" w:hAnsi="宋体" w:eastAsia="宋体" w:cs="宋体"/>
                <w:b w:val="0"/>
                <w:bCs w:val="0"/>
                <w:sz w:val="20"/>
                <w:szCs w:val="20"/>
                <w:highlight w:val="none"/>
                <w:lang w:val="en-US" w:bidi="ar-SA"/>
              </w:rPr>
              <w:drawing>
                <wp:anchor distT="0" distB="0" distL="0" distR="0" simplePos="0" relativeHeight="251659264" behindDoc="0" locked="0" layoutInCell="1" allowOverlap="1">
                  <wp:simplePos x="0" y="0"/>
                  <wp:positionH relativeFrom="column">
                    <wp:posOffset>1025525</wp:posOffset>
                  </wp:positionH>
                  <wp:positionV relativeFrom="paragraph">
                    <wp:posOffset>65405</wp:posOffset>
                  </wp:positionV>
                  <wp:extent cx="1820545" cy="453390"/>
                  <wp:effectExtent l="0" t="0" r="13970" b="10160"/>
                  <wp:wrapNone/>
                  <wp:docPr id="2" name="图片 2" descr="image1.png"/>
                  <wp:cNvGraphicFramePr>
                    <a:graphicFrameLocks xmlns:a="http://schemas.openxmlformats.org/drawingml/2006/main" noChangeAspect="1" noMove="1" noResize="1"/>
                  </wp:cNvGraphicFramePr>
                  <a:graphic xmlns:a="http://schemas.openxmlformats.org/drawingml/2006/main">
                    <a:graphicData uri="http://schemas.openxmlformats.org/drawingml/2006/picture">
                      <pic:pic xmlns:pic="http://schemas.openxmlformats.org/drawingml/2006/picture">
                        <pic:nvPicPr>
                          <pic:cNvPr id="2" name="图片 2" descr="image1.png"/>
                          <pic:cNvPicPr>
                            <a:picLocks noChangeAspect="1" noMove="1" noResize="1" noChangeArrowheads="1"/>
                          </pic:cNvPicPr>
                        </pic:nvPicPr>
                        <pic:blipFill>
                          <a:blip r:embed="rId4"/>
                          <a:srcRect/>
                          <a:stretch>
                            <a:fillRect/>
                          </a:stretch>
                        </pic:blipFill>
                        <pic:spPr>
                          <a:xfrm>
                            <a:off x="0" y="0"/>
                            <a:ext cx="1820545" cy="453390"/>
                          </a:xfrm>
                          <a:prstGeom prst="rect">
                            <a:avLst/>
                          </a:prstGeom>
                          <a:noFill/>
                          <a:ln w="9525">
                            <a:noFill/>
                            <a:miter lim="800000"/>
                            <a:headEnd/>
                            <a:tailEnd/>
                          </a:ln>
                        </pic:spPr>
                      </pic:pic>
                    </a:graphicData>
                  </a:graphic>
                </wp:anchor>
              </w:drawing>
            </w:r>
            <w:r>
              <w:rPr>
                <w:rFonts w:hint="eastAsia" w:ascii="宋体" w:hAnsi="宋体" w:eastAsia="宋体" w:cs="宋体"/>
                <w:sz w:val="20"/>
                <w:szCs w:val="20"/>
                <w:highlight w:val="none"/>
              </w:rPr>
              <w:t>运行正常率=</w:t>
            </w:r>
          </w:p>
          <w:p w14:paraId="0E37129F">
            <w:pPr>
              <w:pStyle w:val="2"/>
              <w:numPr>
                <w:ilvl w:val="4"/>
                <w:numId w:val="0"/>
              </w:numPr>
              <w:spacing w:line="240" w:lineRule="auto"/>
              <w:ind w:left="661"/>
              <w:rPr>
                <w:rFonts w:hint="eastAsia" w:ascii="宋体" w:hAnsi="宋体" w:eastAsia="宋体" w:cs="宋体"/>
                <w:b w:val="0"/>
                <w:bCs w:val="0"/>
                <w:sz w:val="20"/>
                <w:szCs w:val="20"/>
                <w:highlight w:val="none"/>
                <w:lang w:val="en-US"/>
              </w:rPr>
            </w:pPr>
          </w:p>
          <w:p w14:paraId="1A34B88C">
            <w:pPr>
              <w:pStyle w:val="2"/>
              <w:numPr>
                <w:ilvl w:val="4"/>
                <w:numId w:val="0"/>
              </w:numPr>
              <w:spacing w:line="240" w:lineRule="auto"/>
              <w:ind w:left="661"/>
              <w:rPr>
                <w:rFonts w:hint="eastAsia" w:ascii="宋体" w:hAnsi="宋体" w:eastAsia="宋体" w:cs="宋体"/>
                <w:b w:val="0"/>
                <w:bCs w:val="0"/>
                <w:sz w:val="20"/>
                <w:szCs w:val="20"/>
                <w:highlight w:val="none"/>
                <w:lang w:val="en-US"/>
              </w:rPr>
            </w:pPr>
          </w:p>
          <w:p w14:paraId="5F6F575E">
            <w:pPr>
              <w:pStyle w:val="2"/>
              <w:numPr>
                <w:ilvl w:val="4"/>
                <w:numId w:val="0"/>
              </w:numPr>
              <w:spacing w:line="240" w:lineRule="auto"/>
              <w:ind w:left="661"/>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（2）故障响应率100%。</w:t>
            </w:r>
          </w:p>
          <w:p w14:paraId="048D85EC">
            <w:pPr>
              <w:pStyle w:val="2"/>
              <w:numPr>
                <w:ilvl w:val="4"/>
                <w:numId w:val="0"/>
              </w:numPr>
              <w:spacing w:line="240" w:lineRule="auto"/>
              <w:ind w:left="661"/>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（3）故障排除率100%。</w:t>
            </w:r>
          </w:p>
          <w:p w14:paraId="16A151BF">
            <w:pPr>
              <w:spacing w:line="240" w:lineRule="auto"/>
              <w:ind w:firstLine="400" w:firstLineChars="200"/>
              <w:rPr>
                <w:rFonts w:hint="eastAsia" w:ascii="宋体" w:hAnsi="宋体" w:eastAsia="宋体" w:cs="宋体"/>
                <w:bCs/>
                <w:sz w:val="20"/>
                <w:szCs w:val="20"/>
                <w:highlight w:val="none"/>
                <w:lang w:val="en-US"/>
              </w:rPr>
            </w:pPr>
            <w:r>
              <w:rPr>
                <w:rFonts w:hint="eastAsia" w:ascii="宋体" w:hAnsi="宋体" w:eastAsia="宋体" w:cs="宋体"/>
                <w:bCs/>
                <w:sz w:val="20"/>
                <w:szCs w:val="20"/>
                <w:highlight w:val="none"/>
                <w:lang w:val="en-US"/>
              </w:rPr>
              <w:t>2.时效指标。</w:t>
            </w:r>
          </w:p>
          <w:p w14:paraId="55C375EE">
            <w:pPr>
              <w:pStyle w:val="2"/>
              <w:numPr>
                <w:ilvl w:val="4"/>
                <w:numId w:val="0"/>
              </w:numPr>
              <w:spacing w:line="240" w:lineRule="auto"/>
              <w:ind w:left="661"/>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（1）系统故障响应时间≤1小时。</w:t>
            </w:r>
          </w:p>
          <w:p w14:paraId="2648AC58">
            <w:pPr>
              <w:pStyle w:val="2"/>
              <w:numPr>
                <w:ilvl w:val="4"/>
                <w:numId w:val="0"/>
              </w:numPr>
              <w:spacing w:line="240" w:lineRule="auto"/>
              <w:ind w:left="661"/>
              <w:rPr>
                <w:rFonts w:hint="eastAsia" w:ascii="宋体" w:hAnsi="宋体" w:eastAsia="宋体" w:cs="宋体"/>
                <w:b w:val="0"/>
                <w:bCs w:val="0"/>
                <w:sz w:val="20"/>
                <w:szCs w:val="20"/>
                <w:highlight w:val="none"/>
                <w:lang w:val="en-US"/>
              </w:rPr>
            </w:pPr>
            <w:r>
              <w:rPr>
                <w:rFonts w:hint="eastAsia" w:ascii="宋体" w:hAnsi="宋体" w:eastAsia="宋体" w:cs="宋体"/>
                <w:b w:val="0"/>
                <w:bCs w:val="0"/>
                <w:sz w:val="20"/>
                <w:szCs w:val="20"/>
                <w:highlight w:val="none"/>
                <w:lang w:val="en-US"/>
              </w:rPr>
              <w:t>（2）系统故障修复时间：重大故障修复时间≤48小时；</w:t>
            </w:r>
          </w:p>
          <w:p w14:paraId="306F4B27">
            <w:pPr>
              <w:pStyle w:val="2"/>
              <w:numPr>
                <w:ilvl w:val="0"/>
                <w:numId w:val="0"/>
              </w:numPr>
              <w:spacing w:line="240" w:lineRule="auto"/>
              <w:rPr>
                <w:rFonts w:hint="eastAsia" w:ascii="宋体" w:hAnsi="宋体" w:eastAsia="宋体" w:cs="宋体"/>
                <w:sz w:val="20"/>
                <w:szCs w:val="20"/>
                <w:highlight w:val="yellow"/>
                <w:lang w:val="en-US" w:eastAsia="zh-CN"/>
              </w:rPr>
            </w:pPr>
            <w:r>
              <w:rPr>
                <w:rFonts w:hint="eastAsia" w:ascii="宋体" w:hAnsi="宋体" w:eastAsia="宋体" w:cs="宋体"/>
                <w:b w:val="0"/>
                <w:bCs w:val="0"/>
                <w:sz w:val="20"/>
                <w:szCs w:val="20"/>
                <w:highlight w:val="none"/>
                <w:lang w:val="en-US"/>
              </w:rPr>
              <w:t>日常故障修复时间≤2小时。</w:t>
            </w:r>
          </w:p>
          <w:p w14:paraId="071DA743">
            <w:pPr>
              <w:keepNext w:val="0"/>
              <w:keepLines w:val="0"/>
              <w:pageBreakBefore w:val="0"/>
              <w:widowControl w:val="0"/>
              <w:kinsoku/>
              <w:wordWrap/>
              <w:overflowPunct/>
              <w:topLinePunct w:val="0"/>
              <w:autoSpaceDE/>
              <w:autoSpaceDN/>
              <w:bidi w:val="0"/>
              <w:adjustRightInd/>
              <w:snapToGrid/>
              <w:spacing w:line="240" w:lineRule="auto"/>
              <w:ind w:firstLine="402" w:firstLineChars="200"/>
              <w:textAlignment w:val="auto"/>
              <w:rPr>
                <w:rFonts w:hint="eastAsia" w:ascii="宋体" w:hAnsi="宋体" w:eastAsia="宋体" w:cs="宋体"/>
                <w:b/>
                <w:bCs/>
                <w:sz w:val="20"/>
                <w:szCs w:val="20"/>
                <w:highlight w:val="none"/>
                <w:lang w:val="en-US"/>
              </w:rPr>
            </w:pPr>
            <w:r>
              <w:rPr>
                <w:rFonts w:hint="eastAsia" w:ascii="宋体" w:hAnsi="宋体" w:eastAsia="宋体" w:cs="宋体"/>
                <w:b/>
                <w:bCs/>
                <w:sz w:val="20"/>
                <w:szCs w:val="20"/>
                <w:highlight w:val="none"/>
                <w:lang w:val="en-US"/>
              </w:rPr>
              <w:t>（</w:t>
            </w:r>
            <w:r>
              <w:rPr>
                <w:rFonts w:hint="eastAsia" w:ascii="宋体" w:hAnsi="宋体" w:cs="宋体"/>
                <w:b/>
                <w:bCs/>
                <w:sz w:val="20"/>
                <w:szCs w:val="20"/>
                <w:highlight w:val="none"/>
                <w:lang w:val="en-US" w:eastAsia="zh-CN"/>
              </w:rPr>
              <w:t>三</w:t>
            </w:r>
            <w:r>
              <w:rPr>
                <w:rFonts w:hint="eastAsia" w:ascii="宋体" w:hAnsi="宋体" w:eastAsia="宋体" w:cs="宋体"/>
                <w:b/>
                <w:bCs/>
                <w:sz w:val="20"/>
                <w:szCs w:val="20"/>
                <w:highlight w:val="none"/>
                <w:lang w:val="en-US"/>
              </w:rPr>
              <w:t>）网络安全要求</w:t>
            </w:r>
          </w:p>
          <w:p w14:paraId="392057FA">
            <w:pPr>
              <w:autoSpaceDE/>
              <w:autoSpaceDN/>
              <w:spacing w:line="240" w:lineRule="auto"/>
              <w:ind w:firstLine="400" w:firstLineChars="200"/>
              <w:jc w:val="both"/>
              <w:rPr>
                <w:rFonts w:hint="eastAsia" w:ascii="宋体" w:hAnsi="宋体" w:eastAsia="宋体" w:cs="宋体"/>
                <w:color w:val="0000FF"/>
                <w:sz w:val="20"/>
                <w:szCs w:val="20"/>
                <w:highlight w:val="none"/>
                <w:lang w:val="en-US"/>
              </w:rPr>
            </w:pPr>
            <w:r>
              <w:rPr>
                <w:rFonts w:hint="eastAsia" w:ascii="宋体" w:hAnsi="宋体" w:eastAsia="宋体" w:cs="宋体"/>
                <w:sz w:val="20"/>
                <w:szCs w:val="20"/>
                <w:highlight w:val="none"/>
                <w:lang w:val="en-US"/>
              </w:rPr>
              <w:t>供应商具备健全的网络安全服务体系，具有网络安全隐患排查、完善加固、预警监测、应对攻击等服务能力，配备具有相关技术能力的网络安全专项人员，为本项目提供漏洞检测、策略配置、加固整改、安全监测、应急处置等保障措施，确保系统安全稳定运行，按照要求签署网络安全责任协议。</w:t>
            </w:r>
          </w:p>
          <w:p w14:paraId="63C45A70">
            <w:pPr>
              <w:keepNext w:val="0"/>
              <w:keepLines w:val="0"/>
              <w:pageBreakBefore w:val="0"/>
              <w:widowControl w:val="0"/>
              <w:kinsoku/>
              <w:wordWrap/>
              <w:overflowPunct/>
              <w:topLinePunct w:val="0"/>
              <w:autoSpaceDE/>
              <w:autoSpaceDN/>
              <w:bidi w:val="0"/>
              <w:adjustRightInd/>
              <w:snapToGrid/>
              <w:spacing w:line="240" w:lineRule="auto"/>
              <w:ind w:firstLine="402" w:firstLineChars="200"/>
              <w:textAlignment w:val="auto"/>
              <w:rPr>
                <w:rFonts w:hint="eastAsia" w:ascii="宋体" w:hAnsi="宋体" w:eastAsia="宋体" w:cs="宋体"/>
                <w:b/>
                <w:bCs/>
                <w:sz w:val="20"/>
                <w:szCs w:val="20"/>
                <w:highlight w:val="none"/>
                <w:lang w:val="en-US"/>
              </w:rPr>
            </w:pPr>
            <w:r>
              <w:rPr>
                <w:rFonts w:hint="eastAsia" w:ascii="宋体" w:hAnsi="宋体" w:eastAsia="宋体" w:cs="宋体"/>
                <w:b/>
                <w:bCs/>
                <w:sz w:val="20"/>
                <w:szCs w:val="20"/>
                <w:highlight w:val="none"/>
                <w:lang w:val="en-US"/>
              </w:rPr>
              <w:t>（</w:t>
            </w:r>
            <w:r>
              <w:rPr>
                <w:rFonts w:hint="eastAsia" w:ascii="宋体" w:hAnsi="宋体" w:cs="宋体"/>
                <w:b/>
                <w:bCs/>
                <w:sz w:val="20"/>
                <w:szCs w:val="20"/>
                <w:highlight w:val="none"/>
                <w:lang w:val="en-US" w:eastAsia="zh-CN"/>
              </w:rPr>
              <w:t>四</w:t>
            </w:r>
            <w:r>
              <w:rPr>
                <w:rFonts w:hint="eastAsia" w:ascii="宋体" w:hAnsi="宋体" w:eastAsia="宋体" w:cs="宋体"/>
                <w:b/>
                <w:bCs/>
                <w:sz w:val="20"/>
                <w:szCs w:val="20"/>
                <w:highlight w:val="none"/>
                <w:lang w:val="en-US"/>
              </w:rPr>
              <w:t>）保密要求</w:t>
            </w:r>
          </w:p>
          <w:p w14:paraId="23F73D50">
            <w:pPr>
              <w:pStyle w:val="7"/>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宋体" w:hAnsi="宋体" w:eastAsia="宋体" w:cs="宋体"/>
                <w:color w:val="auto"/>
                <w:sz w:val="20"/>
                <w:szCs w:val="20"/>
                <w:highlight w:val="none"/>
                <w:lang w:val="en-US" w:eastAsia="zh-CN"/>
              </w:rPr>
            </w:pPr>
            <w:r>
              <w:rPr>
                <w:rFonts w:hint="eastAsia" w:ascii="宋体" w:hAnsi="宋体" w:eastAsia="宋体" w:cs="宋体"/>
                <w:sz w:val="20"/>
                <w:szCs w:val="20"/>
                <w:highlight w:val="none"/>
              </w:rPr>
              <w:t>项目实施过程中所收集、产生的所有与本项目相关的文档、资料，包括文字、图片、表格、数字等各种形式所属权均归属中</w:t>
            </w:r>
            <w:r>
              <w:rPr>
                <w:rFonts w:hint="eastAsia" w:ascii="宋体" w:hAnsi="宋体" w:eastAsia="宋体" w:cs="宋体"/>
                <w:color w:val="auto"/>
                <w:sz w:val="20"/>
                <w:szCs w:val="20"/>
                <w:highlight w:val="none"/>
                <w:u w:val="none"/>
                <w:lang w:val="en-US"/>
              </w:rPr>
              <w:t>心，供应商必须对所涉及到的内容保密，供应商及服务人员应按照要求签署保密协议。</w:t>
            </w:r>
            <w:r>
              <w:rPr>
                <w:rFonts w:hint="eastAsia" w:ascii="宋体" w:hAnsi="宋体" w:eastAsia="宋体" w:cs="宋体"/>
                <w:color w:val="auto"/>
                <w:sz w:val="20"/>
                <w:szCs w:val="20"/>
                <w:highlight w:val="none"/>
                <w:lang w:val="en-US" w:eastAsia="zh-CN"/>
              </w:rPr>
              <w:t>保密期限不受合同有效期的限制，在合同有效期结束后，供应商仍应承担保密义务。</w:t>
            </w:r>
          </w:p>
          <w:p w14:paraId="4D1CFEF1">
            <w:pPr>
              <w:pStyle w:val="7"/>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宋体" w:hAnsi="宋体" w:eastAsia="宋体" w:cs="宋体"/>
                <w:b/>
                <w:bCs/>
                <w:sz w:val="20"/>
                <w:szCs w:val="20"/>
                <w:highlight w:val="none"/>
                <w:lang w:val="en-US" w:eastAsia="zh-CN" w:bidi="zh-CN"/>
              </w:rPr>
            </w:pPr>
            <w:r>
              <w:rPr>
                <w:rFonts w:hint="eastAsia" w:ascii="宋体" w:hAnsi="宋体" w:eastAsia="宋体" w:cs="宋体"/>
                <w:b/>
                <w:bCs/>
                <w:sz w:val="20"/>
                <w:szCs w:val="20"/>
                <w:highlight w:val="none"/>
                <w:lang w:val="en-US" w:eastAsia="zh-CN" w:bidi="zh-CN"/>
              </w:rPr>
              <w:t>（</w:t>
            </w:r>
            <w:r>
              <w:rPr>
                <w:rFonts w:hint="eastAsia" w:cs="宋体"/>
                <w:b/>
                <w:bCs/>
                <w:sz w:val="20"/>
                <w:szCs w:val="20"/>
                <w:highlight w:val="none"/>
                <w:lang w:val="en-US" w:eastAsia="zh-CN" w:bidi="zh-CN"/>
              </w:rPr>
              <w:t>五</w:t>
            </w:r>
            <w:r>
              <w:rPr>
                <w:rFonts w:hint="eastAsia" w:ascii="宋体" w:hAnsi="宋体" w:eastAsia="宋体" w:cs="宋体"/>
                <w:b/>
                <w:bCs/>
                <w:sz w:val="20"/>
                <w:szCs w:val="20"/>
                <w:highlight w:val="none"/>
                <w:lang w:val="en-US" w:eastAsia="zh-CN" w:bidi="zh-CN"/>
              </w:rPr>
              <w:t>）供应链管理</w:t>
            </w:r>
          </w:p>
          <w:p w14:paraId="630C70E5">
            <w:pPr>
              <w:pStyle w:val="7"/>
              <w:keepNext w:val="0"/>
              <w:keepLines w:val="0"/>
              <w:pageBreakBefore w:val="0"/>
              <w:widowControl w:val="0"/>
              <w:kinsoku/>
              <w:wordWrap/>
              <w:overflowPunct/>
              <w:topLinePunct w:val="0"/>
              <w:autoSpaceDE/>
              <w:autoSpaceDN/>
              <w:bidi w:val="0"/>
              <w:adjustRightInd/>
              <w:snapToGrid/>
              <w:spacing w:line="240" w:lineRule="auto"/>
              <w:ind w:left="0" w:leftChars="0"/>
              <w:textAlignment w:val="auto"/>
              <w:rPr>
                <w:rFonts w:hint="eastAsia" w:ascii="宋体" w:hAnsi="宋体" w:eastAsia="宋体" w:cs="宋体"/>
                <w:sz w:val="20"/>
                <w:szCs w:val="20"/>
                <w:highlight w:val="none"/>
                <w:lang w:val="en-US" w:eastAsia="zh-CN"/>
              </w:rPr>
            </w:pPr>
            <w:r>
              <w:rPr>
                <w:rFonts w:hint="eastAsia" w:ascii="宋体" w:hAnsi="宋体" w:eastAsia="宋体" w:cs="宋体"/>
                <w:sz w:val="20"/>
                <w:szCs w:val="20"/>
                <w:highlight w:val="none"/>
                <w:lang w:val="en-US" w:eastAsia="zh-CN"/>
              </w:rPr>
              <w:t>供应商应严格落实网络安全和保密及人员管理要求，承担相应人员的网络安全和保密及人员管理责任，按要求签订协议和承诺书。供应商应强化配备人员管理，项目团队成员一经确认，原则上不得更换。如因特殊情况确需调整，须提前15个日历天向采购人提交书面申请，经采购人审核同意后方可更换，且替换人员的职称、专业背景、从业年限及项目经验不得低于原定人员标准，确保项目服务质量不受影响。</w:t>
            </w:r>
          </w:p>
          <w:p w14:paraId="5E78A70C">
            <w:pPr>
              <w:autoSpaceDE/>
              <w:autoSpaceDN/>
              <w:spacing w:line="240" w:lineRule="auto"/>
              <w:ind w:firstLine="402" w:firstLineChars="200"/>
              <w:jc w:val="both"/>
              <w:rPr>
                <w:rFonts w:hint="eastAsia"/>
                <w:lang w:val="en-US" w:eastAsia="zh-CN"/>
              </w:rPr>
            </w:pPr>
            <w:r>
              <w:rPr>
                <w:rFonts w:hint="eastAsia" w:ascii="宋体" w:hAnsi="宋体" w:eastAsia="宋体" w:cs="宋体"/>
                <w:b/>
                <w:bCs/>
                <w:color w:val="auto"/>
                <w:sz w:val="20"/>
                <w:szCs w:val="20"/>
                <w:highlight w:val="none"/>
                <w:lang w:val="en-US" w:eastAsia="zh-CN"/>
              </w:rPr>
              <w:t>（</w:t>
            </w:r>
            <w:r>
              <w:rPr>
                <w:rFonts w:hint="eastAsia" w:ascii="宋体" w:hAnsi="宋体" w:cs="宋体"/>
                <w:b/>
                <w:bCs/>
                <w:color w:val="auto"/>
                <w:sz w:val="20"/>
                <w:szCs w:val="20"/>
                <w:highlight w:val="none"/>
                <w:lang w:val="en-US" w:eastAsia="zh-CN"/>
              </w:rPr>
              <w:t>六</w:t>
            </w:r>
            <w:r>
              <w:rPr>
                <w:rFonts w:hint="eastAsia" w:ascii="宋体" w:hAnsi="宋体" w:eastAsia="宋体" w:cs="宋体"/>
                <w:b/>
                <w:bCs/>
                <w:color w:val="auto"/>
                <w:sz w:val="20"/>
                <w:szCs w:val="20"/>
                <w:highlight w:val="none"/>
                <w:lang w:val="en-US" w:eastAsia="zh-CN"/>
              </w:rPr>
              <w:t>）合同签订。</w:t>
            </w:r>
            <w:r>
              <w:rPr>
                <w:rFonts w:hint="eastAsia" w:ascii="宋体" w:hAnsi="宋体" w:eastAsia="宋体" w:cs="宋体"/>
                <w:color w:val="auto"/>
                <w:sz w:val="20"/>
                <w:szCs w:val="20"/>
                <w:highlight w:val="none"/>
                <w:lang w:val="en-US" w:eastAsia="zh-CN"/>
              </w:rPr>
              <w:t>供应商应配合采购方在法定时间内完成合同的签订工作，签订地点由采购方指定。</w:t>
            </w:r>
          </w:p>
        </w:tc>
      </w:tr>
    </w:tbl>
    <w:p w14:paraId="593539CE">
      <w:pPr>
        <w:rPr>
          <w:rFonts w:hint="eastAsia" w:ascii="仿宋_GB2312" w:hAnsi="仿宋_GB2312" w:eastAsia="仿宋_GB2312" w:cs="仿宋_GB231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775D8EF"/>
    <w:multiLevelType w:val="multilevel"/>
    <w:tmpl w:val="3775D8EF"/>
    <w:lvl w:ilvl="0" w:tentative="0">
      <w:start w:val="1"/>
      <w:numFmt w:val="chineseCounting"/>
      <w:suff w:val="nothing"/>
      <w:lvlText w:val="%1、"/>
      <w:lvlJc w:val="left"/>
      <w:pPr>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pStyle w:val="2"/>
      <w:suff w:val="nothing"/>
      <w:lvlText w:val="%5"/>
      <w:lvlJc w:val="left"/>
      <w:pPr>
        <w:ind w:left="258"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601813"/>
    <w:rsid w:val="57601813"/>
    <w:rsid w:val="761919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5"/>
    <w:basedOn w:val="1"/>
    <w:next w:val="1"/>
    <w:qFormat/>
    <w:uiPriority w:val="1"/>
    <w:pPr>
      <w:numPr>
        <w:ilvl w:val="4"/>
        <w:numId w:val="1"/>
      </w:numPr>
      <w:outlineLvl w:val="4"/>
    </w:pPr>
    <w:rPr>
      <w:b/>
      <w:bCs/>
      <w:sz w:val="28"/>
      <w:szCs w:val="28"/>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Body Text"/>
    <w:basedOn w:val="1"/>
    <w:next w:val="1"/>
    <w:qFormat/>
    <w:uiPriority w:val="0"/>
    <w:pPr>
      <w:spacing w:after="120"/>
    </w:pPr>
  </w:style>
  <w:style w:type="paragraph" w:customStyle="1" w:styleId="6">
    <w:name w:val="null3"/>
    <w:hidden/>
    <w:qFormat/>
    <w:uiPriority w:val="0"/>
    <w:rPr>
      <w:rFonts w:hint="eastAsia" w:asciiTheme="minorHAnsi" w:hAnsiTheme="minorHAnsi" w:eastAsiaTheme="minorEastAsia" w:cstheme="minorBidi"/>
      <w:lang w:val="en-US" w:eastAsia="zh-Hans"/>
    </w:rPr>
  </w:style>
  <w:style w:type="paragraph" w:customStyle="1" w:styleId="7">
    <w:name w:val="首行缩进"/>
    <w:basedOn w:val="1"/>
    <w:qFormat/>
    <w:uiPriority w:val="0"/>
    <w:pPr>
      <w:spacing w:line="360" w:lineRule="auto"/>
      <w:ind w:left="210" w:leftChars="100" w:firstLine="420" w:firstLineChars="200"/>
    </w:pPr>
    <w:rPr>
      <w:rFonts w:ascii="宋体" w:hAnsi="宋体"/>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6217</Words>
  <Characters>6632</Characters>
  <Lines>0</Lines>
  <Paragraphs>0</Paragraphs>
  <TotalTime>0</TotalTime>
  <ScaleCrop>false</ScaleCrop>
  <LinksUpToDate>false</LinksUpToDate>
  <CharactersWithSpaces>6653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2026-05-21T06:47:00Z</dcterms:created>
  <dc:creator>833</dc:creator>
  <cp:lastModifiedBy>833</cp:lastModifiedBy>
  <dcterms:modified xsi:type="dcterms:W3CDTF">2026-05-21T06:55:25Z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9098DDB390B547369A3657C09A0D40B8_11</vt:lpwstr>
  </property>
  <property fmtid="{D5CDD505-2E9C-101B-9397-08002B2CF9AE}" pid="4" name="KSOTemplateDocerSaveRecord">
    <vt:lpwstr>eyJoZGlkIjoiNTI1OGU5NzEwNjlmOTA0NzYwMTIyZGJlNThjMzMxOGYiLCJ1c2VySWQiOiIzMTI3MDEwNzEifQ==</vt:lpwstr>
  </property>
</Properties>
</file>