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版本号：ZMZB2026ZXXZ-53.1.3B220260630001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血检科国产乙肝检测试剂耗材采购项目(三次)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ZMZB2026ZXXZ-53.1.3B2</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血检科国产乙肝检测试剂耗材采购项目(三次)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ZMZB2026ZXXZ-53.1.3B2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血检科国产乙肝检测试剂耗材采购项目(三次)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为保证临床输血安全，向临床及时提供安全有效的血液制品，拟通过竞争性谈判方式采购部分检测试剂及实验耗材。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6、近3年内在经营活动中没有重大违法记录的书面声明：近3年内在经营活动中没有重大违法记录的书面声明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9、本项目不接受联合体投标：本项目不接受联合体投标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明：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6、近3年内在经营活动中没有重大违法记录的书面声明：近3年内在经营活动中没有重大违法记录的书面声明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9、本项目不接受联合体投标：本项目不接受联合体投标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明：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029-85236579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采购包1：175,000.00元</w:t>
            </w:r>
          </w:p>
          <w:p>
            <w:pPr>
              <w:pStyle w:val="null3"/>
            </w:pPr>
            <w:r>
              <w:rPr>
                <w:rFonts w:ascii="仿宋_GB2312" w:hAnsi="仿宋_GB2312" w:cs="仿宋_GB2312" w:eastAsia="仿宋_GB2312"/>
              </w:rPr>
              <w:t>采购包2：902,500.00元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及（发改办价格[2011]534号）的规定计取，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按照采购文件、投标文件及合同约定执行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为保证临床输血安全，向临床及时提供安全有效的血液制品，拟通过竞争性谈判方式采购部分检测试剂及实验耗材。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w:t>
      </w:r>
    </w:p>
    <w:p>
      <w:pPr>
        <w:pStyle w:val="null3"/>
      </w:pPr>
      <w:r>
        <w:rPr>
          <w:rFonts w:ascii="仿宋_GB2312" w:hAnsi="仿宋_GB2312" w:cs="仿宋_GB2312" w:eastAsia="仿宋_GB2312"/>
        </w:rPr>
        <w:t>采购包最高限价（元）: 175,000.00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国产HBsAg体外诊断试剂盒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902,500.00</w:t>
      </w:r>
    </w:p>
    <w:p>
      <w:pPr>
        <w:pStyle w:val="null3"/>
      </w:pPr>
      <w:r>
        <w:rPr>
          <w:rFonts w:ascii="仿宋_GB2312" w:hAnsi="仿宋_GB2312" w:cs="仿宋_GB2312" w:eastAsia="仿宋_GB2312"/>
        </w:rPr>
        <w:t>采购包最高限价（元）: 902,500.00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★XANTUS加样针 URANUS加样针 血型仪清洗液 爱康血型仪专用96孔U型板 爱康酶免仪专用一次性试剂槽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902,500.00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标的名称：国产HBsAg体外诊断试剂盒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Borders>
                <w:top w:val="none" w:color="000000" w:sz="4"/>
                <w:left w:val="none" w:color="000000" w:sz="4"/>
                <w:bottom w:val="none" w:color="000000" w:sz="4"/>
                <w:right w:val="none" w:color="000000" w:sz="4"/>
                <w:insideH w:val="none"/>
                <w:insideV w:val="none"/>
              </w:tblBorders>
            </w:tblPr>
            <w:tblGrid>
              <w:gridCol w:w="203"/>
              <w:gridCol w:w="1289"/>
              <w:gridCol w:w="279"/>
              <w:gridCol w:w="273"/>
              <w:gridCol w:w="489"/>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标段</w:t>
                  </w:r>
                </w:p>
              </w:tc>
              <w:tc>
                <w:tcPr>
                  <w:tcW w:type="dxa" w:w="1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预算金额（元）</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国产</w:t>
                  </w:r>
                  <w:r>
                    <w:rPr>
                      <w:rFonts w:ascii="仿宋_GB2312" w:hAnsi="仿宋_GB2312" w:cs="仿宋_GB2312" w:eastAsia="仿宋_GB2312"/>
                      <w:sz w:val="20"/>
                      <w:color w:val="000000"/>
                    </w:rPr>
                    <w:t>HBsAg体外诊断试剂盒</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二、技术要求</w:t>
            </w:r>
          </w:p>
          <w:p>
            <w:pPr>
              <w:pStyle w:val="null3"/>
            </w:pPr>
            <w:r>
              <w:rPr>
                <w:rFonts w:ascii="仿宋_GB2312" w:hAnsi="仿宋_GB2312" w:cs="仿宋_GB2312" w:eastAsia="仿宋_GB2312"/>
              </w:rPr>
              <w:t>1.</w:t>
            </w:r>
            <w:r>
              <w:rPr>
                <w:rFonts w:ascii="仿宋_GB2312" w:hAnsi="仿宋_GB2312" w:cs="仿宋_GB2312" w:eastAsia="仿宋_GB2312"/>
              </w:rPr>
              <w:t>国产</w:t>
            </w:r>
            <w:r>
              <w:rPr>
                <w:rFonts w:ascii="仿宋_GB2312" w:hAnsi="仿宋_GB2312" w:cs="仿宋_GB2312" w:eastAsia="仿宋_GB2312"/>
              </w:rPr>
              <w:t>HBsAg体外诊断试剂盒</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酶联免疫（</w:t>
            </w:r>
            <w:r>
              <w:rPr>
                <w:rFonts w:ascii="仿宋_GB2312" w:hAnsi="仿宋_GB2312" w:cs="仿宋_GB2312" w:eastAsia="仿宋_GB2312"/>
                <w:sz w:val="21"/>
                <w:color w:val="000000"/>
              </w:rPr>
              <w:t>EIA）的实验原理，二步法；</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检测灵敏度</w:t>
            </w:r>
            <w:r>
              <w:rPr>
                <w:rFonts w:ascii="仿宋_GB2312" w:hAnsi="仿宋_GB2312" w:cs="仿宋_GB2312" w:eastAsia="仿宋_GB2312"/>
                <w:sz w:val="21"/>
                <w:color w:val="000000"/>
              </w:rPr>
              <w:t>≤0.2IU/ml；</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敏感性：</w:t>
            </w:r>
            <w:r>
              <w:rPr>
                <w:rFonts w:ascii="仿宋_GB2312" w:hAnsi="仿宋_GB2312" w:cs="仿宋_GB2312" w:eastAsia="仿宋_GB2312"/>
                <w:sz w:val="21"/>
                <w:color w:val="000000"/>
              </w:rPr>
              <w:t>100％；特异性：≥99％。批间差（CV）≤20%，批内差（CV）≤15%；</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试剂盒包装规格</w:t>
            </w:r>
            <w:r>
              <w:rPr>
                <w:rFonts w:ascii="仿宋_GB2312" w:hAnsi="仿宋_GB2312" w:cs="仿宋_GB2312" w:eastAsia="仿宋_GB2312"/>
                <w:sz w:val="21"/>
                <w:color w:val="000000"/>
              </w:rPr>
              <w:t>96人份/ 盒（8*12）；</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酶标板的规格标准，适合在各种型号全自动酶免系统、酶标仪、洗板机上使用</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三、服务要求</w:t>
            </w:r>
          </w:p>
          <w:p>
            <w:pPr>
              <w:pStyle w:val="null3"/>
            </w:pPr>
            <w:r>
              <w:rPr>
                <w:rFonts w:ascii="仿宋_GB2312" w:hAnsi="仿宋_GB2312" w:cs="仿宋_GB2312" w:eastAsia="仿宋_GB2312"/>
                <w:sz w:val="21"/>
                <w:color w:val="000000"/>
              </w:rPr>
              <w:t>试剂类产品</w:t>
            </w:r>
            <w:r>
              <w:rPr>
                <w:rFonts w:ascii="仿宋_GB2312" w:hAnsi="仿宋_GB2312" w:cs="仿宋_GB2312" w:eastAsia="仿宋_GB2312"/>
                <w:sz w:val="21"/>
                <w:color w:val="000000"/>
              </w:rPr>
              <w:t>中标</w:t>
            </w:r>
            <w:r>
              <w:rPr>
                <w:rFonts w:ascii="仿宋_GB2312" w:hAnsi="仿宋_GB2312" w:cs="仿宋_GB2312" w:eastAsia="仿宋_GB2312"/>
                <w:sz w:val="21"/>
                <w:color w:val="000000"/>
              </w:rPr>
              <w:t>单位</w:t>
            </w:r>
            <w:r>
              <w:rPr>
                <w:rFonts w:ascii="仿宋_GB2312" w:hAnsi="仿宋_GB2312" w:cs="仿宋_GB2312" w:eastAsia="仿宋_GB2312"/>
                <w:sz w:val="21"/>
                <w:color w:val="000000"/>
              </w:rPr>
              <w:t>供货时</w:t>
            </w:r>
            <w:r>
              <w:rPr>
                <w:rFonts w:ascii="仿宋_GB2312" w:hAnsi="仿宋_GB2312" w:cs="仿宋_GB2312" w:eastAsia="仿宋_GB2312"/>
                <w:sz w:val="21"/>
                <w:color w:val="000000"/>
              </w:rPr>
              <w:t>必须提供以下相关资料存档：</w:t>
            </w:r>
          </w:p>
          <w:p>
            <w:pPr>
              <w:pStyle w:val="null3"/>
            </w:pPr>
            <w:r>
              <w:rPr>
                <w:rFonts w:ascii="仿宋_GB2312" w:hAnsi="仿宋_GB2312" w:cs="仿宋_GB2312" w:eastAsia="仿宋_GB2312"/>
                <w:sz w:val="21"/>
                <w:color w:val="000000"/>
              </w:rPr>
              <w:t>1.《药品生产许可证》和《药品经营许可证》及营业执照复印件；</w:t>
            </w:r>
          </w:p>
          <w:p>
            <w:pPr>
              <w:pStyle w:val="null3"/>
            </w:pPr>
            <w:r>
              <w:rPr>
                <w:rFonts w:ascii="仿宋_GB2312" w:hAnsi="仿宋_GB2312" w:cs="仿宋_GB2312" w:eastAsia="仿宋_GB2312"/>
                <w:sz w:val="21"/>
                <w:color w:val="000000"/>
              </w:rPr>
              <w:t>2.《药品生产质量管理规范》和《药品经营质量管理规范》认证证书复印件；</w:t>
            </w:r>
          </w:p>
          <w:p>
            <w:pPr>
              <w:pStyle w:val="null3"/>
            </w:pPr>
            <w:r>
              <w:rPr>
                <w:rFonts w:ascii="仿宋_GB2312" w:hAnsi="仿宋_GB2312" w:cs="仿宋_GB2312" w:eastAsia="仿宋_GB2312"/>
                <w:sz w:val="21"/>
                <w:color w:val="000000"/>
              </w:rPr>
              <w:t>3.药品的批准证明文件复印件；</w:t>
            </w:r>
          </w:p>
          <w:p>
            <w:pPr>
              <w:pStyle w:val="null3"/>
            </w:pPr>
            <w:r>
              <w:rPr>
                <w:rFonts w:ascii="仿宋_GB2312" w:hAnsi="仿宋_GB2312" w:cs="仿宋_GB2312" w:eastAsia="仿宋_GB2312"/>
                <w:sz w:val="21"/>
                <w:color w:val="000000"/>
              </w:rPr>
              <w:t>4.销售人员有效身份证明复印件；</w:t>
            </w:r>
          </w:p>
          <w:p>
            <w:pPr>
              <w:pStyle w:val="null3"/>
            </w:pPr>
            <w:r>
              <w:rPr>
                <w:rFonts w:ascii="仿宋_GB2312" w:hAnsi="仿宋_GB2312" w:cs="仿宋_GB2312" w:eastAsia="仿宋_GB2312"/>
                <w:sz w:val="21"/>
                <w:color w:val="000000"/>
              </w:rPr>
              <w:t>5.血源筛查体外诊断试剂的批签发文件；</w:t>
            </w:r>
          </w:p>
          <w:p>
            <w:pPr>
              <w:pStyle w:val="null3"/>
            </w:pPr>
            <w:r>
              <w:rPr>
                <w:rFonts w:ascii="仿宋_GB2312" w:hAnsi="仿宋_GB2312" w:cs="仿宋_GB2312" w:eastAsia="仿宋_GB2312"/>
                <w:sz w:val="21"/>
                <w:color w:val="000000"/>
              </w:rPr>
              <w:t>6.出厂质量检验报告等。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标的名称：★XANTUS加样针 URANUS加样针 血型仪清洗液 爱康血型仪专用96孔U型板 爱康酶免仪专用一次性试剂槽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Borders>
                <w:top w:val="none" w:color="000000" w:sz="4"/>
                <w:left w:val="none" w:color="000000" w:sz="4"/>
                <w:bottom w:val="none" w:color="000000" w:sz="4"/>
                <w:right w:val="none" w:color="000000" w:sz="4"/>
                <w:insideH w:val="none"/>
                <w:insideV w:val="none"/>
              </w:tblBorders>
            </w:tblPr>
            <w:tblGrid>
              <w:gridCol w:w="203"/>
              <w:gridCol w:w="1162"/>
              <w:gridCol w:w="387"/>
              <w:gridCol w:w="292"/>
              <w:gridCol w:w="489"/>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标段</w:t>
                  </w:r>
                </w:p>
              </w:tc>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预算金额（元）</w:t>
                  </w:r>
                </w:p>
              </w:tc>
            </w:tr>
            <w:tr>
              <w:tc>
                <w:tcPr>
                  <w:tcW w:type="dxa" w:w="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XANTUS加样针</w:t>
                  </w:r>
                  <w:r>
                    <w:rPr>
                      <w:rFonts w:ascii="仿宋_GB2312" w:hAnsi="仿宋_GB2312" w:cs="仿宋_GB2312" w:eastAsia="仿宋_GB2312"/>
                      <w:sz w:val="20"/>
                      <w:b/>
                      <w:color w:val="000000"/>
                    </w:rPr>
                    <w:t>（核心产品）</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900000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630000</w:t>
                  </w:r>
                </w:p>
              </w:tc>
            </w:tr>
            <w:tr>
              <w:tc>
                <w:tcPr>
                  <w:tcW w:type="dxa" w:w="203"/>
                  <w:vMerge/>
                  <w:tcBorders>
                    <w:top w:val="none" w:color="000000" w:sz="4"/>
                    <w:left w:val="single" w:color="000000" w:sz="4"/>
                    <w:bottom w:val="single" w:color="000000" w:sz="4"/>
                    <w:right w:val="single" w:color="000000" w:sz="4"/>
                  </w:tcBorders>
                </w:tc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URANUS加样针</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150000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82500</w:t>
                  </w:r>
                </w:p>
              </w:tc>
            </w:tr>
            <w:tr>
              <w:tc>
                <w:tcPr>
                  <w:tcW w:type="dxa" w:w="203"/>
                  <w:vMerge/>
                  <w:tcBorders>
                    <w:top w:val="none" w:color="000000" w:sz="4"/>
                    <w:left w:val="single" w:color="000000" w:sz="4"/>
                    <w:bottom w:val="single" w:color="000000" w:sz="4"/>
                    <w:right w:val="single" w:color="000000" w:sz="4"/>
                  </w:tcBorders>
                </w:tc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血型仪清洗液</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5000</w:t>
                  </w:r>
                </w:p>
              </w:tc>
            </w:tr>
            <w:tr>
              <w:tc>
                <w:tcPr>
                  <w:tcW w:type="dxa" w:w="203"/>
                  <w:vMerge/>
                  <w:tcBorders>
                    <w:top w:val="none" w:color="000000" w:sz="4"/>
                    <w:left w:val="single" w:color="000000" w:sz="4"/>
                    <w:bottom w:val="single" w:color="000000" w:sz="4"/>
                    <w:right w:val="single" w:color="000000" w:sz="4"/>
                  </w:tcBorders>
                </w:tc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爱康血型仪专用</w:t>
                  </w:r>
                  <w:r>
                    <w:rPr>
                      <w:rFonts w:ascii="仿宋_GB2312" w:hAnsi="仿宋_GB2312" w:cs="仿宋_GB2312" w:eastAsia="仿宋_GB2312"/>
                      <w:sz w:val="20"/>
                      <w:color w:val="000000"/>
                    </w:rPr>
                    <w:t>96孔U型板</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143000</w:t>
                  </w:r>
                </w:p>
              </w:tc>
            </w:tr>
            <w:tr>
              <w:tc>
                <w:tcPr>
                  <w:tcW w:type="dxa" w:w="203"/>
                  <w:vMerge/>
                  <w:tcBorders>
                    <w:top w:val="none" w:color="000000" w:sz="4"/>
                    <w:left w:val="single" w:color="000000" w:sz="4"/>
                    <w:bottom w:val="single" w:color="000000" w:sz="4"/>
                    <w:right w:val="single" w:color="000000" w:sz="4"/>
                  </w:tcBorders>
                </w:tc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爱康酶免仪专用一次性试剂槽</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二、技术要求</w:t>
            </w:r>
          </w:p>
          <w:p>
            <w:pPr>
              <w:pStyle w:val="null3"/>
            </w:pPr>
            <w:r>
              <w:rPr>
                <w:rFonts w:ascii="仿宋_GB2312" w:hAnsi="仿宋_GB2312" w:cs="仿宋_GB2312" w:eastAsia="仿宋_GB2312"/>
              </w:rPr>
              <w:t>1、</w:t>
            </w:r>
            <w:r>
              <w:rPr>
                <w:rFonts w:ascii="仿宋_GB2312" w:hAnsi="仿宋_GB2312" w:cs="仿宋_GB2312" w:eastAsia="仿宋_GB2312"/>
              </w:rPr>
              <w:t>XANTUS加样针</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规格为</w:t>
            </w:r>
            <w:r>
              <w:rPr>
                <w:rFonts w:ascii="仿宋_GB2312" w:hAnsi="仿宋_GB2312" w:cs="仿宋_GB2312" w:eastAsia="仿宋_GB2312"/>
                <w:sz w:val="21"/>
                <w:color w:val="000000"/>
              </w:rPr>
              <w:t>1100ul/根的一次性加样针，适合深圳爱康公司生产的XANTUS全自动加样仪使用；</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应具备良好的导电材质，能够准确判断液位高度；支持液位、凝块、气泡检测功能，并能与现有系统配套，当有液位不足、有凝块、有气泡问题出现时，系统能够通过一次性加样针产品检测到问题；</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一次性加样针外壳光洁，产品批次间无差异；</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储存时间：</w:t>
            </w:r>
            <w:r>
              <w:rPr>
                <w:rFonts w:ascii="仿宋_GB2312" w:hAnsi="仿宋_GB2312" w:cs="仿宋_GB2312" w:eastAsia="仿宋_GB2312"/>
                <w:sz w:val="21"/>
                <w:color w:val="000000"/>
              </w:rPr>
              <w:t>≥12个月。</w:t>
            </w:r>
          </w:p>
          <w:p>
            <w:pPr>
              <w:pStyle w:val="null3"/>
            </w:pPr>
            <w:r>
              <w:rPr>
                <w:rFonts w:ascii="仿宋_GB2312" w:hAnsi="仿宋_GB2312" w:cs="仿宋_GB2312" w:eastAsia="仿宋_GB2312"/>
              </w:rPr>
              <w:t>2、</w:t>
            </w:r>
            <w:r>
              <w:rPr>
                <w:rFonts w:ascii="仿宋_GB2312" w:hAnsi="仿宋_GB2312" w:cs="仿宋_GB2312" w:eastAsia="仿宋_GB2312"/>
              </w:rPr>
              <w:t>URANUS加样针</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规格为</w:t>
            </w:r>
            <w:r>
              <w:rPr>
                <w:rFonts w:ascii="仿宋_GB2312" w:hAnsi="仿宋_GB2312" w:cs="仿宋_GB2312" w:eastAsia="仿宋_GB2312"/>
                <w:sz w:val="21"/>
                <w:color w:val="000000"/>
              </w:rPr>
              <w:t>1000ul/根的一次性加样针，适合深圳爱康公司生产的URANUS全自动酶免仪使用；</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应具备良好的压力感应性能，支持液位、气泡检测功能，并能与现有系统配套，当液位不足、有气泡问题出现时，系统能够通过一次性加样针产品检测到问题；</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加样针产品外壳光洁，产品批次间无差异；</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储存时间：</w:t>
            </w:r>
            <w:r>
              <w:rPr>
                <w:rFonts w:ascii="仿宋_GB2312" w:hAnsi="仿宋_GB2312" w:cs="仿宋_GB2312" w:eastAsia="仿宋_GB2312"/>
                <w:sz w:val="21"/>
                <w:color w:val="000000"/>
              </w:rPr>
              <w:t>≥12个月。</w:t>
            </w:r>
          </w:p>
          <w:p>
            <w:pPr>
              <w:pStyle w:val="null3"/>
            </w:pPr>
            <w:r>
              <w:rPr>
                <w:rFonts w:ascii="仿宋_GB2312" w:hAnsi="仿宋_GB2312" w:cs="仿宋_GB2312" w:eastAsia="仿宋_GB2312"/>
                <w:sz w:val="21"/>
                <w:color w:val="000000"/>
              </w:rPr>
              <w:t>3、</w:t>
            </w:r>
            <w:r>
              <w:rPr>
                <w:rFonts w:ascii="仿宋_GB2312" w:hAnsi="仿宋_GB2312" w:cs="仿宋_GB2312" w:eastAsia="仿宋_GB2312"/>
              </w:rPr>
              <w:t>血型仪清洗液</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5L/瓶；</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能够满足爱康全自动血型仪系统清洗维护工作；</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储存时间：</w:t>
            </w:r>
            <w:r>
              <w:rPr>
                <w:rFonts w:ascii="仿宋_GB2312" w:hAnsi="仿宋_GB2312" w:cs="仿宋_GB2312" w:eastAsia="仿宋_GB2312"/>
                <w:sz w:val="21"/>
                <w:color w:val="000000"/>
              </w:rPr>
              <w:t>≥12个月。</w:t>
            </w:r>
          </w:p>
          <w:p>
            <w:pPr>
              <w:pStyle w:val="null3"/>
            </w:pPr>
            <w:r>
              <w:rPr>
                <w:rFonts w:ascii="仿宋_GB2312" w:hAnsi="仿宋_GB2312" w:cs="仿宋_GB2312" w:eastAsia="仿宋_GB2312"/>
              </w:rPr>
              <w:t>4、</w:t>
            </w:r>
            <w:r>
              <w:rPr>
                <w:rFonts w:ascii="仿宋_GB2312" w:hAnsi="仿宋_GB2312" w:cs="仿宋_GB2312" w:eastAsia="仿宋_GB2312"/>
              </w:rPr>
              <w:t>爱康血型仪专用</w:t>
            </w:r>
            <w:r>
              <w:rPr>
                <w:rFonts w:ascii="仿宋_GB2312" w:hAnsi="仿宋_GB2312" w:cs="仿宋_GB2312" w:eastAsia="仿宋_GB2312"/>
              </w:rPr>
              <w:t>96孔U型板</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Metis全自动血型分析仪；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板类型：一次性使用的标准</w:t>
            </w:r>
            <w:r>
              <w:rPr>
                <w:rFonts w:ascii="仿宋_GB2312" w:hAnsi="仿宋_GB2312" w:cs="仿宋_GB2312" w:eastAsia="仿宋_GB2312"/>
                <w:sz w:val="21"/>
                <w:color w:val="000000"/>
              </w:rPr>
              <w:t>96孔U型板，板条不可拆卸，为整板一体化设计，每孔容积300ul；</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U型血型微板底部内表面采用雾面技术；</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U型血型微板的底部孔间做了不透光处理，消除孔间干扰，每一个孔的成像图像清晰，分析结果准确，溯源性强。</w:t>
            </w:r>
          </w:p>
          <w:p>
            <w:pPr>
              <w:pStyle w:val="null3"/>
            </w:pPr>
            <w:r>
              <w:rPr>
                <w:rFonts w:ascii="仿宋_GB2312" w:hAnsi="仿宋_GB2312" w:cs="仿宋_GB2312" w:eastAsia="仿宋_GB2312"/>
                <w:sz w:val="21"/>
                <w:color w:val="000000"/>
              </w:rPr>
              <w:t>5、</w:t>
            </w:r>
            <w:r>
              <w:rPr>
                <w:rFonts w:ascii="仿宋_GB2312" w:hAnsi="仿宋_GB2312" w:cs="仿宋_GB2312" w:eastAsia="仿宋_GB2312"/>
              </w:rPr>
              <w:t>爱康酶免仪专用一次性试剂槽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适合爱康酶免仪上机使用，能和爱康酶免仪上的专用试剂盒配套适用；</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≤100ml</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按照采购人要求分批供货，接到甲方供货通知七日内交货。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按照采购人要求分批供货，接到甲方供货通知七日内交货。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经甲方确认验收合格后，收到乙方开具的增值税普通发票后，按乙方开具发票金额据实支付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经甲方确认验收合格后，收到乙方开具的增值税普通发票后，按乙方开具发票金额据实支付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保质期：产品到交货地点的有效期大于6个月。在使用期间如出现质量问题，应随时予以更换，保证血液检测工作的正常进行。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保质期：产品到交货地点的有效期大于6个月。在使用期间如出现质量问题，应随时予以更换，保证血液检测工作的正常进行。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1、因电子化格式有限，供应商还需对以下付款方式进行响应： 付款方式：经甲方确认验收合格后，收到乙方开具的增值税普通发票后30个工作日内，按乙方开具发票金额据实支付。2、中标供应商领取中标（成交）通知书时，向采购代理机构提供一正两副（和上传文件保持一致的）纸质投标（响应）文件用于备案及档案保存。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1、因电子化格式有限，供应商还需对以下付款方式进行响应： 付款方式：经甲方确认验收合格后，收到乙方开具的增值税普通发票后30个工作日内，按乙方开具发票金额据实支付。2、中标供应商领取中标（成交）通知书时，向采购代理机构提供一正两副（和上传文件保持一致的）纸质投标（响应）文件用于备案及档案保存。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近3年内在经营活动中没有重大违法记录的书面声明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近3年内在经营活动中没有重大违法记录的书面声明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投标报价（或单价报价）超过采购预算或者最高限价（不合格），投标报价（或单价报价）未超过采购预算或者最高限价（合格）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交货时间、保质期</w:t>
            </w:r>
          </w:p>
        </w:tc>
        <w:tc>
          <w:tcPr>
            <w:tcW w:type="dxa" w:w="3322"/>
          </w:tcPr>
          <w:p>
            <w:pPr>
              <w:pStyle w:val="null3"/>
            </w:pPr>
            <w:r>
              <w:rPr>
                <w:rFonts w:ascii="仿宋_GB2312" w:hAnsi="仿宋_GB2312" w:cs="仿宋_GB2312" w:eastAsia="仿宋_GB2312"/>
              </w:rPr>
              <w:t>投标文件的交货时间、保质期不满足采购文件要求（不合格），投标文件的交货时间、保质期满足采购文件要求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投标文件的签署、盖章不符合采购文件要求（不合格），投标文件的签署、盖章符合采购文件要求（合格）</w:t>
            </w:r>
          </w:p>
        </w:tc>
        <w:tc>
          <w:tcPr>
            <w:tcW w:type="dxa" w:w="1661"/>
          </w:tcPr>
          <w:p>
            <w:pPr>
              <w:pStyle w:val="null3"/>
            </w:pPr>
            <w:r>
              <w:rPr>
                <w:rFonts w:ascii="仿宋_GB2312" w:hAnsi="仿宋_GB2312" w:cs="仿宋_GB2312" w:eastAsia="仿宋_GB2312"/>
              </w:rPr>
              <w:t>响应文件封面 分项报价表.docx 质量安全责任承诺书.docx 中小企业声明函 标的清单 报价表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投标文件无投标有效期或有效期达不到采购文件要求的（不合格），投标文件有效期达到采购文件要求的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投标文件货物标的出现漏项或货物数量与要求不符的（不合格），投标文件货物标的未出现漏项或货物数量与要求符合的（合格）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质量安全责任承诺书</w:t>
            </w:r>
          </w:p>
        </w:tc>
        <w:tc>
          <w:tcPr>
            <w:tcW w:type="dxa" w:w="3322"/>
          </w:tcPr>
          <w:p>
            <w:pPr>
              <w:pStyle w:val="null3"/>
            </w:pPr>
            <w:r>
              <w:rPr>
                <w:rFonts w:ascii="仿宋_GB2312" w:hAnsi="仿宋_GB2312" w:cs="仿宋_GB2312" w:eastAsia="仿宋_GB2312"/>
              </w:rPr>
              <w:t>响应文件提供了合格的质量安全责任承诺书（合格），响应文件未提供或提供的质量安全责任承诺书不合格（不合格）</w:t>
            </w:r>
          </w:p>
        </w:tc>
        <w:tc>
          <w:tcPr>
            <w:tcW w:type="dxa" w:w="1661"/>
          </w:tcPr>
          <w:p>
            <w:pPr>
              <w:pStyle w:val="null3"/>
            </w:pPr>
            <w:r>
              <w:rPr>
                <w:rFonts w:ascii="仿宋_GB2312" w:hAnsi="仿宋_GB2312" w:cs="仿宋_GB2312" w:eastAsia="仿宋_GB2312"/>
              </w:rPr>
              <w:t>质量安全责任承诺书.docx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 （不合格）</w:t>
            </w:r>
          </w:p>
        </w:tc>
        <w:tc>
          <w:tcPr>
            <w:tcW w:type="dxa" w:w="1661"/>
          </w:tcPr>
          <w:p>
            <w:pPr>
              <w:pStyle w:val="null3"/>
            </w:pPr>
            <w:r>
              <w:rPr>
                <w:rFonts w:ascii="仿宋_GB2312" w:hAnsi="仿宋_GB2312" w:cs="仿宋_GB2312" w:eastAsia="仿宋_GB2312"/>
              </w:rPr>
              <w:t>标的清单 产品技术参数表.docx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投标报价（或单价报价）超过采购预算或者最高限价（不合格），投标报价（或单价报价）未超过采购预算或者最高限价（合格）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交货时间、保质期</w:t>
            </w:r>
          </w:p>
        </w:tc>
        <w:tc>
          <w:tcPr>
            <w:tcW w:type="dxa" w:w="3322"/>
          </w:tcPr>
          <w:p>
            <w:pPr>
              <w:pStyle w:val="null3"/>
            </w:pPr>
            <w:r>
              <w:rPr>
                <w:rFonts w:ascii="仿宋_GB2312" w:hAnsi="仿宋_GB2312" w:cs="仿宋_GB2312" w:eastAsia="仿宋_GB2312"/>
              </w:rPr>
              <w:t>投标文件的交货时间、保质期不满足采购文件要求（不合格），投标文件的交货时间、保质期满足采购文件要求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投标文件的签署、盖章不符合采购文件要求（不合格），投标文件的签署、盖章符合采购文件要求（合格）</w:t>
            </w:r>
          </w:p>
        </w:tc>
        <w:tc>
          <w:tcPr>
            <w:tcW w:type="dxa" w:w="1661"/>
          </w:tcPr>
          <w:p>
            <w:pPr>
              <w:pStyle w:val="null3"/>
            </w:pPr>
            <w:r>
              <w:rPr>
                <w:rFonts w:ascii="仿宋_GB2312" w:hAnsi="仿宋_GB2312" w:cs="仿宋_GB2312" w:eastAsia="仿宋_GB2312"/>
              </w:rPr>
              <w:t>响应文件封面 分项报价表.docx 质量安全责任承诺书.docx 中小企业声明函 标的清单 报价表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投标文件无投标有效期或有效期达不到采购文件要求的（不合格），投标文件有效期达到采购文件要求的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投标文件货物标的出现漏项或货物数量与要求不符的（不合格），投标文件货物标的未出现漏项或货物数量与要求符合的（合格）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质量安全责任承诺书</w:t>
            </w:r>
          </w:p>
        </w:tc>
        <w:tc>
          <w:tcPr>
            <w:tcW w:type="dxa" w:w="3322"/>
          </w:tcPr>
          <w:p>
            <w:pPr>
              <w:pStyle w:val="null3"/>
            </w:pPr>
            <w:r>
              <w:rPr>
                <w:rFonts w:ascii="仿宋_GB2312" w:hAnsi="仿宋_GB2312" w:cs="仿宋_GB2312" w:eastAsia="仿宋_GB2312"/>
              </w:rPr>
              <w:t>响应文件提供了合格的质量安全责任承诺书（合格），响应文件未提供或提供的质量安全责任承诺书不合格（不合格）</w:t>
            </w:r>
          </w:p>
        </w:tc>
        <w:tc>
          <w:tcPr>
            <w:tcW w:type="dxa" w:w="1661"/>
          </w:tcPr>
          <w:p>
            <w:pPr>
              <w:pStyle w:val="null3"/>
            </w:pPr>
            <w:r>
              <w:rPr>
                <w:rFonts w:ascii="仿宋_GB2312" w:hAnsi="仿宋_GB2312" w:cs="仿宋_GB2312" w:eastAsia="仿宋_GB2312"/>
              </w:rPr>
              <w:t>质量安全责任承诺书.docx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 （不合格）</w:t>
            </w:r>
          </w:p>
        </w:tc>
        <w:tc>
          <w:tcPr>
            <w:tcW w:type="dxa" w:w="1661"/>
          </w:tcPr>
          <w:p>
            <w:pPr>
              <w:pStyle w:val="null3"/>
            </w:pPr>
            <w:r>
              <w:rPr>
                <w:rFonts w:ascii="仿宋_GB2312" w:hAnsi="仿宋_GB2312" w:cs="仿宋_GB2312" w:eastAsia="仿宋_GB2312"/>
              </w:rPr>
              <w:t>标的清单 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详见附件：质量安全责任承诺书.docx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详见附件：质量安全责任承诺书.docx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